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7EA11">
      <w:pPr>
        <w:rPr>
          <w:rFonts w:eastAsia="仿宋"/>
          <w:color w:val="000000"/>
          <w:sz w:val="24"/>
          <w:szCs w:val="28"/>
          <w:shd w:val="clear" w:color="auto" w:fill="FFFFFF"/>
        </w:rPr>
      </w:pPr>
    </w:p>
    <w:p w14:paraId="6DE7DCD7">
      <w:pPr>
        <w:jc w:val="center"/>
        <w:rPr>
          <w:rFonts w:eastAsia="微软雅黑"/>
          <w:b/>
          <w:sz w:val="32"/>
          <w:szCs w:val="32"/>
        </w:rPr>
      </w:pPr>
      <w:r>
        <w:rPr>
          <w:rFonts w:eastAsia="微软雅黑"/>
          <w:b/>
          <w:sz w:val="32"/>
          <w:szCs w:val="32"/>
        </w:rPr>
        <w:t>货物类/服务类政府采购项目</w:t>
      </w:r>
    </w:p>
    <w:p w14:paraId="6E68300F">
      <w:pPr>
        <w:jc w:val="center"/>
        <w:rPr>
          <w:rFonts w:eastAsia="微软雅黑"/>
          <w:b/>
          <w:sz w:val="32"/>
          <w:szCs w:val="32"/>
        </w:rPr>
      </w:pPr>
      <w:r>
        <w:rPr>
          <w:rFonts w:eastAsia="微软雅黑"/>
          <w:b/>
          <w:sz w:val="32"/>
          <w:szCs w:val="32"/>
        </w:rPr>
        <w:t>采购需求及信息填报表</w:t>
      </w:r>
    </w:p>
    <w:p w14:paraId="2B0A974D">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采购标的需实现的</w:t>
      </w:r>
      <w:r>
        <w:rPr>
          <w:rFonts w:hint="eastAsia" w:cs="宋体" w:asciiTheme="minorEastAsia" w:hAnsiTheme="minorEastAsia" w:eastAsiaTheme="minorEastAsia"/>
          <w:b/>
          <w:szCs w:val="21"/>
        </w:rPr>
        <w:t>功</w:t>
      </w:r>
      <w:r>
        <w:rPr>
          <w:rFonts w:hint="eastAsia" w:cs="___WRD_EMBED_SUB_46" w:asciiTheme="minorEastAsia" w:hAnsiTheme="minorEastAsia" w:eastAsiaTheme="minorEastAsia"/>
          <w:b/>
          <w:szCs w:val="21"/>
        </w:rPr>
        <w:t>能</w:t>
      </w:r>
      <w:r>
        <w:rPr>
          <w:rFonts w:hint="eastAsia" w:cs="宋体" w:asciiTheme="minorEastAsia" w:hAnsiTheme="minorEastAsia" w:eastAsiaTheme="minorEastAsia"/>
          <w:b/>
          <w:szCs w:val="21"/>
        </w:rPr>
        <w:t>或者</w:t>
      </w:r>
      <w:r>
        <w:rPr>
          <w:rFonts w:hint="eastAsia" w:cs="___WRD_EMBED_SUB_46" w:asciiTheme="minorEastAsia" w:hAnsiTheme="minorEastAsia" w:eastAsiaTheme="minorEastAsia"/>
          <w:b/>
          <w:szCs w:val="21"/>
        </w:rPr>
        <w:t>目标</w:t>
      </w:r>
      <w:r>
        <w:rPr>
          <w:rFonts w:asciiTheme="minorEastAsia" w:hAnsiTheme="minorEastAsia" w:eastAsiaTheme="minorEastAsia"/>
          <w:b/>
          <w:szCs w:val="21"/>
        </w:rPr>
        <w:t>：</w:t>
      </w:r>
    </w:p>
    <w:p w14:paraId="5E801079">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要求供应商根据采购人的提供的技术图纸加工成合格的机械零件，满足采购人的装配需要。</w:t>
      </w:r>
    </w:p>
    <w:p w14:paraId="1916EA42">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采购标的明细（名称、数量、单位）：</w:t>
      </w:r>
    </w:p>
    <w:tbl>
      <w:tblPr>
        <w:tblStyle w:val="11"/>
        <w:tblW w:w="9355"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34"/>
        <w:gridCol w:w="3211"/>
        <w:gridCol w:w="1296"/>
        <w:gridCol w:w="757"/>
        <w:gridCol w:w="1348"/>
      </w:tblGrid>
      <w:tr w14:paraId="7B5A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A706618">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序号</w:t>
            </w:r>
          </w:p>
        </w:tc>
        <w:tc>
          <w:tcPr>
            <w:tcW w:w="2034" w:type="dxa"/>
            <w:vAlign w:val="center"/>
          </w:tcPr>
          <w:p w14:paraId="55099683">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图号</w:t>
            </w:r>
          </w:p>
        </w:tc>
        <w:tc>
          <w:tcPr>
            <w:tcW w:w="3211" w:type="dxa"/>
            <w:vAlign w:val="center"/>
          </w:tcPr>
          <w:p w14:paraId="6BDFF9BA">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名称</w:t>
            </w:r>
          </w:p>
        </w:tc>
        <w:tc>
          <w:tcPr>
            <w:tcW w:w="1296" w:type="dxa"/>
            <w:vAlign w:val="center"/>
          </w:tcPr>
          <w:p w14:paraId="0A7C421E">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材料</w:t>
            </w:r>
          </w:p>
        </w:tc>
        <w:tc>
          <w:tcPr>
            <w:tcW w:w="757" w:type="dxa"/>
            <w:vAlign w:val="center"/>
          </w:tcPr>
          <w:p w14:paraId="5C0141F4">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数量</w:t>
            </w:r>
          </w:p>
        </w:tc>
        <w:tc>
          <w:tcPr>
            <w:tcW w:w="1348" w:type="dxa"/>
            <w:noWrap/>
            <w:vAlign w:val="center"/>
          </w:tcPr>
          <w:p w14:paraId="374C0B4D">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备注</w:t>
            </w:r>
          </w:p>
        </w:tc>
      </w:tr>
      <w:tr w14:paraId="3470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5D853D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w:t>
            </w:r>
          </w:p>
        </w:tc>
        <w:tc>
          <w:tcPr>
            <w:tcW w:w="2034" w:type="dxa"/>
            <w:vAlign w:val="center"/>
          </w:tcPr>
          <w:p w14:paraId="6716735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F2_040401_114000_03</w:t>
            </w:r>
          </w:p>
        </w:tc>
        <w:tc>
          <w:tcPr>
            <w:tcW w:w="3211" w:type="dxa"/>
            <w:vAlign w:val="center"/>
          </w:tcPr>
          <w:p w14:paraId="6353CEE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倍频软连接压紧条3</w:t>
            </w:r>
          </w:p>
        </w:tc>
        <w:tc>
          <w:tcPr>
            <w:tcW w:w="1296" w:type="dxa"/>
            <w:vAlign w:val="center"/>
          </w:tcPr>
          <w:p w14:paraId="21368A1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445CFB2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192</w:t>
            </w:r>
          </w:p>
        </w:tc>
        <w:tc>
          <w:tcPr>
            <w:tcW w:w="1348" w:type="dxa"/>
            <w:noWrap/>
            <w:vAlign w:val="center"/>
          </w:tcPr>
          <w:p w14:paraId="3E1B329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E55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901BFFB">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w:t>
            </w:r>
          </w:p>
        </w:tc>
        <w:tc>
          <w:tcPr>
            <w:tcW w:w="2034" w:type="dxa"/>
            <w:vAlign w:val="center"/>
          </w:tcPr>
          <w:p w14:paraId="632ED89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F2_040401_110000_02</w:t>
            </w:r>
          </w:p>
        </w:tc>
        <w:tc>
          <w:tcPr>
            <w:tcW w:w="3211" w:type="dxa"/>
            <w:vAlign w:val="center"/>
          </w:tcPr>
          <w:p w14:paraId="17384C5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航空插头封板</w:t>
            </w:r>
          </w:p>
        </w:tc>
        <w:tc>
          <w:tcPr>
            <w:tcW w:w="1296" w:type="dxa"/>
            <w:vAlign w:val="center"/>
          </w:tcPr>
          <w:p w14:paraId="65D44DA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1CB439D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144</w:t>
            </w:r>
          </w:p>
        </w:tc>
        <w:tc>
          <w:tcPr>
            <w:tcW w:w="1348" w:type="dxa"/>
            <w:noWrap/>
            <w:vAlign w:val="center"/>
          </w:tcPr>
          <w:p w14:paraId="491CBB9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A1C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71EEFE5">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w:t>
            </w:r>
          </w:p>
        </w:tc>
        <w:tc>
          <w:tcPr>
            <w:tcW w:w="2034" w:type="dxa"/>
            <w:vAlign w:val="center"/>
          </w:tcPr>
          <w:p w14:paraId="58E6148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F2_040401_110000_03</w:t>
            </w:r>
          </w:p>
        </w:tc>
        <w:tc>
          <w:tcPr>
            <w:tcW w:w="3211" w:type="dxa"/>
            <w:vAlign w:val="center"/>
          </w:tcPr>
          <w:p w14:paraId="0DADA3C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3航空插头盖板</w:t>
            </w:r>
          </w:p>
        </w:tc>
        <w:tc>
          <w:tcPr>
            <w:tcW w:w="1296" w:type="dxa"/>
            <w:vAlign w:val="center"/>
          </w:tcPr>
          <w:p w14:paraId="5971005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5F276E9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06CA4DE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5F3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F28855D">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w:t>
            </w:r>
          </w:p>
        </w:tc>
        <w:tc>
          <w:tcPr>
            <w:tcW w:w="2034" w:type="dxa"/>
            <w:vAlign w:val="center"/>
          </w:tcPr>
          <w:p w14:paraId="609120F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F2_040401_114100_01</w:t>
            </w:r>
          </w:p>
        </w:tc>
        <w:tc>
          <w:tcPr>
            <w:tcW w:w="3211" w:type="dxa"/>
            <w:vAlign w:val="center"/>
          </w:tcPr>
          <w:p w14:paraId="3AAB92C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倍频软连接法兰1</w:t>
            </w:r>
          </w:p>
        </w:tc>
        <w:tc>
          <w:tcPr>
            <w:tcW w:w="1296" w:type="dxa"/>
            <w:vAlign w:val="center"/>
          </w:tcPr>
          <w:p w14:paraId="632BBD3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200661F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2FE8EDB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773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2A46F00">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w:t>
            </w:r>
          </w:p>
        </w:tc>
        <w:tc>
          <w:tcPr>
            <w:tcW w:w="2034" w:type="dxa"/>
            <w:vAlign w:val="center"/>
          </w:tcPr>
          <w:p w14:paraId="694326F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F2_040401_114200_01</w:t>
            </w:r>
          </w:p>
        </w:tc>
        <w:tc>
          <w:tcPr>
            <w:tcW w:w="3211" w:type="dxa"/>
            <w:vAlign w:val="center"/>
          </w:tcPr>
          <w:p w14:paraId="503BCFD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倍频软连接法兰2</w:t>
            </w:r>
          </w:p>
        </w:tc>
        <w:tc>
          <w:tcPr>
            <w:tcW w:w="1296" w:type="dxa"/>
            <w:vAlign w:val="center"/>
          </w:tcPr>
          <w:p w14:paraId="21A2393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6779A3F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4094CC7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F3E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7318D32">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w:t>
            </w:r>
          </w:p>
        </w:tc>
        <w:tc>
          <w:tcPr>
            <w:tcW w:w="2034" w:type="dxa"/>
            <w:vAlign w:val="center"/>
          </w:tcPr>
          <w:p w14:paraId="3302840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F2_040401_531000_06</w:t>
            </w:r>
          </w:p>
        </w:tc>
        <w:tc>
          <w:tcPr>
            <w:tcW w:w="3211" w:type="dxa"/>
            <w:vAlign w:val="center"/>
          </w:tcPr>
          <w:p w14:paraId="02905B6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吸收玻璃左右挡块</w:t>
            </w:r>
          </w:p>
        </w:tc>
        <w:tc>
          <w:tcPr>
            <w:tcW w:w="1296" w:type="dxa"/>
            <w:vAlign w:val="center"/>
          </w:tcPr>
          <w:p w14:paraId="770F949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2BC3A58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576</w:t>
            </w:r>
          </w:p>
        </w:tc>
        <w:tc>
          <w:tcPr>
            <w:tcW w:w="1348" w:type="dxa"/>
            <w:noWrap/>
            <w:vAlign w:val="center"/>
          </w:tcPr>
          <w:p w14:paraId="0BB2A3A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105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FD4230E">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7</w:t>
            </w:r>
          </w:p>
        </w:tc>
        <w:tc>
          <w:tcPr>
            <w:tcW w:w="2034" w:type="dxa"/>
            <w:vAlign w:val="center"/>
          </w:tcPr>
          <w:p w14:paraId="3851B40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F2_040401_531100_02</w:t>
            </w:r>
          </w:p>
        </w:tc>
        <w:tc>
          <w:tcPr>
            <w:tcW w:w="3211" w:type="dxa"/>
            <w:vAlign w:val="center"/>
          </w:tcPr>
          <w:p w14:paraId="3174C97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吸收玻璃防护条03A</w:t>
            </w:r>
          </w:p>
        </w:tc>
        <w:tc>
          <w:tcPr>
            <w:tcW w:w="1296" w:type="dxa"/>
            <w:vAlign w:val="center"/>
          </w:tcPr>
          <w:p w14:paraId="686187E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00A8D46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288</w:t>
            </w:r>
          </w:p>
        </w:tc>
        <w:tc>
          <w:tcPr>
            <w:tcW w:w="1348" w:type="dxa"/>
            <w:noWrap/>
            <w:vAlign w:val="center"/>
          </w:tcPr>
          <w:p w14:paraId="67E8976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196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2BC1685">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8</w:t>
            </w:r>
          </w:p>
        </w:tc>
        <w:tc>
          <w:tcPr>
            <w:tcW w:w="2034" w:type="dxa"/>
            <w:vAlign w:val="center"/>
          </w:tcPr>
          <w:p w14:paraId="24B8BDF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F2_040401_532000_04</w:t>
            </w:r>
          </w:p>
        </w:tc>
        <w:tc>
          <w:tcPr>
            <w:tcW w:w="3211" w:type="dxa"/>
            <w:vAlign w:val="center"/>
          </w:tcPr>
          <w:p w14:paraId="5E5D6C4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吸收玻璃上下挡块</w:t>
            </w:r>
          </w:p>
        </w:tc>
        <w:tc>
          <w:tcPr>
            <w:tcW w:w="1296" w:type="dxa"/>
            <w:vAlign w:val="center"/>
          </w:tcPr>
          <w:p w14:paraId="4110943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3412344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192</w:t>
            </w:r>
          </w:p>
        </w:tc>
        <w:tc>
          <w:tcPr>
            <w:tcW w:w="1348" w:type="dxa"/>
            <w:noWrap/>
            <w:vAlign w:val="center"/>
          </w:tcPr>
          <w:p w14:paraId="396C7A2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B90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DD11151">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9</w:t>
            </w:r>
          </w:p>
        </w:tc>
        <w:tc>
          <w:tcPr>
            <w:tcW w:w="2034" w:type="dxa"/>
            <w:vAlign w:val="center"/>
          </w:tcPr>
          <w:p w14:paraId="6892261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F2_040401_532200_01</w:t>
            </w:r>
          </w:p>
        </w:tc>
        <w:tc>
          <w:tcPr>
            <w:tcW w:w="3211" w:type="dxa"/>
            <w:vAlign w:val="center"/>
          </w:tcPr>
          <w:p w14:paraId="49CB4B9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吸收玻璃防护条03镜像</w:t>
            </w:r>
          </w:p>
        </w:tc>
        <w:tc>
          <w:tcPr>
            <w:tcW w:w="1296" w:type="dxa"/>
            <w:vAlign w:val="center"/>
          </w:tcPr>
          <w:p w14:paraId="1720C66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5F67A39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25FB0F8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2DF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D3A603C">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10</w:t>
            </w:r>
          </w:p>
        </w:tc>
        <w:tc>
          <w:tcPr>
            <w:tcW w:w="2034" w:type="dxa"/>
            <w:vAlign w:val="center"/>
          </w:tcPr>
          <w:p w14:paraId="238ACD4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F2_040401_532300_01</w:t>
            </w:r>
          </w:p>
        </w:tc>
        <w:tc>
          <w:tcPr>
            <w:tcW w:w="3211" w:type="dxa"/>
            <w:vAlign w:val="center"/>
          </w:tcPr>
          <w:p w14:paraId="1EF2748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吸收玻璃防护条02</w:t>
            </w:r>
          </w:p>
        </w:tc>
        <w:tc>
          <w:tcPr>
            <w:tcW w:w="1296" w:type="dxa"/>
            <w:vAlign w:val="center"/>
          </w:tcPr>
          <w:p w14:paraId="566C9D4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1FD9B46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7DE9F16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019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7AF53E1">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11</w:t>
            </w:r>
          </w:p>
        </w:tc>
        <w:tc>
          <w:tcPr>
            <w:tcW w:w="2034" w:type="dxa"/>
            <w:vAlign w:val="center"/>
          </w:tcPr>
          <w:p w14:paraId="3C31A16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F2_040401_532300_02</w:t>
            </w:r>
          </w:p>
        </w:tc>
        <w:tc>
          <w:tcPr>
            <w:tcW w:w="3211" w:type="dxa"/>
            <w:vAlign w:val="center"/>
          </w:tcPr>
          <w:p w14:paraId="570A9F6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吸收玻璃防护条05</w:t>
            </w:r>
          </w:p>
        </w:tc>
        <w:tc>
          <w:tcPr>
            <w:tcW w:w="1296" w:type="dxa"/>
            <w:vAlign w:val="center"/>
          </w:tcPr>
          <w:p w14:paraId="4D91ECD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7238A7D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028B968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0A3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7841EB7">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12</w:t>
            </w:r>
          </w:p>
        </w:tc>
        <w:tc>
          <w:tcPr>
            <w:tcW w:w="2034" w:type="dxa"/>
            <w:vAlign w:val="center"/>
          </w:tcPr>
          <w:p w14:paraId="629B2F1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F2_040401_541000_02</w:t>
            </w:r>
          </w:p>
        </w:tc>
        <w:tc>
          <w:tcPr>
            <w:tcW w:w="3211" w:type="dxa"/>
            <w:vAlign w:val="center"/>
          </w:tcPr>
          <w:p w14:paraId="766A72A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100*100*10假负载聚四氟乙烯夹条</w:t>
            </w:r>
          </w:p>
        </w:tc>
        <w:tc>
          <w:tcPr>
            <w:tcW w:w="1296" w:type="dxa"/>
            <w:vAlign w:val="center"/>
          </w:tcPr>
          <w:p w14:paraId="6CBE313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5772C0D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384</w:t>
            </w:r>
          </w:p>
        </w:tc>
        <w:tc>
          <w:tcPr>
            <w:tcW w:w="1348" w:type="dxa"/>
            <w:noWrap/>
            <w:vAlign w:val="center"/>
          </w:tcPr>
          <w:p w14:paraId="685D5C1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9D8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E75CC43">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13</w:t>
            </w:r>
          </w:p>
        </w:tc>
        <w:tc>
          <w:tcPr>
            <w:tcW w:w="2034" w:type="dxa"/>
            <w:vAlign w:val="center"/>
          </w:tcPr>
          <w:p w14:paraId="082A1B3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F2_040401_541000_03</w:t>
            </w:r>
          </w:p>
        </w:tc>
        <w:tc>
          <w:tcPr>
            <w:tcW w:w="3211" w:type="dxa"/>
            <w:vAlign w:val="center"/>
          </w:tcPr>
          <w:p w14:paraId="526367B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100*100*10假负载夹条</w:t>
            </w:r>
          </w:p>
        </w:tc>
        <w:tc>
          <w:tcPr>
            <w:tcW w:w="1296" w:type="dxa"/>
            <w:vAlign w:val="center"/>
          </w:tcPr>
          <w:p w14:paraId="4A8DF98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43AA45B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384</w:t>
            </w:r>
          </w:p>
        </w:tc>
        <w:tc>
          <w:tcPr>
            <w:tcW w:w="1348" w:type="dxa"/>
            <w:noWrap/>
            <w:vAlign w:val="center"/>
          </w:tcPr>
          <w:p w14:paraId="7640AA7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63B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83B6492">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14</w:t>
            </w:r>
          </w:p>
        </w:tc>
        <w:tc>
          <w:tcPr>
            <w:tcW w:w="2034" w:type="dxa"/>
            <w:vAlign w:val="center"/>
          </w:tcPr>
          <w:p w14:paraId="498E1C4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F2_040401_541000_04</w:t>
            </w:r>
          </w:p>
        </w:tc>
        <w:tc>
          <w:tcPr>
            <w:tcW w:w="3211" w:type="dxa"/>
            <w:vAlign w:val="center"/>
          </w:tcPr>
          <w:p w14:paraId="6BE0284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100*100*10假负载挡片</w:t>
            </w:r>
          </w:p>
        </w:tc>
        <w:tc>
          <w:tcPr>
            <w:tcW w:w="1296" w:type="dxa"/>
            <w:vAlign w:val="center"/>
          </w:tcPr>
          <w:p w14:paraId="117562F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5F62624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768</w:t>
            </w:r>
          </w:p>
        </w:tc>
        <w:tc>
          <w:tcPr>
            <w:tcW w:w="1348" w:type="dxa"/>
            <w:noWrap/>
            <w:vAlign w:val="center"/>
          </w:tcPr>
          <w:p w14:paraId="5C61927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4D8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D30A7DD">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15</w:t>
            </w:r>
          </w:p>
        </w:tc>
        <w:tc>
          <w:tcPr>
            <w:tcW w:w="2034" w:type="dxa"/>
            <w:vAlign w:val="center"/>
          </w:tcPr>
          <w:p w14:paraId="2EA4BE1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F2_040401_541000_05</w:t>
            </w:r>
          </w:p>
        </w:tc>
        <w:tc>
          <w:tcPr>
            <w:tcW w:w="3211" w:type="dxa"/>
            <w:vAlign w:val="center"/>
          </w:tcPr>
          <w:p w14:paraId="011DA5B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100*100*10假负载聚四氟乙烯挡片</w:t>
            </w:r>
          </w:p>
        </w:tc>
        <w:tc>
          <w:tcPr>
            <w:tcW w:w="1296" w:type="dxa"/>
            <w:vAlign w:val="center"/>
          </w:tcPr>
          <w:p w14:paraId="696C29A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7586343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768</w:t>
            </w:r>
          </w:p>
        </w:tc>
        <w:tc>
          <w:tcPr>
            <w:tcW w:w="1348" w:type="dxa"/>
            <w:noWrap/>
            <w:vAlign w:val="center"/>
          </w:tcPr>
          <w:p w14:paraId="388E442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A45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B54773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16</w:t>
            </w:r>
          </w:p>
        </w:tc>
        <w:tc>
          <w:tcPr>
            <w:tcW w:w="2034" w:type="dxa"/>
            <w:vAlign w:val="center"/>
          </w:tcPr>
          <w:p w14:paraId="326F8A5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F2_040401_541000_06</w:t>
            </w:r>
          </w:p>
        </w:tc>
        <w:tc>
          <w:tcPr>
            <w:tcW w:w="3211" w:type="dxa"/>
            <w:vAlign w:val="center"/>
          </w:tcPr>
          <w:p w14:paraId="7C1C3A3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100*100*10假负载支腿</w:t>
            </w:r>
          </w:p>
        </w:tc>
        <w:tc>
          <w:tcPr>
            <w:tcW w:w="1296" w:type="dxa"/>
            <w:vAlign w:val="center"/>
          </w:tcPr>
          <w:p w14:paraId="61F2832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2F9D94E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384</w:t>
            </w:r>
          </w:p>
        </w:tc>
        <w:tc>
          <w:tcPr>
            <w:tcW w:w="1348" w:type="dxa"/>
            <w:noWrap/>
            <w:vAlign w:val="center"/>
          </w:tcPr>
          <w:p w14:paraId="4B655A4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7291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9531131">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17</w:t>
            </w:r>
          </w:p>
        </w:tc>
        <w:tc>
          <w:tcPr>
            <w:tcW w:w="2034" w:type="dxa"/>
            <w:vAlign w:val="center"/>
          </w:tcPr>
          <w:p w14:paraId="42C7444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F2_040401_541000_07</w:t>
            </w:r>
          </w:p>
        </w:tc>
        <w:tc>
          <w:tcPr>
            <w:tcW w:w="3211" w:type="dxa"/>
            <w:vAlign w:val="center"/>
          </w:tcPr>
          <w:p w14:paraId="7192B8C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100*100*10假负载转接板</w:t>
            </w:r>
          </w:p>
        </w:tc>
        <w:tc>
          <w:tcPr>
            <w:tcW w:w="1296" w:type="dxa"/>
            <w:vAlign w:val="center"/>
          </w:tcPr>
          <w:p w14:paraId="24C7562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0E3FED8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96</w:t>
            </w:r>
          </w:p>
        </w:tc>
        <w:tc>
          <w:tcPr>
            <w:tcW w:w="1348" w:type="dxa"/>
            <w:noWrap/>
            <w:vAlign w:val="center"/>
          </w:tcPr>
          <w:p w14:paraId="45874C93">
            <w:pPr>
              <w:widowControl/>
              <w:jc w:val="center"/>
              <w:textAlignment w:val="center"/>
              <w:rPr>
                <w:rFonts w:hint="eastAsia" w:ascii="宋体" w:hAnsi="宋体" w:cs="宋体"/>
                <w:color w:val="000000"/>
                <w:sz w:val="24"/>
              </w:rPr>
            </w:pPr>
            <w:r>
              <w:rPr>
                <w:rFonts w:hint="eastAsia" w:ascii="华文仿宋" w:hAnsi="华文仿宋" w:eastAsia="华文仿宋"/>
                <w:b/>
                <w:bCs/>
                <w:sz w:val="18"/>
                <w:szCs w:val="18"/>
              </w:rPr>
              <w:t>编制工艺文件</w:t>
            </w:r>
          </w:p>
        </w:tc>
      </w:tr>
      <w:tr w14:paraId="4695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028A018">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18</w:t>
            </w:r>
          </w:p>
        </w:tc>
        <w:tc>
          <w:tcPr>
            <w:tcW w:w="2034" w:type="dxa"/>
            <w:vAlign w:val="center"/>
          </w:tcPr>
          <w:p w14:paraId="41929F7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F2_040401_542000_02</w:t>
            </w:r>
          </w:p>
        </w:tc>
        <w:tc>
          <w:tcPr>
            <w:tcW w:w="3211" w:type="dxa"/>
            <w:vAlign w:val="center"/>
          </w:tcPr>
          <w:p w14:paraId="30FBB36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200*100*10假负载聚四氟乙烯夹条</w:t>
            </w:r>
          </w:p>
        </w:tc>
        <w:tc>
          <w:tcPr>
            <w:tcW w:w="1296" w:type="dxa"/>
            <w:vAlign w:val="center"/>
          </w:tcPr>
          <w:p w14:paraId="431D575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聚四氟乙烯</w:t>
            </w:r>
          </w:p>
        </w:tc>
        <w:tc>
          <w:tcPr>
            <w:tcW w:w="757" w:type="dxa"/>
            <w:vAlign w:val="center"/>
          </w:tcPr>
          <w:p w14:paraId="57ACB34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384</w:t>
            </w:r>
          </w:p>
        </w:tc>
        <w:tc>
          <w:tcPr>
            <w:tcW w:w="1348" w:type="dxa"/>
            <w:noWrap/>
            <w:vAlign w:val="center"/>
          </w:tcPr>
          <w:p w14:paraId="176631E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BAC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473A2C6">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19</w:t>
            </w:r>
          </w:p>
        </w:tc>
        <w:tc>
          <w:tcPr>
            <w:tcW w:w="2034" w:type="dxa"/>
            <w:vAlign w:val="center"/>
          </w:tcPr>
          <w:p w14:paraId="133882E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F2_040401_542000_03</w:t>
            </w:r>
          </w:p>
        </w:tc>
        <w:tc>
          <w:tcPr>
            <w:tcW w:w="3211" w:type="dxa"/>
            <w:vAlign w:val="center"/>
          </w:tcPr>
          <w:p w14:paraId="7A02FD9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200*100*10假负载夹条</w:t>
            </w:r>
          </w:p>
        </w:tc>
        <w:tc>
          <w:tcPr>
            <w:tcW w:w="1296" w:type="dxa"/>
            <w:vAlign w:val="center"/>
          </w:tcPr>
          <w:p w14:paraId="5FC72E4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746F1B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384</w:t>
            </w:r>
          </w:p>
        </w:tc>
        <w:tc>
          <w:tcPr>
            <w:tcW w:w="1348" w:type="dxa"/>
            <w:noWrap/>
            <w:vAlign w:val="center"/>
          </w:tcPr>
          <w:p w14:paraId="77B3115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3A5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B1FDB26">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20</w:t>
            </w:r>
          </w:p>
        </w:tc>
        <w:tc>
          <w:tcPr>
            <w:tcW w:w="2034" w:type="dxa"/>
            <w:vAlign w:val="center"/>
          </w:tcPr>
          <w:p w14:paraId="302702E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F2_040401_542000_06</w:t>
            </w:r>
          </w:p>
        </w:tc>
        <w:tc>
          <w:tcPr>
            <w:tcW w:w="3211" w:type="dxa"/>
            <w:vAlign w:val="center"/>
          </w:tcPr>
          <w:p w14:paraId="63A6C69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200*100*10假负载支腿</w:t>
            </w:r>
          </w:p>
        </w:tc>
        <w:tc>
          <w:tcPr>
            <w:tcW w:w="1296" w:type="dxa"/>
            <w:vAlign w:val="center"/>
          </w:tcPr>
          <w:p w14:paraId="101E2A1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041588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384</w:t>
            </w:r>
          </w:p>
        </w:tc>
        <w:tc>
          <w:tcPr>
            <w:tcW w:w="1348" w:type="dxa"/>
            <w:noWrap/>
            <w:vAlign w:val="center"/>
          </w:tcPr>
          <w:p w14:paraId="15EEC27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999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0578124">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21</w:t>
            </w:r>
          </w:p>
        </w:tc>
        <w:tc>
          <w:tcPr>
            <w:tcW w:w="2034" w:type="dxa"/>
            <w:vAlign w:val="center"/>
          </w:tcPr>
          <w:p w14:paraId="0801FB1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F2_040401_542000_07</w:t>
            </w:r>
          </w:p>
        </w:tc>
        <w:tc>
          <w:tcPr>
            <w:tcW w:w="3211" w:type="dxa"/>
            <w:vAlign w:val="center"/>
          </w:tcPr>
          <w:p w14:paraId="4F0AD0B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200*100*10假负载转接板</w:t>
            </w:r>
          </w:p>
        </w:tc>
        <w:tc>
          <w:tcPr>
            <w:tcW w:w="1296" w:type="dxa"/>
            <w:vAlign w:val="center"/>
          </w:tcPr>
          <w:p w14:paraId="6CF4CB4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0627266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96</w:t>
            </w:r>
          </w:p>
        </w:tc>
        <w:tc>
          <w:tcPr>
            <w:tcW w:w="1348" w:type="dxa"/>
            <w:noWrap/>
            <w:vAlign w:val="center"/>
          </w:tcPr>
          <w:p w14:paraId="26F82B1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3876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6D9C253">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22</w:t>
            </w:r>
          </w:p>
        </w:tc>
        <w:tc>
          <w:tcPr>
            <w:tcW w:w="2034" w:type="dxa"/>
            <w:vAlign w:val="center"/>
          </w:tcPr>
          <w:p w14:paraId="5B00C0C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F2_040401_542000_08</w:t>
            </w:r>
          </w:p>
        </w:tc>
        <w:tc>
          <w:tcPr>
            <w:tcW w:w="3211" w:type="dxa"/>
            <w:vAlign w:val="center"/>
          </w:tcPr>
          <w:p w14:paraId="46F01E8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200*100*10支腿垫片（15mm）</w:t>
            </w:r>
          </w:p>
        </w:tc>
        <w:tc>
          <w:tcPr>
            <w:tcW w:w="1296" w:type="dxa"/>
            <w:vAlign w:val="center"/>
          </w:tcPr>
          <w:p w14:paraId="04CF2C0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1AD806D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96</w:t>
            </w:r>
          </w:p>
        </w:tc>
        <w:tc>
          <w:tcPr>
            <w:tcW w:w="1348" w:type="dxa"/>
            <w:noWrap/>
            <w:vAlign w:val="center"/>
          </w:tcPr>
          <w:p w14:paraId="6C8B563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778F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C9E457C">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23</w:t>
            </w:r>
          </w:p>
        </w:tc>
        <w:tc>
          <w:tcPr>
            <w:tcW w:w="2034" w:type="dxa"/>
            <w:vAlign w:val="center"/>
          </w:tcPr>
          <w:p w14:paraId="1EDC776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F2_040401_542000_09</w:t>
            </w:r>
          </w:p>
        </w:tc>
        <w:tc>
          <w:tcPr>
            <w:tcW w:w="3211" w:type="dxa"/>
            <w:vAlign w:val="center"/>
          </w:tcPr>
          <w:p w14:paraId="0ADE27C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100*100*10支腿垫片（15mm）</w:t>
            </w:r>
          </w:p>
        </w:tc>
        <w:tc>
          <w:tcPr>
            <w:tcW w:w="1296" w:type="dxa"/>
            <w:vAlign w:val="center"/>
          </w:tcPr>
          <w:p w14:paraId="07A7CF7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4BCEAC1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96</w:t>
            </w:r>
          </w:p>
        </w:tc>
        <w:tc>
          <w:tcPr>
            <w:tcW w:w="1348" w:type="dxa"/>
            <w:noWrap/>
            <w:vAlign w:val="center"/>
          </w:tcPr>
          <w:p w14:paraId="52ADFB5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7474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80A23F5">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24</w:t>
            </w:r>
          </w:p>
        </w:tc>
        <w:tc>
          <w:tcPr>
            <w:tcW w:w="2034" w:type="dxa"/>
            <w:vAlign w:val="center"/>
          </w:tcPr>
          <w:p w14:paraId="181263B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F2_040401_542000_10</w:t>
            </w:r>
          </w:p>
        </w:tc>
        <w:tc>
          <w:tcPr>
            <w:tcW w:w="3211" w:type="dxa"/>
            <w:vAlign w:val="center"/>
          </w:tcPr>
          <w:p w14:paraId="14884B0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200*100*10支腿垫片（25mm）</w:t>
            </w:r>
          </w:p>
        </w:tc>
        <w:tc>
          <w:tcPr>
            <w:tcW w:w="1296" w:type="dxa"/>
            <w:vAlign w:val="center"/>
          </w:tcPr>
          <w:p w14:paraId="4BB34CC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3895EE4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144</w:t>
            </w:r>
          </w:p>
        </w:tc>
        <w:tc>
          <w:tcPr>
            <w:tcW w:w="1348" w:type="dxa"/>
            <w:noWrap/>
            <w:vAlign w:val="center"/>
          </w:tcPr>
          <w:p w14:paraId="6AE1D34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7FDA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D5AC5F3">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25</w:t>
            </w:r>
          </w:p>
        </w:tc>
        <w:tc>
          <w:tcPr>
            <w:tcW w:w="2034" w:type="dxa"/>
            <w:vAlign w:val="center"/>
          </w:tcPr>
          <w:p w14:paraId="0E68C15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F2_040401_542000_11</w:t>
            </w:r>
          </w:p>
        </w:tc>
        <w:tc>
          <w:tcPr>
            <w:tcW w:w="3211" w:type="dxa"/>
            <w:vAlign w:val="center"/>
          </w:tcPr>
          <w:p w14:paraId="63CDD3B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100*100*10支腿垫片（25mm）</w:t>
            </w:r>
          </w:p>
        </w:tc>
        <w:tc>
          <w:tcPr>
            <w:tcW w:w="1296" w:type="dxa"/>
            <w:vAlign w:val="center"/>
          </w:tcPr>
          <w:p w14:paraId="6A3FD44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2DC01FA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144</w:t>
            </w:r>
          </w:p>
        </w:tc>
        <w:tc>
          <w:tcPr>
            <w:tcW w:w="1348" w:type="dxa"/>
            <w:noWrap/>
            <w:vAlign w:val="center"/>
          </w:tcPr>
          <w:p w14:paraId="3E8B44C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FD9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4680F65">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26</w:t>
            </w:r>
          </w:p>
        </w:tc>
        <w:tc>
          <w:tcPr>
            <w:tcW w:w="2034" w:type="dxa"/>
            <w:vAlign w:val="center"/>
          </w:tcPr>
          <w:p w14:paraId="5723973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F2_040401_551000_07</w:t>
            </w:r>
          </w:p>
        </w:tc>
        <w:tc>
          <w:tcPr>
            <w:tcW w:w="3211" w:type="dxa"/>
            <w:vAlign w:val="center"/>
          </w:tcPr>
          <w:p w14:paraId="0B6E019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100*100*10假负载转接板（偏孔）</w:t>
            </w:r>
          </w:p>
        </w:tc>
        <w:tc>
          <w:tcPr>
            <w:tcW w:w="1296" w:type="dxa"/>
            <w:vAlign w:val="center"/>
          </w:tcPr>
          <w:p w14:paraId="1640A09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485D1E9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376C468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EFF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3EB814B">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27</w:t>
            </w:r>
          </w:p>
        </w:tc>
        <w:tc>
          <w:tcPr>
            <w:tcW w:w="2034" w:type="dxa"/>
            <w:vAlign w:val="center"/>
          </w:tcPr>
          <w:p w14:paraId="5CCC0CF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F2_040401_552000_07</w:t>
            </w:r>
          </w:p>
        </w:tc>
        <w:tc>
          <w:tcPr>
            <w:tcW w:w="3211" w:type="dxa"/>
            <w:vAlign w:val="center"/>
          </w:tcPr>
          <w:p w14:paraId="1B1A16B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200*100*10假负载转接板（偏孔）</w:t>
            </w:r>
          </w:p>
        </w:tc>
        <w:tc>
          <w:tcPr>
            <w:tcW w:w="1296" w:type="dxa"/>
            <w:vAlign w:val="center"/>
          </w:tcPr>
          <w:p w14:paraId="52E6C3D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9F4335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2862BD2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D52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869D18B">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28</w:t>
            </w:r>
          </w:p>
        </w:tc>
        <w:tc>
          <w:tcPr>
            <w:tcW w:w="2034" w:type="dxa"/>
            <w:vAlign w:val="center"/>
          </w:tcPr>
          <w:p w14:paraId="3E98A9B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F2_040401_560000_02</w:t>
            </w:r>
          </w:p>
        </w:tc>
        <w:tc>
          <w:tcPr>
            <w:tcW w:w="3211" w:type="dxa"/>
            <w:vAlign w:val="center"/>
          </w:tcPr>
          <w:p w14:paraId="01B3EB1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100*100*10假负载转接板（斜孔-1）</w:t>
            </w:r>
          </w:p>
        </w:tc>
        <w:tc>
          <w:tcPr>
            <w:tcW w:w="1296" w:type="dxa"/>
            <w:vAlign w:val="center"/>
          </w:tcPr>
          <w:p w14:paraId="6E4E6C6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51A19B3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3FCC57D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8C7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EE5979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29</w:t>
            </w:r>
          </w:p>
        </w:tc>
        <w:tc>
          <w:tcPr>
            <w:tcW w:w="2034" w:type="dxa"/>
            <w:vAlign w:val="center"/>
          </w:tcPr>
          <w:p w14:paraId="48F6A52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F2_040401_560000_03</w:t>
            </w:r>
          </w:p>
        </w:tc>
        <w:tc>
          <w:tcPr>
            <w:tcW w:w="3211" w:type="dxa"/>
            <w:vAlign w:val="center"/>
          </w:tcPr>
          <w:p w14:paraId="392A7C5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100*100*10假负载转接板（斜孔-2）</w:t>
            </w:r>
          </w:p>
        </w:tc>
        <w:tc>
          <w:tcPr>
            <w:tcW w:w="1296" w:type="dxa"/>
            <w:vAlign w:val="center"/>
          </w:tcPr>
          <w:p w14:paraId="2DF1182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153793D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25</w:t>
            </w:r>
          </w:p>
        </w:tc>
        <w:tc>
          <w:tcPr>
            <w:tcW w:w="1348" w:type="dxa"/>
            <w:noWrap/>
            <w:vAlign w:val="center"/>
          </w:tcPr>
          <w:p w14:paraId="1030520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3DF9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8C77A21">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30</w:t>
            </w:r>
          </w:p>
        </w:tc>
        <w:tc>
          <w:tcPr>
            <w:tcW w:w="2034" w:type="dxa"/>
            <w:vAlign w:val="center"/>
          </w:tcPr>
          <w:p w14:paraId="17A543B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F2_040401_560000_04</w:t>
            </w:r>
          </w:p>
        </w:tc>
        <w:tc>
          <w:tcPr>
            <w:tcW w:w="3211" w:type="dxa"/>
            <w:vAlign w:val="center"/>
          </w:tcPr>
          <w:p w14:paraId="3A249E5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100*100*10假负载转接板（斜孔-3）</w:t>
            </w:r>
          </w:p>
        </w:tc>
        <w:tc>
          <w:tcPr>
            <w:tcW w:w="1296" w:type="dxa"/>
            <w:vAlign w:val="center"/>
          </w:tcPr>
          <w:p w14:paraId="29DAA8E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448D613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25</w:t>
            </w:r>
          </w:p>
        </w:tc>
        <w:tc>
          <w:tcPr>
            <w:tcW w:w="1348" w:type="dxa"/>
            <w:noWrap/>
            <w:vAlign w:val="center"/>
          </w:tcPr>
          <w:p w14:paraId="7ED7F5B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F86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1BD4316">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31</w:t>
            </w:r>
          </w:p>
        </w:tc>
        <w:tc>
          <w:tcPr>
            <w:tcW w:w="2034" w:type="dxa"/>
            <w:vAlign w:val="center"/>
          </w:tcPr>
          <w:p w14:paraId="74C376E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F2_040401_610000_01</w:t>
            </w:r>
          </w:p>
        </w:tc>
        <w:tc>
          <w:tcPr>
            <w:tcW w:w="3211" w:type="dxa"/>
            <w:vAlign w:val="center"/>
          </w:tcPr>
          <w:p w14:paraId="09B5B34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角锥限位挡块</w:t>
            </w:r>
          </w:p>
        </w:tc>
        <w:tc>
          <w:tcPr>
            <w:tcW w:w="1296" w:type="dxa"/>
            <w:vAlign w:val="center"/>
          </w:tcPr>
          <w:p w14:paraId="1AAB23D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328A339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144</w:t>
            </w:r>
          </w:p>
        </w:tc>
        <w:tc>
          <w:tcPr>
            <w:tcW w:w="1348" w:type="dxa"/>
            <w:noWrap/>
            <w:vAlign w:val="center"/>
          </w:tcPr>
          <w:p w14:paraId="7AEADF5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2ED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0A39D438">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32</w:t>
            </w:r>
          </w:p>
        </w:tc>
        <w:tc>
          <w:tcPr>
            <w:tcW w:w="2034" w:type="dxa"/>
            <w:vAlign w:val="center"/>
          </w:tcPr>
          <w:p w14:paraId="678F0BD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F2_040402_600000_02</w:t>
            </w:r>
          </w:p>
        </w:tc>
        <w:tc>
          <w:tcPr>
            <w:tcW w:w="3211" w:type="dxa"/>
            <w:vAlign w:val="center"/>
          </w:tcPr>
          <w:p w14:paraId="75C6D48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一维透镜侧遮光片2</w:t>
            </w:r>
          </w:p>
        </w:tc>
        <w:tc>
          <w:tcPr>
            <w:tcW w:w="1296" w:type="dxa"/>
            <w:vAlign w:val="center"/>
          </w:tcPr>
          <w:p w14:paraId="67D3540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314C1B8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288</w:t>
            </w:r>
          </w:p>
        </w:tc>
        <w:tc>
          <w:tcPr>
            <w:tcW w:w="1348" w:type="dxa"/>
            <w:noWrap/>
            <w:vAlign w:val="center"/>
          </w:tcPr>
          <w:p w14:paraId="4FC8518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D26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33D7EDA">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33</w:t>
            </w:r>
          </w:p>
        </w:tc>
        <w:tc>
          <w:tcPr>
            <w:tcW w:w="2034" w:type="dxa"/>
            <w:vAlign w:val="center"/>
          </w:tcPr>
          <w:p w14:paraId="1938630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F2_040402_600000_06</w:t>
            </w:r>
          </w:p>
        </w:tc>
        <w:tc>
          <w:tcPr>
            <w:tcW w:w="3211" w:type="dxa"/>
            <w:vAlign w:val="center"/>
          </w:tcPr>
          <w:p w14:paraId="233B40A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透镜风刀安装板1</w:t>
            </w:r>
          </w:p>
        </w:tc>
        <w:tc>
          <w:tcPr>
            <w:tcW w:w="1296" w:type="dxa"/>
            <w:vAlign w:val="center"/>
          </w:tcPr>
          <w:p w14:paraId="332B58D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20FB658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27</w:t>
            </w:r>
          </w:p>
        </w:tc>
        <w:tc>
          <w:tcPr>
            <w:tcW w:w="1348" w:type="dxa"/>
            <w:noWrap/>
            <w:vAlign w:val="center"/>
          </w:tcPr>
          <w:p w14:paraId="6773B65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编制工艺文件</w:t>
            </w:r>
          </w:p>
        </w:tc>
      </w:tr>
      <w:tr w14:paraId="623E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94D2075">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34</w:t>
            </w:r>
          </w:p>
        </w:tc>
        <w:tc>
          <w:tcPr>
            <w:tcW w:w="2034" w:type="dxa"/>
            <w:vAlign w:val="center"/>
          </w:tcPr>
          <w:p w14:paraId="0EE303B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F2_040402_600000_07</w:t>
            </w:r>
          </w:p>
        </w:tc>
        <w:tc>
          <w:tcPr>
            <w:tcW w:w="3211" w:type="dxa"/>
            <w:vAlign w:val="center"/>
          </w:tcPr>
          <w:p w14:paraId="3611795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风刀锁紧块</w:t>
            </w:r>
          </w:p>
        </w:tc>
        <w:tc>
          <w:tcPr>
            <w:tcW w:w="1296" w:type="dxa"/>
            <w:vAlign w:val="center"/>
          </w:tcPr>
          <w:p w14:paraId="5767CE0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4456AAF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27</w:t>
            </w:r>
          </w:p>
        </w:tc>
        <w:tc>
          <w:tcPr>
            <w:tcW w:w="1348" w:type="dxa"/>
            <w:noWrap/>
            <w:vAlign w:val="center"/>
          </w:tcPr>
          <w:p w14:paraId="4BE9C52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3887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113459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35</w:t>
            </w:r>
          </w:p>
        </w:tc>
        <w:tc>
          <w:tcPr>
            <w:tcW w:w="2034" w:type="dxa"/>
            <w:vAlign w:val="center"/>
          </w:tcPr>
          <w:p w14:paraId="2B62AF3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F2_040402_600000_08</w:t>
            </w:r>
          </w:p>
        </w:tc>
        <w:tc>
          <w:tcPr>
            <w:tcW w:w="3211" w:type="dxa"/>
            <w:vAlign w:val="center"/>
          </w:tcPr>
          <w:p w14:paraId="03E9A62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透镜驱动吸收玻璃固定框</w:t>
            </w:r>
          </w:p>
        </w:tc>
        <w:tc>
          <w:tcPr>
            <w:tcW w:w="1296" w:type="dxa"/>
            <w:vAlign w:val="center"/>
          </w:tcPr>
          <w:p w14:paraId="35971A3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00D50B0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150</w:t>
            </w:r>
          </w:p>
        </w:tc>
        <w:tc>
          <w:tcPr>
            <w:tcW w:w="1348" w:type="dxa"/>
            <w:noWrap/>
            <w:vAlign w:val="center"/>
          </w:tcPr>
          <w:p w14:paraId="081569C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3BF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1B8F11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36</w:t>
            </w:r>
          </w:p>
        </w:tc>
        <w:tc>
          <w:tcPr>
            <w:tcW w:w="2034" w:type="dxa"/>
            <w:vAlign w:val="center"/>
          </w:tcPr>
          <w:p w14:paraId="3F0718E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F2_040402_600000_09</w:t>
            </w:r>
          </w:p>
        </w:tc>
        <w:tc>
          <w:tcPr>
            <w:tcW w:w="3211" w:type="dxa"/>
            <w:vAlign w:val="center"/>
          </w:tcPr>
          <w:p w14:paraId="0E539D0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透镜中路驱动吸收玻璃固定框</w:t>
            </w:r>
          </w:p>
        </w:tc>
        <w:tc>
          <w:tcPr>
            <w:tcW w:w="1296" w:type="dxa"/>
            <w:vAlign w:val="center"/>
          </w:tcPr>
          <w:p w14:paraId="38BAFA9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82C5AC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58A3820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7F8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5BC70F0">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37</w:t>
            </w:r>
          </w:p>
        </w:tc>
        <w:tc>
          <w:tcPr>
            <w:tcW w:w="2034" w:type="dxa"/>
            <w:vAlign w:val="center"/>
          </w:tcPr>
          <w:p w14:paraId="6945872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F2_040403_671600_18</w:t>
            </w:r>
          </w:p>
        </w:tc>
        <w:tc>
          <w:tcPr>
            <w:tcW w:w="3211" w:type="dxa"/>
            <w:vAlign w:val="center"/>
          </w:tcPr>
          <w:p w14:paraId="2B5F709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直齿轮改制</w:t>
            </w:r>
          </w:p>
        </w:tc>
        <w:tc>
          <w:tcPr>
            <w:tcW w:w="1296" w:type="dxa"/>
            <w:vAlign w:val="center"/>
          </w:tcPr>
          <w:p w14:paraId="076FF16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6C8CE95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180</w:t>
            </w:r>
          </w:p>
        </w:tc>
        <w:tc>
          <w:tcPr>
            <w:tcW w:w="1348" w:type="dxa"/>
            <w:noWrap/>
            <w:vAlign w:val="center"/>
          </w:tcPr>
          <w:p w14:paraId="74E172A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485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5BDBE8A">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38</w:t>
            </w:r>
          </w:p>
        </w:tc>
        <w:tc>
          <w:tcPr>
            <w:tcW w:w="2034" w:type="dxa"/>
            <w:vAlign w:val="center"/>
          </w:tcPr>
          <w:p w14:paraId="0B43997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F2_040403_710000_08</w:t>
            </w:r>
          </w:p>
        </w:tc>
        <w:tc>
          <w:tcPr>
            <w:tcW w:w="3211" w:type="dxa"/>
            <w:vAlign w:val="center"/>
          </w:tcPr>
          <w:p w14:paraId="3B62275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接口防尘盖板</w:t>
            </w:r>
          </w:p>
        </w:tc>
        <w:tc>
          <w:tcPr>
            <w:tcW w:w="1296" w:type="dxa"/>
            <w:vAlign w:val="center"/>
          </w:tcPr>
          <w:p w14:paraId="3F8C23A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E40787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0A5B1D7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63E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68A0D31">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39</w:t>
            </w:r>
          </w:p>
        </w:tc>
        <w:tc>
          <w:tcPr>
            <w:tcW w:w="2034" w:type="dxa"/>
            <w:vAlign w:val="center"/>
          </w:tcPr>
          <w:p w14:paraId="5929031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F2_040403_710000_11</w:t>
            </w:r>
          </w:p>
        </w:tc>
        <w:tc>
          <w:tcPr>
            <w:tcW w:w="3211" w:type="dxa"/>
            <w:vAlign w:val="center"/>
          </w:tcPr>
          <w:p w14:paraId="15677D1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隔离门限位开关座1</w:t>
            </w:r>
          </w:p>
        </w:tc>
        <w:tc>
          <w:tcPr>
            <w:tcW w:w="1296" w:type="dxa"/>
            <w:vAlign w:val="center"/>
          </w:tcPr>
          <w:p w14:paraId="3E36B3F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53A412E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w:t>
            </w:r>
          </w:p>
        </w:tc>
        <w:tc>
          <w:tcPr>
            <w:tcW w:w="1348" w:type="dxa"/>
            <w:noWrap/>
            <w:vAlign w:val="center"/>
          </w:tcPr>
          <w:p w14:paraId="58761CE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E60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317E49D">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40</w:t>
            </w:r>
          </w:p>
        </w:tc>
        <w:tc>
          <w:tcPr>
            <w:tcW w:w="2034" w:type="dxa"/>
            <w:vAlign w:val="center"/>
          </w:tcPr>
          <w:p w14:paraId="76AA3DC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F2_040403_710000_12</w:t>
            </w:r>
          </w:p>
        </w:tc>
        <w:tc>
          <w:tcPr>
            <w:tcW w:w="3211" w:type="dxa"/>
            <w:vAlign w:val="center"/>
          </w:tcPr>
          <w:p w14:paraId="7C1157C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限位开关挡板2</w:t>
            </w:r>
          </w:p>
        </w:tc>
        <w:tc>
          <w:tcPr>
            <w:tcW w:w="1296" w:type="dxa"/>
            <w:vAlign w:val="center"/>
          </w:tcPr>
          <w:p w14:paraId="4062698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1A783FD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w:t>
            </w:r>
          </w:p>
        </w:tc>
        <w:tc>
          <w:tcPr>
            <w:tcW w:w="1348" w:type="dxa"/>
            <w:noWrap/>
            <w:vAlign w:val="center"/>
          </w:tcPr>
          <w:p w14:paraId="1235A0A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E8A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72731E2">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41</w:t>
            </w:r>
          </w:p>
        </w:tc>
        <w:tc>
          <w:tcPr>
            <w:tcW w:w="2034" w:type="dxa"/>
            <w:vAlign w:val="center"/>
          </w:tcPr>
          <w:p w14:paraId="15B1A03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F2_040403_710000_13</w:t>
            </w:r>
          </w:p>
        </w:tc>
        <w:tc>
          <w:tcPr>
            <w:tcW w:w="3211" w:type="dxa"/>
            <w:vAlign w:val="center"/>
          </w:tcPr>
          <w:p w14:paraId="5A5C342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限位开关座2</w:t>
            </w:r>
          </w:p>
        </w:tc>
        <w:tc>
          <w:tcPr>
            <w:tcW w:w="1296" w:type="dxa"/>
            <w:vAlign w:val="center"/>
          </w:tcPr>
          <w:p w14:paraId="1E496B4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01A6261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w:t>
            </w:r>
          </w:p>
        </w:tc>
        <w:tc>
          <w:tcPr>
            <w:tcW w:w="1348" w:type="dxa"/>
            <w:noWrap/>
            <w:vAlign w:val="center"/>
          </w:tcPr>
          <w:p w14:paraId="5E1108C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878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4E31778">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42</w:t>
            </w:r>
          </w:p>
        </w:tc>
        <w:tc>
          <w:tcPr>
            <w:tcW w:w="2034" w:type="dxa"/>
            <w:vAlign w:val="center"/>
          </w:tcPr>
          <w:p w14:paraId="3708206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F2_040403_710000_14</w:t>
            </w:r>
          </w:p>
        </w:tc>
        <w:tc>
          <w:tcPr>
            <w:tcW w:w="3211" w:type="dxa"/>
            <w:vAlign w:val="center"/>
          </w:tcPr>
          <w:p w14:paraId="4DCFBFA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真空抽口</w:t>
            </w:r>
          </w:p>
        </w:tc>
        <w:tc>
          <w:tcPr>
            <w:tcW w:w="1296" w:type="dxa"/>
            <w:vAlign w:val="center"/>
          </w:tcPr>
          <w:p w14:paraId="35F9026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2CDEDA6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25</w:t>
            </w:r>
          </w:p>
        </w:tc>
        <w:tc>
          <w:tcPr>
            <w:tcW w:w="1348" w:type="dxa"/>
            <w:noWrap/>
            <w:vAlign w:val="center"/>
          </w:tcPr>
          <w:p w14:paraId="7C6C795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编制工艺文件</w:t>
            </w:r>
          </w:p>
        </w:tc>
      </w:tr>
      <w:tr w14:paraId="630E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D4C5207">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43</w:t>
            </w:r>
          </w:p>
        </w:tc>
        <w:tc>
          <w:tcPr>
            <w:tcW w:w="2034" w:type="dxa"/>
            <w:vAlign w:val="center"/>
          </w:tcPr>
          <w:p w14:paraId="23F3D9F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F2_040403_710000_15</w:t>
            </w:r>
          </w:p>
        </w:tc>
        <w:tc>
          <w:tcPr>
            <w:tcW w:w="3211" w:type="dxa"/>
            <w:vAlign w:val="center"/>
          </w:tcPr>
          <w:p w14:paraId="5CFDC9A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气管防护盖</w:t>
            </w:r>
          </w:p>
        </w:tc>
        <w:tc>
          <w:tcPr>
            <w:tcW w:w="1296" w:type="dxa"/>
            <w:vAlign w:val="center"/>
          </w:tcPr>
          <w:p w14:paraId="0F2DB4E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6780F1D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w:t>
            </w:r>
          </w:p>
        </w:tc>
        <w:tc>
          <w:tcPr>
            <w:tcW w:w="1348" w:type="dxa"/>
            <w:noWrap/>
            <w:vAlign w:val="center"/>
          </w:tcPr>
          <w:p w14:paraId="58CA46E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7954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FA1FD5A">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44</w:t>
            </w:r>
          </w:p>
        </w:tc>
        <w:tc>
          <w:tcPr>
            <w:tcW w:w="2034" w:type="dxa"/>
            <w:vAlign w:val="center"/>
          </w:tcPr>
          <w:p w14:paraId="1481481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F2_040403_710000_16</w:t>
            </w:r>
          </w:p>
        </w:tc>
        <w:tc>
          <w:tcPr>
            <w:tcW w:w="3211" w:type="dxa"/>
            <w:vAlign w:val="center"/>
          </w:tcPr>
          <w:p w14:paraId="3EB6EDB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杂散光压紧块1</w:t>
            </w:r>
          </w:p>
        </w:tc>
        <w:tc>
          <w:tcPr>
            <w:tcW w:w="1296" w:type="dxa"/>
            <w:vAlign w:val="center"/>
          </w:tcPr>
          <w:p w14:paraId="0AC9BBF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783D386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1152</w:t>
            </w:r>
          </w:p>
        </w:tc>
        <w:tc>
          <w:tcPr>
            <w:tcW w:w="1348" w:type="dxa"/>
            <w:noWrap/>
            <w:vAlign w:val="center"/>
          </w:tcPr>
          <w:p w14:paraId="5FA9349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77B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D7EFE1B">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45</w:t>
            </w:r>
          </w:p>
        </w:tc>
        <w:tc>
          <w:tcPr>
            <w:tcW w:w="2034" w:type="dxa"/>
            <w:vAlign w:val="center"/>
          </w:tcPr>
          <w:p w14:paraId="7BE715C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F2_040403_710000_17</w:t>
            </w:r>
          </w:p>
        </w:tc>
        <w:tc>
          <w:tcPr>
            <w:tcW w:w="3211" w:type="dxa"/>
            <w:vAlign w:val="center"/>
          </w:tcPr>
          <w:p w14:paraId="6B3AF6B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杂散光压紧块2</w:t>
            </w:r>
          </w:p>
        </w:tc>
        <w:tc>
          <w:tcPr>
            <w:tcW w:w="1296" w:type="dxa"/>
            <w:vAlign w:val="center"/>
          </w:tcPr>
          <w:p w14:paraId="5018984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5A970A7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1152</w:t>
            </w:r>
          </w:p>
        </w:tc>
        <w:tc>
          <w:tcPr>
            <w:tcW w:w="1348" w:type="dxa"/>
            <w:noWrap/>
            <w:vAlign w:val="center"/>
          </w:tcPr>
          <w:p w14:paraId="6F78C72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A04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AFDFD5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46</w:t>
            </w:r>
          </w:p>
        </w:tc>
        <w:tc>
          <w:tcPr>
            <w:tcW w:w="2034" w:type="dxa"/>
            <w:vAlign w:val="center"/>
          </w:tcPr>
          <w:p w14:paraId="3CEDFB8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F2_040403_710000_18</w:t>
            </w:r>
          </w:p>
        </w:tc>
        <w:tc>
          <w:tcPr>
            <w:tcW w:w="3211" w:type="dxa"/>
            <w:vAlign w:val="center"/>
          </w:tcPr>
          <w:p w14:paraId="10D757F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备用口操作盖板</w:t>
            </w:r>
          </w:p>
        </w:tc>
        <w:tc>
          <w:tcPr>
            <w:tcW w:w="1296" w:type="dxa"/>
            <w:vAlign w:val="center"/>
          </w:tcPr>
          <w:p w14:paraId="3056641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D4B8E0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w:t>
            </w:r>
          </w:p>
        </w:tc>
        <w:tc>
          <w:tcPr>
            <w:tcW w:w="1348" w:type="dxa"/>
            <w:noWrap/>
            <w:vAlign w:val="center"/>
          </w:tcPr>
          <w:p w14:paraId="5694155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B7B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B29D028">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47</w:t>
            </w:r>
          </w:p>
        </w:tc>
        <w:tc>
          <w:tcPr>
            <w:tcW w:w="2034" w:type="dxa"/>
            <w:vAlign w:val="center"/>
          </w:tcPr>
          <w:p w14:paraId="6E2372B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F2_040403_710000_19</w:t>
            </w:r>
          </w:p>
        </w:tc>
        <w:tc>
          <w:tcPr>
            <w:tcW w:w="3211" w:type="dxa"/>
            <w:vAlign w:val="center"/>
          </w:tcPr>
          <w:p w14:paraId="60F4845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压紧机构防护罩1</w:t>
            </w:r>
          </w:p>
        </w:tc>
        <w:tc>
          <w:tcPr>
            <w:tcW w:w="1296" w:type="dxa"/>
            <w:vAlign w:val="center"/>
          </w:tcPr>
          <w:p w14:paraId="1F85B76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67D8B96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96</w:t>
            </w:r>
          </w:p>
        </w:tc>
        <w:tc>
          <w:tcPr>
            <w:tcW w:w="1348" w:type="dxa"/>
            <w:noWrap/>
            <w:vAlign w:val="center"/>
          </w:tcPr>
          <w:p w14:paraId="004ED62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352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789FFED6">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48</w:t>
            </w:r>
          </w:p>
        </w:tc>
        <w:tc>
          <w:tcPr>
            <w:tcW w:w="2034" w:type="dxa"/>
            <w:vAlign w:val="center"/>
          </w:tcPr>
          <w:p w14:paraId="2D00540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F2_040403_710000_22</w:t>
            </w:r>
          </w:p>
        </w:tc>
        <w:tc>
          <w:tcPr>
            <w:tcW w:w="3211" w:type="dxa"/>
            <w:vAlign w:val="center"/>
          </w:tcPr>
          <w:p w14:paraId="00A5376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中路线盖板</w:t>
            </w:r>
          </w:p>
        </w:tc>
        <w:tc>
          <w:tcPr>
            <w:tcW w:w="1296" w:type="dxa"/>
            <w:vAlign w:val="center"/>
          </w:tcPr>
          <w:p w14:paraId="5D4AA17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132022A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96</w:t>
            </w:r>
          </w:p>
        </w:tc>
        <w:tc>
          <w:tcPr>
            <w:tcW w:w="1348" w:type="dxa"/>
            <w:noWrap/>
            <w:vAlign w:val="center"/>
          </w:tcPr>
          <w:p w14:paraId="52DF15B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827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14EC307">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49</w:t>
            </w:r>
          </w:p>
        </w:tc>
        <w:tc>
          <w:tcPr>
            <w:tcW w:w="2034" w:type="dxa"/>
            <w:vAlign w:val="center"/>
          </w:tcPr>
          <w:p w14:paraId="159CA17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F2_040403_710000_23</w:t>
            </w:r>
          </w:p>
        </w:tc>
        <w:tc>
          <w:tcPr>
            <w:tcW w:w="3211" w:type="dxa"/>
            <w:vAlign w:val="center"/>
          </w:tcPr>
          <w:p w14:paraId="34E9FA8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电缸防护板</w:t>
            </w:r>
          </w:p>
        </w:tc>
        <w:tc>
          <w:tcPr>
            <w:tcW w:w="1296" w:type="dxa"/>
            <w:vAlign w:val="center"/>
          </w:tcPr>
          <w:p w14:paraId="0F3C4F9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17C6A2E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3A638D1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445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8AF2D34">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50</w:t>
            </w:r>
          </w:p>
        </w:tc>
        <w:tc>
          <w:tcPr>
            <w:tcW w:w="2034" w:type="dxa"/>
            <w:vAlign w:val="center"/>
          </w:tcPr>
          <w:p w14:paraId="0366002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F2_040403_710000_24</w:t>
            </w:r>
          </w:p>
        </w:tc>
        <w:tc>
          <w:tcPr>
            <w:tcW w:w="3211" w:type="dxa"/>
            <w:vAlign w:val="center"/>
          </w:tcPr>
          <w:p w14:paraId="7B1FBC7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电缸线防护板</w:t>
            </w:r>
          </w:p>
        </w:tc>
        <w:tc>
          <w:tcPr>
            <w:tcW w:w="1296" w:type="dxa"/>
            <w:vAlign w:val="center"/>
          </w:tcPr>
          <w:p w14:paraId="0B8E103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64104ED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60AC7D0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24D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AFC14A8">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51</w:t>
            </w:r>
          </w:p>
        </w:tc>
        <w:tc>
          <w:tcPr>
            <w:tcW w:w="2034" w:type="dxa"/>
            <w:vAlign w:val="center"/>
          </w:tcPr>
          <w:p w14:paraId="53B127A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F2_040403_710000_25</w:t>
            </w:r>
          </w:p>
        </w:tc>
        <w:tc>
          <w:tcPr>
            <w:tcW w:w="3211" w:type="dxa"/>
            <w:vAlign w:val="center"/>
          </w:tcPr>
          <w:p w14:paraId="4E4B1B7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屏蔽片电缆防护板</w:t>
            </w:r>
          </w:p>
        </w:tc>
        <w:tc>
          <w:tcPr>
            <w:tcW w:w="1296" w:type="dxa"/>
            <w:vAlign w:val="center"/>
          </w:tcPr>
          <w:p w14:paraId="3269905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16D3AAA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192</w:t>
            </w:r>
          </w:p>
        </w:tc>
        <w:tc>
          <w:tcPr>
            <w:tcW w:w="1348" w:type="dxa"/>
            <w:noWrap/>
            <w:vAlign w:val="center"/>
          </w:tcPr>
          <w:p w14:paraId="5146C05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23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06BABF6F">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52</w:t>
            </w:r>
          </w:p>
        </w:tc>
        <w:tc>
          <w:tcPr>
            <w:tcW w:w="2034" w:type="dxa"/>
            <w:vAlign w:val="center"/>
          </w:tcPr>
          <w:p w14:paraId="454EA8D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F2_040403_710000_28</w:t>
            </w:r>
          </w:p>
        </w:tc>
        <w:tc>
          <w:tcPr>
            <w:tcW w:w="3211" w:type="dxa"/>
            <w:vAlign w:val="center"/>
          </w:tcPr>
          <w:p w14:paraId="75B01DB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大吸收体加强连接板</w:t>
            </w:r>
          </w:p>
        </w:tc>
        <w:tc>
          <w:tcPr>
            <w:tcW w:w="1296" w:type="dxa"/>
            <w:vAlign w:val="center"/>
          </w:tcPr>
          <w:p w14:paraId="006FE42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5F8F446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144</w:t>
            </w:r>
          </w:p>
        </w:tc>
        <w:tc>
          <w:tcPr>
            <w:tcW w:w="1348" w:type="dxa"/>
            <w:noWrap/>
            <w:vAlign w:val="center"/>
          </w:tcPr>
          <w:p w14:paraId="1640777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825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E9E8F94">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53</w:t>
            </w:r>
          </w:p>
        </w:tc>
        <w:tc>
          <w:tcPr>
            <w:tcW w:w="2034" w:type="dxa"/>
            <w:vAlign w:val="center"/>
          </w:tcPr>
          <w:p w14:paraId="03F701E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F2_040403_710000_29</w:t>
            </w:r>
          </w:p>
        </w:tc>
        <w:tc>
          <w:tcPr>
            <w:tcW w:w="3211" w:type="dxa"/>
            <w:vAlign w:val="center"/>
          </w:tcPr>
          <w:p w14:paraId="360FB17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大吸收体中路连接板</w:t>
            </w:r>
          </w:p>
        </w:tc>
        <w:tc>
          <w:tcPr>
            <w:tcW w:w="1296" w:type="dxa"/>
            <w:vAlign w:val="center"/>
          </w:tcPr>
          <w:p w14:paraId="1316DEF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6F749C4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679CDF0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4683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3F3405E">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54</w:t>
            </w:r>
          </w:p>
        </w:tc>
        <w:tc>
          <w:tcPr>
            <w:tcW w:w="2034" w:type="dxa"/>
            <w:vAlign w:val="center"/>
          </w:tcPr>
          <w:p w14:paraId="75F916A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F2_040403_710000_30</w:t>
            </w:r>
          </w:p>
        </w:tc>
        <w:tc>
          <w:tcPr>
            <w:tcW w:w="3211" w:type="dxa"/>
            <w:vAlign w:val="center"/>
          </w:tcPr>
          <w:p w14:paraId="6FE73A4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防护条连接板1</w:t>
            </w:r>
          </w:p>
        </w:tc>
        <w:tc>
          <w:tcPr>
            <w:tcW w:w="1296" w:type="dxa"/>
            <w:vAlign w:val="center"/>
          </w:tcPr>
          <w:p w14:paraId="14B4347A">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604DEF1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28D9CC6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6F0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47DE3F3">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55</w:t>
            </w:r>
          </w:p>
        </w:tc>
        <w:tc>
          <w:tcPr>
            <w:tcW w:w="2034" w:type="dxa"/>
            <w:vAlign w:val="center"/>
          </w:tcPr>
          <w:p w14:paraId="5C9EB78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F2_040403_710000_31</w:t>
            </w:r>
          </w:p>
        </w:tc>
        <w:tc>
          <w:tcPr>
            <w:tcW w:w="3211" w:type="dxa"/>
            <w:vAlign w:val="center"/>
          </w:tcPr>
          <w:p w14:paraId="4FF345C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防护条连接板2</w:t>
            </w:r>
          </w:p>
        </w:tc>
        <w:tc>
          <w:tcPr>
            <w:tcW w:w="1296" w:type="dxa"/>
            <w:vAlign w:val="center"/>
          </w:tcPr>
          <w:p w14:paraId="42C8C2A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2AE1497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1FCBC27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3B8A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A0DA6C3">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56</w:t>
            </w:r>
          </w:p>
        </w:tc>
        <w:tc>
          <w:tcPr>
            <w:tcW w:w="2034" w:type="dxa"/>
            <w:vAlign w:val="center"/>
          </w:tcPr>
          <w:p w14:paraId="38C35C8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F2_040403_710000_32</w:t>
            </w:r>
          </w:p>
        </w:tc>
        <w:tc>
          <w:tcPr>
            <w:tcW w:w="3211" w:type="dxa"/>
            <w:vAlign w:val="center"/>
          </w:tcPr>
          <w:p w14:paraId="39C2ABF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防护条连接板3</w:t>
            </w:r>
          </w:p>
        </w:tc>
        <w:tc>
          <w:tcPr>
            <w:tcW w:w="1296" w:type="dxa"/>
            <w:vAlign w:val="center"/>
          </w:tcPr>
          <w:p w14:paraId="7C4D2B80">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378AD3D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48</w:t>
            </w:r>
          </w:p>
        </w:tc>
        <w:tc>
          <w:tcPr>
            <w:tcW w:w="1348" w:type="dxa"/>
            <w:noWrap/>
            <w:vAlign w:val="center"/>
          </w:tcPr>
          <w:p w14:paraId="63EDF98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7D88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4ABFAA2">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57</w:t>
            </w:r>
          </w:p>
        </w:tc>
        <w:tc>
          <w:tcPr>
            <w:tcW w:w="2034" w:type="dxa"/>
            <w:vAlign w:val="center"/>
          </w:tcPr>
          <w:p w14:paraId="64BAF71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F2_040403_710000_33</w:t>
            </w:r>
          </w:p>
        </w:tc>
        <w:tc>
          <w:tcPr>
            <w:tcW w:w="3211" w:type="dxa"/>
            <w:vAlign w:val="center"/>
          </w:tcPr>
          <w:p w14:paraId="73A6DA5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防护条连接板4</w:t>
            </w:r>
          </w:p>
        </w:tc>
        <w:tc>
          <w:tcPr>
            <w:tcW w:w="1296" w:type="dxa"/>
            <w:vAlign w:val="center"/>
          </w:tcPr>
          <w:p w14:paraId="63132E6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1E7BD0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432</w:t>
            </w:r>
          </w:p>
        </w:tc>
        <w:tc>
          <w:tcPr>
            <w:tcW w:w="1348" w:type="dxa"/>
            <w:noWrap/>
            <w:vAlign w:val="center"/>
          </w:tcPr>
          <w:p w14:paraId="624B4AF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697F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7079462">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58</w:t>
            </w:r>
          </w:p>
        </w:tc>
        <w:tc>
          <w:tcPr>
            <w:tcW w:w="2034" w:type="dxa"/>
            <w:vAlign w:val="center"/>
          </w:tcPr>
          <w:p w14:paraId="28D4635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F2_040403_710000_35</w:t>
            </w:r>
          </w:p>
        </w:tc>
        <w:tc>
          <w:tcPr>
            <w:tcW w:w="3211" w:type="dxa"/>
            <w:vAlign w:val="center"/>
          </w:tcPr>
          <w:p w14:paraId="76F313F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压紧机构防护罩3</w:t>
            </w:r>
          </w:p>
        </w:tc>
        <w:tc>
          <w:tcPr>
            <w:tcW w:w="1296" w:type="dxa"/>
            <w:vAlign w:val="center"/>
          </w:tcPr>
          <w:p w14:paraId="66518FA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5083</w:t>
            </w:r>
          </w:p>
        </w:tc>
        <w:tc>
          <w:tcPr>
            <w:tcW w:w="757" w:type="dxa"/>
            <w:vAlign w:val="center"/>
          </w:tcPr>
          <w:p w14:paraId="6201821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54</w:t>
            </w:r>
          </w:p>
        </w:tc>
        <w:tc>
          <w:tcPr>
            <w:tcW w:w="1348" w:type="dxa"/>
            <w:noWrap/>
            <w:vAlign w:val="center"/>
          </w:tcPr>
          <w:p w14:paraId="6EE8869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09C8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626E5A9">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59</w:t>
            </w:r>
          </w:p>
        </w:tc>
        <w:tc>
          <w:tcPr>
            <w:tcW w:w="2034" w:type="dxa"/>
            <w:vAlign w:val="center"/>
          </w:tcPr>
          <w:p w14:paraId="2D455B7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F2_040403_710000_36</w:t>
            </w:r>
          </w:p>
        </w:tc>
        <w:tc>
          <w:tcPr>
            <w:tcW w:w="3211" w:type="dxa"/>
            <w:vAlign w:val="center"/>
          </w:tcPr>
          <w:p w14:paraId="58D29A4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压紧机构防护罩4</w:t>
            </w:r>
          </w:p>
        </w:tc>
        <w:tc>
          <w:tcPr>
            <w:tcW w:w="1296" w:type="dxa"/>
            <w:vAlign w:val="center"/>
          </w:tcPr>
          <w:p w14:paraId="2274880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6B935B4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54</w:t>
            </w:r>
          </w:p>
        </w:tc>
        <w:tc>
          <w:tcPr>
            <w:tcW w:w="1348" w:type="dxa"/>
            <w:noWrap/>
            <w:vAlign w:val="center"/>
          </w:tcPr>
          <w:p w14:paraId="0F21410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9BC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6F5BF621">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60</w:t>
            </w:r>
          </w:p>
        </w:tc>
        <w:tc>
          <w:tcPr>
            <w:tcW w:w="2034" w:type="dxa"/>
            <w:vAlign w:val="center"/>
          </w:tcPr>
          <w:p w14:paraId="35FE41F5">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F2_040403_710000_37</w:t>
            </w:r>
          </w:p>
        </w:tc>
        <w:tc>
          <w:tcPr>
            <w:tcW w:w="3211" w:type="dxa"/>
            <w:vAlign w:val="center"/>
          </w:tcPr>
          <w:p w14:paraId="7635121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照明电箱固定板</w:t>
            </w:r>
          </w:p>
        </w:tc>
        <w:tc>
          <w:tcPr>
            <w:tcW w:w="1296" w:type="dxa"/>
            <w:vAlign w:val="center"/>
          </w:tcPr>
          <w:p w14:paraId="6D04F8F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72D0F7E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55C3F5D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编制工艺文件</w:t>
            </w:r>
          </w:p>
        </w:tc>
      </w:tr>
      <w:tr w14:paraId="5014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258E9C5B">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61</w:t>
            </w:r>
          </w:p>
        </w:tc>
        <w:tc>
          <w:tcPr>
            <w:tcW w:w="2034" w:type="dxa"/>
            <w:vAlign w:val="center"/>
          </w:tcPr>
          <w:p w14:paraId="6B11034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F2_040403_710000_38</w:t>
            </w:r>
          </w:p>
        </w:tc>
        <w:tc>
          <w:tcPr>
            <w:tcW w:w="3211" w:type="dxa"/>
            <w:vAlign w:val="center"/>
          </w:tcPr>
          <w:p w14:paraId="06B7D22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隔离窗限位</w:t>
            </w:r>
          </w:p>
        </w:tc>
        <w:tc>
          <w:tcPr>
            <w:tcW w:w="1296" w:type="dxa"/>
            <w:vAlign w:val="center"/>
          </w:tcPr>
          <w:p w14:paraId="5505D25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5B63724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24</w:t>
            </w:r>
          </w:p>
        </w:tc>
        <w:tc>
          <w:tcPr>
            <w:tcW w:w="1348" w:type="dxa"/>
            <w:noWrap/>
            <w:vAlign w:val="center"/>
          </w:tcPr>
          <w:p w14:paraId="1124E93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编制工艺文件</w:t>
            </w:r>
          </w:p>
        </w:tc>
      </w:tr>
      <w:tr w14:paraId="55FB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3E88192B">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62</w:t>
            </w:r>
          </w:p>
        </w:tc>
        <w:tc>
          <w:tcPr>
            <w:tcW w:w="2034" w:type="dxa"/>
            <w:vAlign w:val="center"/>
          </w:tcPr>
          <w:p w14:paraId="063A6AE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F2_040403_710000_39</w:t>
            </w:r>
          </w:p>
        </w:tc>
        <w:tc>
          <w:tcPr>
            <w:tcW w:w="3211" w:type="dxa"/>
            <w:vAlign w:val="center"/>
          </w:tcPr>
          <w:p w14:paraId="0A22EE9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齿轮轴承压盖</w:t>
            </w:r>
          </w:p>
        </w:tc>
        <w:tc>
          <w:tcPr>
            <w:tcW w:w="1296" w:type="dxa"/>
            <w:vAlign w:val="center"/>
          </w:tcPr>
          <w:p w14:paraId="7926E652">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645EDA1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680</w:t>
            </w:r>
          </w:p>
        </w:tc>
        <w:tc>
          <w:tcPr>
            <w:tcW w:w="1348" w:type="dxa"/>
            <w:noWrap/>
            <w:vAlign w:val="center"/>
          </w:tcPr>
          <w:p w14:paraId="25E1796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97D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1DBF1322">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63</w:t>
            </w:r>
          </w:p>
        </w:tc>
        <w:tc>
          <w:tcPr>
            <w:tcW w:w="2034" w:type="dxa"/>
            <w:vAlign w:val="center"/>
          </w:tcPr>
          <w:p w14:paraId="464DB59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PRT0124</w:t>
            </w:r>
          </w:p>
        </w:tc>
        <w:tc>
          <w:tcPr>
            <w:tcW w:w="3211" w:type="dxa"/>
            <w:vAlign w:val="center"/>
          </w:tcPr>
          <w:p w14:paraId="2E3C9BE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辅助支撑条</w:t>
            </w:r>
          </w:p>
        </w:tc>
        <w:tc>
          <w:tcPr>
            <w:tcW w:w="1296" w:type="dxa"/>
            <w:vAlign w:val="center"/>
          </w:tcPr>
          <w:p w14:paraId="6635C74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382AF13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66</w:t>
            </w:r>
          </w:p>
        </w:tc>
        <w:tc>
          <w:tcPr>
            <w:tcW w:w="1348" w:type="dxa"/>
            <w:noWrap/>
            <w:vAlign w:val="center"/>
          </w:tcPr>
          <w:p w14:paraId="6275BA6D">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17F3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CD984AA">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64</w:t>
            </w:r>
          </w:p>
        </w:tc>
        <w:tc>
          <w:tcPr>
            <w:tcW w:w="2034" w:type="dxa"/>
            <w:vAlign w:val="center"/>
          </w:tcPr>
          <w:p w14:paraId="4FC342F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PRT0127</w:t>
            </w:r>
          </w:p>
        </w:tc>
        <w:tc>
          <w:tcPr>
            <w:tcW w:w="3211" w:type="dxa"/>
            <w:vAlign w:val="center"/>
          </w:tcPr>
          <w:p w14:paraId="10EC5246">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辅助支撑条镜向</w:t>
            </w:r>
          </w:p>
        </w:tc>
        <w:tc>
          <w:tcPr>
            <w:tcW w:w="1296" w:type="dxa"/>
            <w:vAlign w:val="center"/>
          </w:tcPr>
          <w:p w14:paraId="551D13C8">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2Cr13</w:t>
            </w:r>
          </w:p>
        </w:tc>
        <w:tc>
          <w:tcPr>
            <w:tcW w:w="757" w:type="dxa"/>
            <w:vAlign w:val="center"/>
          </w:tcPr>
          <w:p w14:paraId="578CBD0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66</w:t>
            </w:r>
          </w:p>
        </w:tc>
        <w:tc>
          <w:tcPr>
            <w:tcW w:w="1348" w:type="dxa"/>
            <w:noWrap/>
            <w:vAlign w:val="center"/>
          </w:tcPr>
          <w:p w14:paraId="4D3C28B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50A6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518EF5FA">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65</w:t>
            </w:r>
          </w:p>
        </w:tc>
        <w:tc>
          <w:tcPr>
            <w:tcW w:w="2034" w:type="dxa"/>
            <w:vAlign w:val="center"/>
          </w:tcPr>
          <w:p w14:paraId="747F617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ZDGB-001</w:t>
            </w:r>
          </w:p>
        </w:tc>
        <w:tc>
          <w:tcPr>
            <w:tcW w:w="3211" w:type="dxa"/>
            <w:vAlign w:val="center"/>
          </w:tcPr>
          <w:p w14:paraId="55CB16C7">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锥段小法兰密封板</w:t>
            </w:r>
          </w:p>
        </w:tc>
        <w:tc>
          <w:tcPr>
            <w:tcW w:w="1296" w:type="dxa"/>
            <w:vAlign w:val="center"/>
          </w:tcPr>
          <w:p w14:paraId="6B35B69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6061</w:t>
            </w:r>
          </w:p>
        </w:tc>
        <w:tc>
          <w:tcPr>
            <w:tcW w:w="757" w:type="dxa"/>
            <w:vAlign w:val="center"/>
          </w:tcPr>
          <w:p w14:paraId="06A9D68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w:t>
            </w:r>
          </w:p>
        </w:tc>
        <w:tc>
          <w:tcPr>
            <w:tcW w:w="1348" w:type="dxa"/>
            <w:noWrap/>
            <w:vAlign w:val="center"/>
          </w:tcPr>
          <w:p w14:paraId="3C98E56B">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E4C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03A00FCE">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66</w:t>
            </w:r>
          </w:p>
        </w:tc>
        <w:tc>
          <w:tcPr>
            <w:tcW w:w="2034" w:type="dxa"/>
            <w:vAlign w:val="center"/>
          </w:tcPr>
          <w:p w14:paraId="2E8B0AE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ZDGZ-0809-01</w:t>
            </w:r>
          </w:p>
        </w:tc>
        <w:tc>
          <w:tcPr>
            <w:tcW w:w="3211" w:type="dxa"/>
            <w:vAlign w:val="center"/>
          </w:tcPr>
          <w:p w14:paraId="272F360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真空隔离阀门装配工装垫1</w:t>
            </w:r>
          </w:p>
        </w:tc>
        <w:tc>
          <w:tcPr>
            <w:tcW w:w="1296" w:type="dxa"/>
            <w:vAlign w:val="center"/>
          </w:tcPr>
          <w:p w14:paraId="5938CE7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304</w:t>
            </w:r>
          </w:p>
        </w:tc>
        <w:tc>
          <w:tcPr>
            <w:tcW w:w="757" w:type="dxa"/>
            <w:vAlign w:val="center"/>
          </w:tcPr>
          <w:p w14:paraId="7356555E">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414</w:t>
            </w:r>
          </w:p>
        </w:tc>
        <w:tc>
          <w:tcPr>
            <w:tcW w:w="1348" w:type="dxa"/>
            <w:noWrap/>
            <w:vAlign w:val="center"/>
          </w:tcPr>
          <w:p w14:paraId="5215EDAF">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3892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vAlign w:val="center"/>
          </w:tcPr>
          <w:p w14:paraId="4A28D1F4">
            <w:pPr>
              <w:widowControl/>
              <w:jc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cs="宋体"/>
                <w:b/>
                <w:bCs/>
                <w:color w:val="000000" w:themeColor="text1"/>
                <w:kern w:val="0"/>
                <w:sz w:val="18"/>
                <w:szCs w:val="18"/>
                <w14:textFill>
                  <w14:solidFill>
                    <w14:schemeClr w14:val="tx1"/>
                  </w14:solidFill>
                </w14:textFill>
              </w:rPr>
              <w:t>67</w:t>
            </w:r>
          </w:p>
        </w:tc>
        <w:tc>
          <w:tcPr>
            <w:tcW w:w="2034" w:type="dxa"/>
            <w:vAlign w:val="center"/>
          </w:tcPr>
          <w:p w14:paraId="1B0B4DE4">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ZDGZ-0809-02</w:t>
            </w:r>
          </w:p>
        </w:tc>
        <w:tc>
          <w:tcPr>
            <w:tcW w:w="3211" w:type="dxa"/>
            <w:vAlign w:val="center"/>
          </w:tcPr>
          <w:p w14:paraId="1BB7EBE9">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真空隔离阀门装配工装垫2</w:t>
            </w:r>
          </w:p>
        </w:tc>
        <w:tc>
          <w:tcPr>
            <w:tcW w:w="1296" w:type="dxa"/>
            <w:vAlign w:val="center"/>
          </w:tcPr>
          <w:p w14:paraId="79E21971">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304</w:t>
            </w:r>
          </w:p>
        </w:tc>
        <w:tc>
          <w:tcPr>
            <w:tcW w:w="757" w:type="dxa"/>
            <w:vAlign w:val="center"/>
          </w:tcPr>
          <w:p w14:paraId="71F6EF0C">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hint="eastAsia" w:ascii="华文仿宋" w:hAnsi="华文仿宋" w:eastAsia="华文仿宋"/>
                <w:b/>
                <w:bCs/>
                <w:sz w:val="18"/>
                <w:szCs w:val="18"/>
              </w:rPr>
              <w:t>138</w:t>
            </w:r>
          </w:p>
        </w:tc>
        <w:tc>
          <w:tcPr>
            <w:tcW w:w="1348" w:type="dxa"/>
            <w:noWrap/>
            <w:vAlign w:val="center"/>
          </w:tcPr>
          <w:p w14:paraId="293D87E3">
            <w:pPr>
              <w:widowControl/>
              <w:jc w:val="center"/>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p>
        </w:tc>
      </w:tr>
      <w:tr w14:paraId="22D2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55" w:type="dxa"/>
            <w:gridSpan w:val="6"/>
            <w:vAlign w:val="center"/>
          </w:tcPr>
          <w:p w14:paraId="7DB67410">
            <w:pPr>
              <w:pStyle w:val="25"/>
              <w:tabs>
                <w:tab w:val="left" w:pos="2685"/>
              </w:tabs>
              <w:snapToGrid w:val="0"/>
              <w:ind w:firstLine="0" w:firstLineChars="0"/>
              <w:jc w:val="center"/>
              <w:rPr>
                <w:rFonts w:hint="eastAsia" w:ascii="华文仿宋" w:hAnsi="华文仿宋" w:eastAsia="华文仿宋"/>
                <w:b/>
                <w:bCs/>
                <w:sz w:val="18"/>
                <w:szCs w:val="18"/>
              </w:rPr>
            </w:pPr>
            <w:sdt>
              <w:sdtPr>
                <w:rPr>
                  <w:rFonts w:hint="eastAsia" w:ascii="华文仿宋" w:hAnsi="华文仿宋" w:eastAsia="华文仿宋"/>
                  <w:b/>
                  <w:bCs/>
                  <w:sz w:val="18"/>
                  <w:szCs w:val="18"/>
                </w:rPr>
                <w:alias w:val="选项框"/>
                <w:tag w:val="选项框"/>
                <w:id w:val="-935511246"/>
                <w14:checkbox>
                  <w14:checked w14:val="0"/>
                  <w14:checkedState w14:val="25A0" w14:font="Malgun Gothic"/>
                  <w14:uncheckedState w14:val="2610" w14:font="MS Gothic"/>
                </w14:checkbox>
              </w:sdtPr>
              <w:sdtEndPr>
                <w:rPr>
                  <w:rFonts w:hint="eastAsia" w:ascii="华文仿宋" w:hAnsi="华文仿宋" w:eastAsia="华文仿宋"/>
                  <w:b/>
                  <w:bCs/>
                  <w:sz w:val="18"/>
                  <w:szCs w:val="18"/>
                </w:rPr>
              </w:sdtEndPr>
              <w:sdtContent>
                <w:r>
                  <w:rPr>
                    <w:rFonts w:ascii="Segoe UI Symbol" w:hAnsi="Segoe UI Symbol" w:eastAsia="华文仿宋" w:cs="Segoe UI Symbol"/>
                    <w:b/>
                    <w:bCs/>
                    <w:sz w:val="18"/>
                    <w:szCs w:val="18"/>
                  </w:rPr>
                  <w:t>☐</w:t>
                </w:r>
              </w:sdtContent>
            </w:sdt>
            <w:r>
              <w:rPr>
                <w:rFonts w:ascii="华文仿宋" w:hAnsi="华文仿宋" w:eastAsia="华文仿宋"/>
                <w:b/>
                <w:bCs/>
                <w:sz w:val="18"/>
                <w:szCs w:val="18"/>
              </w:rPr>
              <w:t>是/</w:t>
            </w:r>
            <w:sdt>
              <w:sdtPr>
                <w:rPr>
                  <w:rFonts w:hint="eastAsia" w:ascii="华文仿宋" w:hAnsi="华文仿宋" w:eastAsia="华文仿宋"/>
                  <w:b/>
                  <w:bCs/>
                  <w:sz w:val="18"/>
                  <w:szCs w:val="18"/>
                </w:rPr>
                <w:alias w:val="选项框"/>
                <w:tag w:val="选项框"/>
                <w:id w:val="1144235549"/>
                <w14:checkbox>
                  <w14:checked w14:val="1"/>
                  <w14:checkedState w14:val="25A0" w14:font="Malgun Gothic"/>
                  <w14:uncheckedState w14:val="2610" w14:font="MS Gothic"/>
                </w14:checkbox>
              </w:sdtPr>
              <w:sdtEndPr>
                <w:rPr>
                  <w:rFonts w:hint="eastAsia" w:ascii="华文仿宋" w:hAnsi="华文仿宋" w:eastAsia="华文仿宋"/>
                  <w:b/>
                  <w:bCs/>
                  <w:sz w:val="18"/>
                  <w:szCs w:val="18"/>
                </w:rPr>
              </w:sdtEndPr>
              <w:sdtContent>
                <w:r>
                  <w:rPr>
                    <w:rFonts w:hint="eastAsia" w:ascii="华文仿宋" w:hAnsi="华文仿宋" w:eastAsia="华文仿宋"/>
                    <w:b/>
                    <w:bCs/>
                    <w:sz w:val="18"/>
                    <w:szCs w:val="18"/>
                  </w:rPr>
                  <w:t>■</w:t>
                </w:r>
              </w:sdtContent>
            </w:sdt>
            <w:r>
              <w:rPr>
                <w:rFonts w:ascii="华文仿宋" w:hAnsi="华文仿宋" w:eastAsia="华文仿宋"/>
                <w:b/>
                <w:bCs/>
                <w:sz w:val="18"/>
                <w:szCs w:val="18"/>
              </w:rPr>
              <w:t>否</w:t>
            </w:r>
            <w:r>
              <w:rPr>
                <w:rFonts w:hint="eastAsia" w:ascii="华文仿宋" w:hAnsi="华文仿宋" w:eastAsia="华文仿宋"/>
                <w:b/>
                <w:bCs/>
                <w:sz w:val="18"/>
                <w:szCs w:val="18"/>
              </w:rPr>
              <w:t xml:space="preserve">   </w:t>
            </w:r>
            <w:r>
              <w:rPr>
                <w:rFonts w:ascii="华文仿宋" w:hAnsi="华文仿宋" w:eastAsia="华文仿宋"/>
                <w:b/>
                <w:bCs/>
                <w:sz w:val="18"/>
                <w:szCs w:val="18"/>
              </w:rPr>
              <w:t>实行分项预算控制</w:t>
            </w:r>
          </w:p>
          <w:p w14:paraId="65770A48">
            <w:pPr>
              <w:widowControl/>
              <w:jc w:val="left"/>
              <w:textAlignment w:val="center"/>
              <w:rPr>
                <w:rFonts w:hint="eastAsia" w:ascii="华文仿宋" w:hAnsi="华文仿宋" w:eastAsia="华文仿宋" w:cs="宋体"/>
                <w:b/>
                <w:bCs/>
                <w:color w:val="000000" w:themeColor="text1"/>
                <w:kern w:val="0"/>
                <w:sz w:val="18"/>
                <w:szCs w:val="18"/>
                <w14:textFill>
                  <w14:solidFill>
                    <w14:schemeClr w14:val="tx1"/>
                  </w14:solidFill>
                </w14:textFill>
              </w:rPr>
            </w:pPr>
            <w:r>
              <w:rPr>
                <w:rFonts w:ascii="华文仿宋" w:hAnsi="华文仿宋" w:eastAsia="华文仿宋"/>
                <w:b/>
                <w:bCs/>
                <w:sz w:val="18"/>
                <w:szCs w:val="18"/>
              </w:rPr>
              <w:t>供应商</w:t>
            </w:r>
            <w:r>
              <w:rPr>
                <w:rFonts w:hint="eastAsia" w:ascii="华文仿宋" w:hAnsi="华文仿宋" w:eastAsia="华文仿宋"/>
                <w:b/>
                <w:bCs/>
                <w:sz w:val="18"/>
                <w:szCs w:val="18"/>
              </w:rPr>
              <w:t>需做</w:t>
            </w:r>
            <w:r>
              <w:rPr>
                <w:rFonts w:ascii="华文仿宋" w:hAnsi="华文仿宋" w:eastAsia="华文仿宋"/>
                <w:b/>
                <w:bCs/>
                <w:sz w:val="18"/>
                <w:szCs w:val="18"/>
              </w:rPr>
              <w:t>分项</w:t>
            </w:r>
            <w:r>
              <w:rPr>
                <w:rFonts w:hint="eastAsia" w:ascii="华文仿宋" w:hAnsi="华文仿宋" w:eastAsia="华文仿宋"/>
                <w:b/>
                <w:bCs/>
                <w:sz w:val="18"/>
                <w:szCs w:val="18"/>
              </w:rPr>
              <w:t>投标</w:t>
            </w:r>
            <w:r>
              <w:rPr>
                <w:rFonts w:ascii="华文仿宋" w:hAnsi="华文仿宋" w:eastAsia="华文仿宋"/>
                <w:b/>
                <w:bCs/>
                <w:sz w:val="18"/>
                <w:szCs w:val="18"/>
              </w:rPr>
              <w:t>报价</w:t>
            </w:r>
            <w:r>
              <w:rPr>
                <w:rFonts w:hint="eastAsia" w:ascii="华文仿宋" w:hAnsi="华文仿宋" w:eastAsia="华文仿宋"/>
                <w:b/>
                <w:bCs/>
                <w:sz w:val="18"/>
                <w:szCs w:val="18"/>
              </w:rPr>
              <w:t>，其合计报价</w:t>
            </w:r>
            <w:r>
              <w:rPr>
                <w:rFonts w:ascii="华文仿宋" w:hAnsi="华文仿宋" w:eastAsia="华文仿宋"/>
                <w:b/>
                <w:bCs/>
                <w:sz w:val="18"/>
                <w:szCs w:val="18"/>
              </w:rPr>
              <w:t>不得超过</w:t>
            </w:r>
            <w:r>
              <w:rPr>
                <w:rFonts w:hint="eastAsia" w:ascii="华文仿宋" w:hAnsi="华文仿宋" w:eastAsia="华文仿宋"/>
                <w:b/>
                <w:bCs/>
                <w:sz w:val="18"/>
                <w:szCs w:val="18"/>
              </w:rPr>
              <w:t>最高限价3,200,000.00元；</w:t>
            </w:r>
            <w:r>
              <w:rPr>
                <w:rFonts w:ascii="华文仿宋" w:hAnsi="华文仿宋" w:eastAsia="华文仿宋"/>
                <w:b/>
                <w:bCs/>
                <w:sz w:val="18"/>
                <w:szCs w:val="18"/>
              </w:rPr>
              <w:t>超过</w:t>
            </w:r>
            <w:r>
              <w:rPr>
                <w:rFonts w:hint="eastAsia" w:ascii="华文仿宋" w:hAnsi="华文仿宋" w:eastAsia="华文仿宋"/>
                <w:b/>
                <w:bCs/>
                <w:sz w:val="18"/>
                <w:szCs w:val="18"/>
              </w:rPr>
              <w:t>最高限价的</w:t>
            </w:r>
            <w:r>
              <w:rPr>
                <w:rFonts w:ascii="华文仿宋" w:hAnsi="华文仿宋" w:eastAsia="华文仿宋"/>
                <w:b/>
                <w:bCs/>
                <w:sz w:val="18"/>
                <w:szCs w:val="18"/>
              </w:rPr>
              <w:t>，投标作无效投标处理</w:t>
            </w:r>
            <w:r>
              <w:rPr>
                <w:rFonts w:hint="eastAsia" w:ascii="华文仿宋" w:hAnsi="华文仿宋" w:eastAsia="华文仿宋"/>
                <w:b/>
                <w:bCs/>
                <w:sz w:val="18"/>
                <w:szCs w:val="18"/>
              </w:rPr>
              <w:t>。</w:t>
            </w:r>
          </w:p>
        </w:tc>
      </w:tr>
    </w:tbl>
    <w:p w14:paraId="24D1B552">
      <w:pPr>
        <w:jc w:val="left"/>
        <w:rPr>
          <w:rFonts w:eastAsia="华文仿宋"/>
          <w:b/>
          <w:color w:val="FF0000"/>
          <w:sz w:val="18"/>
          <w:szCs w:val="18"/>
        </w:rPr>
      </w:pPr>
    </w:p>
    <w:p w14:paraId="58BF47A8">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需执行的相关政策合规要求、执行标准和规范要求：</w:t>
      </w:r>
    </w:p>
    <w:p w14:paraId="5BA4D738">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Segoe UI Symbol" w:hAnsi="Segoe UI Symbol" w:eastAsia="华文仿宋" w:cs="Segoe UI Symbol"/>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产品需通过CCC国家强制性产品认证（电器、电子、消防产品等适用）</w:t>
      </w:r>
    </w:p>
    <w:p w14:paraId="3E412F3E">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Segoe UI Symbol" w:hAnsi="Segoe UI Symbol" w:eastAsia="华文仿宋" w:cs="Segoe UI Symbol"/>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符合《节能产品政府采购品目清单》要求，提供节能产品认证证书</w:t>
      </w:r>
    </w:p>
    <w:p w14:paraId="09DA0677">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Segoe UI Symbol" w:hAnsi="Segoe UI Symbol" w:eastAsia="华文仿宋" w:cs="Segoe UI Symbol"/>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符合《环境标志产品政府采购品目清单》要求，提供环境标志产品认证证书</w:t>
      </w:r>
    </w:p>
    <w:p w14:paraId="1BAE4264">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Segoe UI Symbol" w:hAnsi="Segoe UI Symbol" w:eastAsia="华文仿宋" w:cs="Segoe UI Symbol"/>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医疗设备/器械：符合医疗器械注册相关要求，提供《医疗器械注册证》</w:t>
      </w:r>
    </w:p>
    <w:p w14:paraId="54463F25">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Segoe UI Symbol" w:hAnsi="Segoe UI Symbol" w:eastAsia="华文仿宋" w:cs="Segoe UI Symbol"/>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网络安全相关服务/产品：符合《网络安全等级保护条例》要求</w:t>
      </w:r>
    </w:p>
    <w:p w14:paraId="506E55E3">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sdt>
        <w:sdtPr>
          <w:rPr>
            <w:rFonts w:hint="eastAsia" w:ascii="华文仿宋" w:hAnsi="华文仿宋" w:eastAsia="华文仿宋"/>
            <w:b/>
            <w:color w:val="000000" w:themeColor="text1"/>
            <w:sz w:val="18"/>
            <w:szCs w:val="18"/>
            <w14:textFill>
              <w14:solidFill>
                <w14:schemeClr w14:val="tx1"/>
              </w14:solidFill>
            </w14:textFill>
          </w:rPr>
          <w:alias w:val="选项框"/>
          <w:tag w:val="选项框"/>
          <w:id w:val="511953439"/>
          <w14:checkbox>
            <w14:checked w14:val="1"/>
            <w14:checkedState w14:val="25A0" w14:font="Malgun Gothic"/>
            <w14:uncheckedState w14:val="2610" w14:font="MS Gothic"/>
          </w14:checkbox>
        </w:sdtPr>
        <w:sdtEndPr>
          <w:rPr>
            <w:rFonts w:hint="eastAsia" w:ascii="华文仿宋" w:hAnsi="华文仿宋" w:eastAsia="华文仿宋"/>
            <w:b/>
            <w:color w:val="000000" w:themeColor="text1"/>
            <w:sz w:val="18"/>
            <w:szCs w:val="18"/>
            <w14:textFill>
              <w14:solidFill>
                <w14:schemeClr w14:val="tx1"/>
              </w14:solidFill>
            </w14:textFill>
          </w:rPr>
        </w:sdtEndPr>
        <w:sdtContent>
          <w:r>
            <w:rPr>
              <w:rFonts w:hint="eastAsia" w:ascii="华文仿宋" w:hAnsi="华文仿宋" w:eastAsia="华文仿宋"/>
              <w:b/>
              <w:color w:val="000000" w:themeColor="text1"/>
              <w:sz w:val="18"/>
              <w:szCs w:val="18"/>
              <w14:textFill>
                <w14:solidFill>
                  <w14:schemeClr w14:val="tx1"/>
                </w14:solidFill>
              </w14:textFill>
            </w:rPr>
            <w:t>■</w:t>
          </w:r>
        </w:sdtContent>
      </w:sdt>
      <w:r>
        <w:rPr>
          <w:rFonts w:ascii="华文仿宋" w:hAnsi="华文仿宋" w:eastAsia="华文仿宋"/>
          <w:b/>
          <w:color w:val="000000" w:themeColor="text1"/>
          <w:sz w:val="18"/>
          <w:szCs w:val="18"/>
          <w14:textFill>
            <w14:solidFill>
              <w14:schemeClr w14:val="tx1"/>
            </w14:solidFill>
          </w14:textFill>
        </w:rPr>
        <w:t>其他强制标准：</w:t>
      </w:r>
    </w:p>
    <w:p w14:paraId="67D47E9F">
      <w:pPr>
        <w:pStyle w:val="25"/>
        <w:ind w:left="839" w:firstLine="495" w:firstLineChars="275"/>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无损探伤标准</w:t>
      </w:r>
      <w:r>
        <w:rPr>
          <w:rFonts w:ascii="华文仿宋" w:hAnsi="华文仿宋" w:eastAsia="华文仿宋"/>
          <w:b/>
          <w:color w:val="000000" w:themeColor="text1"/>
          <w:sz w:val="18"/>
          <w:szCs w:val="18"/>
          <w14:textFill>
            <w14:solidFill>
              <w14:schemeClr w14:val="tx1"/>
            </w14:solidFill>
          </w14:textFill>
        </w:rPr>
        <w:t>NB/T47013.3-2023</w:t>
      </w:r>
      <w:r>
        <w:rPr>
          <w:rFonts w:hint="eastAsia" w:ascii="华文仿宋" w:hAnsi="华文仿宋" w:eastAsia="华文仿宋"/>
          <w:b/>
          <w:color w:val="000000" w:themeColor="text1"/>
          <w:sz w:val="18"/>
          <w:szCs w:val="18"/>
          <w14:textFill>
            <w14:solidFill>
              <w14:schemeClr w14:val="tx1"/>
            </w14:solidFill>
          </w14:textFill>
        </w:rPr>
        <w:t>；</w:t>
      </w:r>
    </w:p>
    <w:p w14:paraId="243D9AD3">
      <w:pPr>
        <w:pStyle w:val="25"/>
        <w:ind w:left="839" w:firstLine="495" w:firstLineChars="275"/>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铝合金</w:t>
      </w:r>
      <w:r>
        <w:rPr>
          <w:rFonts w:hint="eastAsia" w:ascii="华文仿宋" w:hAnsi="华文仿宋" w:eastAsia="华文仿宋"/>
          <w:b/>
          <w:color w:val="000000" w:themeColor="text1"/>
          <w:sz w:val="18"/>
          <w:szCs w:val="18"/>
          <w14:textFill>
            <w14:solidFill>
              <w14:schemeClr w14:val="tx1"/>
            </w14:solidFill>
          </w14:textFill>
        </w:rPr>
        <w:t>加工</w:t>
      </w:r>
      <w:r>
        <w:rPr>
          <w:rFonts w:ascii="华文仿宋" w:hAnsi="华文仿宋" w:eastAsia="华文仿宋"/>
          <w:b/>
          <w:color w:val="000000" w:themeColor="text1"/>
          <w:sz w:val="18"/>
          <w:szCs w:val="18"/>
          <w14:textFill>
            <w14:solidFill>
              <w14:schemeClr w14:val="tx1"/>
            </w14:solidFill>
          </w14:textFill>
        </w:rPr>
        <w:t>通用尺寸</w:t>
      </w:r>
      <w:r>
        <w:rPr>
          <w:rFonts w:hint="eastAsia" w:ascii="华文仿宋" w:hAnsi="华文仿宋" w:eastAsia="华文仿宋"/>
          <w:b/>
          <w:color w:val="000000" w:themeColor="text1"/>
          <w:sz w:val="18"/>
          <w:szCs w:val="18"/>
          <w14:textFill>
            <w14:solidFill>
              <w14:schemeClr w14:val="tx1"/>
            </w14:solidFill>
          </w14:textFill>
        </w:rPr>
        <w:t>标准</w:t>
      </w:r>
      <w:r>
        <w:rPr>
          <w:rFonts w:ascii="华文仿宋" w:hAnsi="华文仿宋" w:eastAsia="华文仿宋"/>
          <w:b/>
          <w:color w:val="000000" w:themeColor="text1"/>
          <w:sz w:val="18"/>
          <w:szCs w:val="18"/>
          <w14:textFill>
            <w14:solidFill>
              <w14:schemeClr w14:val="tx1"/>
            </w14:solidFill>
          </w14:textFill>
        </w:rPr>
        <w:t>GB/T 1804-2000</w:t>
      </w:r>
      <w:r>
        <w:rPr>
          <w:rFonts w:hint="eastAsia" w:ascii="华文仿宋" w:hAnsi="华文仿宋" w:eastAsia="华文仿宋"/>
          <w:b/>
          <w:color w:val="000000" w:themeColor="text1"/>
          <w:sz w:val="18"/>
          <w:szCs w:val="18"/>
          <w14:textFill>
            <w14:solidFill>
              <w14:schemeClr w14:val="tx1"/>
            </w14:solidFill>
          </w14:textFill>
        </w:rPr>
        <w:t>；</w:t>
      </w:r>
    </w:p>
    <w:p w14:paraId="327F8A79">
      <w:pPr>
        <w:pStyle w:val="25"/>
        <w:ind w:left="839" w:firstLine="495" w:firstLineChars="275"/>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人造气氛腐蚀试验</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盐雾试验</w:t>
      </w:r>
      <w:r>
        <w:rPr>
          <w:rFonts w:hint="eastAsia" w:ascii="华文仿宋" w:hAnsi="华文仿宋" w:eastAsia="华文仿宋"/>
          <w:b/>
          <w:color w:val="000000" w:themeColor="text1"/>
          <w:sz w:val="18"/>
          <w:szCs w:val="18"/>
          <w14:textFill>
            <w14:solidFill>
              <w14:schemeClr w14:val="tx1"/>
            </w14:solidFill>
          </w14:textFill>
        </w:rPr>
        <w:t>标准</w:t>
      </w:r>
      <w:r>
        <w:rPr>
          <w:rFonts w:ascii="华文仿宋" w:hAnsi="华文仿宋" w:eastAsia="华文仿宋"/>
          <w:b/>
          <w:color w:val="000000" w:themeColor="text1"/>
          <w:sz w:val="18"/>
          <w:szCs w:val="18"/>
          <w14:textFill>
            <w14:solidFill>
              <w14:schemeClr w14:val="tx1"/>
            </w14:solidFill>
          </w14:textFill>
        </w:rPr>
        <w:t>GB/T 10125-2021</w:t>
      </w:r>
      <w:r>
        <w:rPr>
          <w:rFonts w:hint="eastAsia" w:ascii="华文仿宋" w:hAnsi="华文仿宋" w:eastAsia="华文仿宋"/>
          <w:b/>
          <w:color w:val="000000" w:themeColor="text1"/>
          <w:sz w:val="18"/>
          <w:szCs w:val="18"/>
          <w14:textFill>
            <w14:solidFill>
              <w14:schemeClr w14:val="tx1"/>
            </w14:solidFill>
          </w14:textFill>
        </w:rPr>
        <w:t>；</w:t>
      </w:r>
    </w:p>
    <w:p w14:paraId="7ABFB4D6">
      <w:pPr>
        <w:pStyle w:val="25"/>
        <w:ind w:left="839" w:firstLine="495" w:firstLineChars="275"/>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激光光学薄膜基本要求GB/T 26332.8-2022</w:t>
      </w:r>
    </w:p>
    <w:p w14:paraId="3578434B">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供应商资格要求</w:t>
      </w:r>
    </w:p>
    <w:p w14:paraId="1DD68320">
      <w:pPr>
        <w:pStyle w:val="25"/>
        <w:ind w:left="839"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需符合《政府采购法》第二十二条要求。（具有独立承担民事责任的能力（法人/组织/自然人）、良好商业信誉与健全财务制度、履行合同所需的设备与技术能力、有依法缴纳税收和社会保障资金的良好记录，前三年内在经营活动中没有重大违法记录。）</w:t>
      </w:r>
    </w:p>
    <w:p w14:paraId="532B03F9">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项目技术/服务要求</w:t>
      </w:r>
    </w:p>
    <w:p w14:paraId="0A23A8B8">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 所有零件尺寸公差、形位公差、表面处理等必须满足图纸要求</w:t>
      </w:r>
      <w:bookmarkStart w:id="0" w:name="_Hlk177648752"/>
      <w:r>
        <w:rPr>
          <w:rFonts w:hint="eastAsia" w:ascii="华文仿宋" w:hAnsi="华文仿宋" w:eastAsia="华文仿宋"/>
          <w:b/>
          <w:color w:val="000000" w:themeColor="text1"/>
          <w:sz w:val="18"/>
          <w:szCs w:val="18"/>
          <w14:textFill>
            <w14:solidFill>
              <w14:schemeClr w14:val="tx1"/>
            </w14:solidFill>
          </w14:textFill>
        </w:rPr>
        <w:t>，</w:t>
      </w:r>
      <w:bookmarkEnd w:id="0"/>
      <w:r>
        <w:rPr>
          <w:rFonts w:ascii="华文仿宋" w:hAnsi="华文仿宋" w:eastAsia="华文仿宋"/>
          <w:b/>
          <w:color w:val="000000" w:themeColor="text1"/>
          <w:sz w:val="18"/>
          <w:szCs w:val="18"/>
          <w14:textFill>
            <w14:solidFill>
              <w14:schemeClr w14:val="tx1"/>
            </w14:solidFill>
          </w14:textFill>
        </w:rPr>
        <w:t>均以随采购文件发售的正式加工图纸为准</w:t>
      </w:r>
      <w:r>
        <w:rPr>
          <w:rFonts w:hint="eastAsia" w:ascii="华文仿宋" w:hAnsi="华文仿宋" w:eastAsia="华文仿宋"/>
          <w:b/>
          <w:color w:val="000000" w:themeColor="text1"/>
          <w:sz w:val="18"/>
          <w:szCs w:val="18"/>
          <w14:textFill>
            <w14:solidFill>
              <w14:schemeClr w14:val="tx1"/>
            </w14:solidFill>
          </w14:textFill>
        </w:rPr>
        <w:t>。</w:t>
      </w:r>
    </w:p>
    <w:p w14:paraId="150C5331">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（2）.★ 零件加工表面上不应有划痕、磕伤、压伤等损伤表面的缺陷，倒角、去毛刺符合图纸要求。</w:t>
      </w:r>
    </w:p>
    <w:p w14:paraId="17749AB6">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（3）.★ 壳体焊缝超声波无损探伤按NB/T47013.3-2023标准执行，质量评定等级为III级。</w:t>
      </w:r>
    </w:p>
    <w:p w14:paraId="25F86D88">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（4）★ 铝合金表面的</w:t>
      </w:r>
      <w:bookmarkStart w:id="1" w:name="_Hlk194419925"/>
      <w:r>
        <w:rPr>
          <w:rFonts w:hint="eastAsia" w:ascii="华文仿宋" w:hAnsi="华文仿宋" w:eastAsia="华文仿宋"/>
          <w:b/>
          <w:color w:val="000000" w:themeColor="text1"/>
          <w:sz w:val="18"/>
          <w:szCs w:val="18"/>
          <w14:textFill>
            <w14:solidFill>
              <w14:schemeClr w14:val="tx1"/>
            </w14:solidFill>
          </w14:textFill>
        </w:rPr>
        <w:t>激光膜</w:t>
      </w:r>
      <w:bookmarkEnd w:id="1"/>
      <w:r>
        <w:rPr>
          <w:rFonts w:hint="eastAsia" w:ascii="华文仿宋" w:hAnsi="华文仿宋" w:eastAsia="华文仿宋"/>
          <w:b/>
          <w:color w:val="000000" w:themeColor="text1"/>
          <w:sz w:val="18"/>
          <w:szCs w:val="18"/>
          <w14:textFill>
            <w14:solidFill>
              <w14:schemeClr w14:val="tx1"/>
            </w14:solidFill>
          </w14:textFill>
        </w:rPr>
        <w:t>：膜厚度为2</w:t>
      </w:r>
      <w:r>
        <w:rPr>
          <w:rFonts w:ascii="华文仿宋" w:hAnsi="华文仿宋" w:eastAsia="华文仿宋"/>
          <w:b/>
          <w:color w:val="000000" w:themeColor="text1"/>
          <w:sz w:val="18"/>
          <w:szCs w:val="18"/>
          <w14:textFill>
            <w14:solidFill>
              <w14:schemeClr w14:val="tx1"/>
            </w14:solidFill>
          </w14:textFill>
        </w:rPr>
        <w:t>0μm</w:t>
      </w:r>
      <w:r>
        <w:rPr>
          <w:rFonts w:hint="eastAsia" w:ascii="华文仿宋" w:hAnsi="华文仿宋" w:eastAsia="华文仿宋"/>
          <w:b/>
          <w:color w:val="000000" w:themeColor="text1"/>
          <w:sz w:val="18"/>
          <w:szCs w:val="18"/>
          <w14:textFill>
            <w14:solidFill>
              <w14:schemeClr w14:val="tx1"/>
            </w14:solidFill>
          </w14:textFill>
        </w:rPr>
        <w:t>～30</w:t>
      </w:r>
      <w:r>
        <w:rPr>
          <w:rFonts w:ascii="华文仿宋" w:hAnsi="华文仿宋" w:eastAsia="华文仿宋"/>
          <w:b/>
          <w:color w:val="000000" w:themeColor="text1"/>
          <w:sz w:val="18"/>
          <w:szCs w:val="18"/>
          <w14:textFill>
            <w14:solidFill>
              <w14:schemeClr w14:val="tx1"/>
            </w14:solidFill>
          </w14:textFill>
        </w:rPr>
        <w:t>μm</w:t>
      </w:r>
      <w:r>
        <w:rPr>
          <w:rFonts w:hint="eastAsia" w:ascii="华文仿宋" w:hAnsi="华文仿宋" w:eastAsia="华文仿宋"/>
          <w:b/>
          <w:color w:val="000000" w:themeColor="text1"/>
          <w:sz w:val="18"/>
          <w:szCs w:val="18"/>
          <w14:textFill>
            <w14:solidFill>
              <w14:schemeClr w14:val="tx1"/>
            </w14:solidFill>
          </w14:textFill>
        </w:rPr>
        <w:t>，表面硬度为</w:t>
      </w:r>
      <w:r>
        <w:rPr>
          <w:rFonts w:ascii="华文仿宋" w:hAnsi="华文仿宋" w:eastAsia="华文仿宋"/>
          <w:b/>
          <w:color w:val="000000" w:themeColor="text1"/>
          <w:sz w:val="18"/>
          <w:szCs w:val="18"/>
          <w14:textFill>
            <w14:solidFill>
              <w14:schemeClr w14:val="tx1"/>
            </w14:solidFill>
          </w14:textFill>
        </w:rPr>
        <w:t xml:space="preserve">250 </w:t>
      </w:r>
      <w:r>
        <w:rPr>
          <w:rFonts w:hint="eastAsia" w:ascii="华文仿宋" w:hAnsi="华文仿宋" w:eastAsia="华文仿宋"/>
          <w:b/>
          <w:color w:val="000000" w:themeColor="text1"/>
          <w:sz w:val="18"/>
          <w:szCs w:val="18"/>
          <w14:textFill>
            <w14:solidFill>
              <w14:schemeClr w14:val="tx1"/>
            </w14:solidFill>
          </w14:textFill>
        </w:rPr>
        <w:t>HV，损伤阈值：</w:t>
      </w:r>
      <w:r>
        <w:rPr>
          <w:rFonts w:ascii="华文仿宋" w:hAnsi="华文仿宋" w:eastAsia="华文仿宋"/>
          <w:b/>
          <w:color w:val="000000" w:themeColor="text1"/>
          <w:sz w:val="18"/>
          <w:szCs w:val="18"/>
          <w14:textFill>
            <w14:solidFill>
              <w14:schemeClr w14:val="tx1"/>
            </w14:solidFill>
          </w14:textFill>
        </w:rPr>
        <w:t>0.5</w:t>
      </w:r>
      <w:r>
        <w:rPr>
          <w:rFonts w:hint="eastAsia" w:ascii="华文仿宋" w:hAnsi="华文仿宋" w:eastAsia="华文仿宋"/>
          <w:b/>
          <w:color w:val="000000" w:themeColor="text1"/>
          <w:sz w:val="18"/>
          <w:szCs w:val="18"/>
          <w14:textFill>
            <w14:solidFill>
              <w14:schemeClr w14:val="tx1"/>
            </w14:solidFill>
          </w14:textFill>
        </w:rPr>
        <w:t>J/cm</w:t>
      </w:r>
      <w:r>
        <w:rPr>
          <w:rFonts w:ascii="华文仿宋" w:hAnsi="华文仿宋" w:eastAsia="华文仿宋"/>
          <w:b/>
          <w:color w:val="000000" w:themeColor="text1"/>
          <w:sz w:val="18"/>
          <w:szCs w:val="18"/>
          <w:vertAlign w:val="superscript"/>
          <w14:textFill>
            <w14:solidFill>
              <w14:schemeClr w14:val="tx1"/>
            </w14:solidFill>
          </w14:textFill>
        </w:rPr>
        <w:t>2</w:t>
      </w:r>
      <w:r>
        <w:rPr>
          <w:rFonts w:hint="eastAsia" w:ascii="华文仿宋" w:hAnsi="华文仿宋" w:eastAsia="华文仿宋"/>
          <w:b/>
          <w:color w:val="000000" w:themeColor="text1"/>
          <w:sz w:val="18"/>
          <w:szCs w:val="18"/>
          <w14:textFill>
            <w14:solidFill>
              <w14:schemeClr w14:val="tx1"/>
            </w14:solidFill>
          </w14:textFill>
        </w:rPr>
        <w:t>，洁净清洗完成后的表面接触角≤</w:t>
      </w:r>
      <w:r>
        <w:rPr>
          <w:rFonts w:ascii="华文仿宋" w:hAnsi="华文仿宋" w:eastAsia="华文仿宋"/>
          <w:b/>
          <w:color w:val="000000" w:themeColor="text1"/>
          <w:sz w:val="18"/>
          <w:szCs w:val="18"/>
          <w14:textFill>
            <w14:solidFill>
              <w14:schemeClr w14:val="tx1"/>
            </w14:solidFill>
          </w14:textFill>
        </w:rPr>
        <w:t>20</w:t>
      </w:r>
      <w:r>
        <w:rPr>
          <w:rFonts w:hint="eastAsia" w:ascii="华文仿宋" w:hAnsi="华文仿宋" w:eastAsia="华文仿宋"/>
          <w:b/>
          <w:color w:val="000000" w:themeColor="text1"/>
          <w:sz w:val="18"/>
          <w:szCs w:val="18"/>
          <w14:textFill>
            <w14:solidFill>
              <w14:schemeClr w14:val="tx1"/>
            </w14:solidFill>
          </w14:textFill>
        </w:rPr>
        <w:t>°。</w:t>
      </w:r>
    </w:p>
    <w:p w14:paraId="4EEC2668">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（5）★ 铝合金表面的化学膜：</w:t>
      </w:r>
      <w:r>
        <w:rPr>
          <w:rFonts w:ascii="华文仿宋" w:hAnsi="华文仿宋" w:eastAsia="华文仿宋"/>
          <w:b/>
          <w:color w:val="000000" w:themeColor="text1"/>
          <w:sz w:val="18"/>
          <w:szCs w:val="18"/>
          <w14:textFill>
            <w14:solidFill>
              <w14:schemeClr w14:val="tx1"/>
            </w14:solidFill>
          </w14:textFill>
        </w:rPr>
        <w:t>耐中性盐雾</w:t>
      </w:r>
      <w:r>
        <w:rPr>
          <w:rFonts w:hint="eastAsia" w:ascii="华文仿宋" w:hAnsi="华文仿宋" w:eastAsia="华文仿宋"/>
          <w:b/>
          <w:color w:val="000000" w:themeColor="text1"/>
          <w:sz w:val="18"/>
          <w:szCs w:val="18"/>
          <w14:textFill>
            <w14:solidFill>
              <w14:schemeClr w14:val="tx1"/>
            </w14:solidFill>
          </w14:textFill>
        </w:rPr>
        <w:t>不低于</w:t>
      </w:r>
      <w:r>
        <w:rPr>
          <w:rFonts w:ascii="华文仿宋" w:hAnsi="华文仿宋" w:eastAsia="华文仿宋"/>
          <w:b/>
          <w:color w:val="000000" w:themeColor="text1"/>
          <w:sz w:val="18"/>
          <w:szCs w:val="18"/>
          <w14:textFill>
            <w14:solidFill>
              <w14:schemeClr w14:val="tx1"/>
            </w14:solidFill>
          </w14:textFill>
        </w:rPr>
        <w:t>9</w:t>
      </w:r>
      <w:r>
        <w:rPr>
          <w:rFonts w:hint="eastAsia" w:ascii="华文仿宋" w:hAnsi="华文仿宋" w:eastAsia="华文仿宋"/>
          <w:b/>
          <w:color w:val="000000" w:themeColor="text1"/>
          <w:sz w:val="18"/>
          <w:szCs w:val="18"/>
          <w14:textFill>
            <w14:solidFill>
              <w14:schemeClr w14:val="tx1"/>
            </w14:solidFill>
          </w14:textFill>
        </w:rPr>
        <w:t>0</w:t>
      </w:r>
      <w:r>
        <w:rPr>
          <w:rFonts w:ascii="华文仿宋" w:hAnsi="华文仿宋" w:eastAsia="华文仿宋"/>
          <w:b/>
          <w:color w:val="000000" w:themeColor="text1"/>
          <w:sz w:val="18"/>
          <w:szCs w:val="18"/>
          <w14:textFill>
            <w14:solidFill>
              <w14:schemeClr w14:val="tx1"/>
            </w14:solidFill>
          </w14:textFill>
        </w:rPr>
        <w:t>小时</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导电性小于2.5毫欧</w:t>
      </w:r>
      <w:r>
        <w:rPr>
          <w:rFonts w:hint="eastAsia" w:ascii="华文仿宋" w:hAnsi="华文仿宋" w:eastAsia="华文仿宋"/>
          <w:b/>
          <w:color w:val="000000" w:themeColor="text1"/>
          <w:sz w:val="18"/>
          <w:szCs w:val="18"/>
          <w14:textFill>
            <w14:solidFill>
              <w14:schemeClr w14:val="tx1"/>
            </w14:solidFill>
          </w14:textFill>
        </w:rPr>
        <w:t>。</w:t>
      </w:r>
    </w:p>
    <w:p w14:paraId="69178202">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（6）加工</w:t>
      </w:r>
      <w:r>
        <w:rPr>
          <w:rFonts w:ascii="华文仿宋" w:hAnsi="华文仿宋" w:eastAsia="华文仿宋"/>
          <w:b/>
          <w:color w:val="000000" w:themeColor="text1"/>
          <w:sz w:val="18"/>
          <w:szCs w:val="18"/>
          <w14:textFill>
            <w14:solidFill>
              <w14:schemeClr w14:val="tx1"/>
            </w14:solidFill>
          </w14:textFill>
        </w:rPr>
        <w:t>所用原材料</w:t>
      </w:r>
      <w:r>
        <w:rPr>
          <w:rFonts w:hint="eastAsia" w:ascii="华文仿宋" w:hAnsi="华文仿宋" w:eastAsia="华文仿宋"/>
          <w:b/>
          <w:color w:val="000000" w:themeColor="text1"/>
          <w:sz w:val="18"/>
          <w:szCs w:val="18"/>
          <w14:textFill>
            <w14:solidFill>
              <w14:schemeClr w14:val="tx1"/>
            </w14:solidFill>
          </w14:textFill>
        </w:rPr>
        <w:t>采购方已经具备，供应商到采购方指定地点领取</w:t>
      </w:r>
      <w:r>
        <w:rPr>
          <w:rFonts w:ascii="华文仿宋" w:hAnsi="华文仿宋" w:eastAsia="华文仿宋"/>
          <w:b/>
          <w:color w:val="000000" w:themeColor="text1"/>
          <w:sz w:val="18"/>
          <w:szCs w:val="18"/>
          <w14:textFill>
            <w14:solidFill>
              <w14:schemeClr w14:val="tx1"/>
            </w14:solidFill>
          </w14:textFill>
        </w:rPr>
        <w:t>；</w:t>
      </w:r>
    </w:p>
    <w:p w14:paraId="2DEF1FC3">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①原材料领取：供应商根据图纸编定</w:t>
      </w:r>
      <w:r>
        <w:rPr>
          <w:rFonts w:ascii="华文仿宋" w:hAnsi="华文仿宋" w:eastAsia="华文仿宋"/>
          <w:b/>
          <w:color w:val="000000" w:themeColor="text1"/>
          <w:sz w:val="18"/>
          <w:szCs w:val="18"/>
          <w14:textFill>
            <w14:solidFill>
              <w14:schemeClr w14:val="tx1"/>
            </w14:solidFill>
          </w14:textFill>
        </w:rPr>
        <w:t>《原材料领用单》</w:t>
      </w:r>
      <w:r>
        <w:rPr>
          <w:rFonts w:hint="eastAsia" w:ascii="华文仿宋" w:hAnsi="华文仿宋" w:eastAsia="华文仿宋"/>
          <w:b/>
          <w:color w:val="000000" w:themeColor="text1"/>
          <w:sz w:val="18"/>
          <w:szCs w:val="18"/>
          <w14:textFill>
            <w14:solidFill>
              <w14:schemeClr w14:val="tx1"/>
            </w14:solidFill>
          </w14:textFill>
        </w:rPr>
        <w:t>，经采购人确认后到指定地点领取；</w:t>
      </w:r>
    </w:p>
    <w:p w14:paraId="58C64F8F">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②</w:t>
      </w:r>
      <w:r>
        <w:rPr>
          <w:rFonts w:ascii="华文仿宋" w:hAnsi="华文仿宋" w:eastAsia="华文仿宋"/>
          <w:b/>
          <w:color w:val="000000" w:themeColor="text1"/>
          <w:sz w:val="18"/>
          <w:szCs w:val="18"/>
          <w14:textFill>
            <w14:solidFill>
              <w14:schemeClr w14:val="tx1"/>
            </w14:solidFill>
          </w14:textFill>
        </w:rPr>
        <w:t>可利用边角料</w:t>
      </w:r>
      <w:r>
        <w:rPr>
          <w:rFonts w:hint="eastAsia" w:ascii="华文仿宋" w:hAnsi="华文仿宋" w:eastAsia="华文仿宋"/>
          <w:b/>
          <w:color w:val="000000" w:themeColor="text1"/>
          <w:sz w:val="18"/>
          <w:szCs w:val="18"/>
          <w14:textFill>
            <w14:solidFill>
              <w14:schemeClr w14:val="tx1"/>
            </w14:solidFill>
          </w14:textFill>
        </w:rPr>
        <w:t>退还</w:t>
      </w:r>
      <w:r>
        <w:rPr>
          <w:rFonts w:ascii="华文仿宋" w:hAnsi="华文仿宋" w:eastAsia="华文仿宋"/>
          <w:b/>
          <w:color w:val="000000" w:themeColor="text1"/>
          <w:sz w:val="18"/>
          <w:szCs w:val="18"/>
          <w14:textFill>
            <w14:solidFill>
              <w14:schemeClr w14:val="tx1"/>
            </w14:solidFill>
          </w14:textFill>
        </w:rPr>
        <w:t>：</w:t>
      </w:r>
      <w:r>
        <w:rPr>
          <w:rFonts w:hint="eastAsia" w:ascii="华文仿宋" w:hAnsi="华文仿宋" w:eastAsia="华文仿宋"/>
          <w:b/>
          <w:color w:val="000000" w:themeColor="text1"/>
          <w:sz w:val="18"/>
          <w:szCs w:val="18"/>
          <w14:textFill>
            <w14:solidFill>
              <w14:schemeClr w14:val="tx1"/>
            </w14:solidFill>
          </w14:textFill>
        </w:rPr>
        <w:t>对可利用边角料</w:t>
      </w:r>
      <w:r>
        <w:rPr>
          <w:rFonts w:ascii="华文仿宋" w:hAnsi="华文仿宋" w:eastAsia="华文仿宋"/>
          <w:b/>
          <w:color w:val="000000" w:themeColor="text1"/>
          <w:sz w:val="18"/>
          <w:szCs w:val="18"/>
          <w14:textFill>
            <w14:solidFill>
              <w14:schemeClr w14:val="tx1"/>
            </w14:solidFill>
          </w14:textFill>
        </w:rPr>
        <w:t>分类</w:t>
      </w:r>
      <w:r>
        <w:rPr>
          <w:rFonts w:hint="eastAsia" w:ascii="华文仿宋" w:hAnsi="华文仿宋" w:eastAsia="华文仿宋"/>
          <w:b/>
          <w:color w:val="000000" w:themeColor="text1"/>
          <w:sz w:val="18"/>
          <w:szCs w:val="18"/>
          <w14:textFill>
            <w14:solidFill>
              <w14:schemeClr w14:val="tx1"/>
            </w14:solidFill>
          </w14:textFill>
        </w:rPr>
        <w:t>整理后，</w:t>
      </w:r>
      <w:r>
        <w:rPr>
          <w:rFonts w:ascii="华文仿宋" w:hAnsi="华文仿宋" w:eastAsia="华文仿宋"/>
          <w:b/>
          <w:color w:val="000000" w:themeColor="text1"/>
          <w:sz w:val="18"/>
          <w:szCs w:val="18"/>
          <w14:textFill>
            <w14:solidFill>
              <w14:schemeClr w14:val="tx1"/>
            </w14:solidFill>
          </w14:textFill>
        </w:rPr>
        <w:t>填写《退料单》</w:t>
      </w:r>
      <w:r>
        <w:rPr>
          <w:rFonts w:hint="eastAsia" w:ascii="华文仿宋" w:hAnsi="华文仿宋" w:eastAsia="华文仿宋"/>
          <w:b/>
          <w:color w:val="000000" w:themeColor="text1"/>
          <w:sz w:val="18"/>
          <w:szCs w:val="18"/>
          <w14:textFill>
            <w14:solidFill>
              <w14:schemeClr w14:val="tx1"/>
            </w14:solidFill>
          </w14:textFill>
        </w:rPr>
        <w:t>返还采购人；</w:t>
      </w:r>
    </w:p>
    <w:p w14:paraId="63FB4B45">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③正常加工损耗：因</w:t>
      </w:r>
      <w:r>
        <w:rPr>
          <w:rFonts w:ascii="华文仿宋" w:hAnsi="华文仿宋" w:eastAsia="华文仿宋"/>
          <w:b/>
          <w:color w:val="000000" w:themeColor="text1"/>
          <w:sz w:val="18"/>
          <w:szCs w:val="18"/>
          <w14:textFill>
            <w14:solidFill>
              <w14:schemeClr w14:val="tx1"/>
            </w14:solidFill>
          </w14:textFill>
        </w:rPr>
        <w:t>工艺特性、物料形态决定的不可避免损耗</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在定额范围内均认定为正常损耗</w:t>
      </w:r>
      <w:r>
        <w:rPr>
          <w:rFonts w:hint="eastAsia" w:ascii="华文仿宋" w:hAnsi="华文仿宋" w:eastAsia="华文仿宋"/>
          <w:b/>
          <w:color w:val="000000" w:themeColor="text1"/>
          <w:sz w:val="18"/>
          <w:szCs w:val="18"/>
          <w14:textFill>
            <w14:solidFill>
              <w14:schemeClr w14:val="tx1"/>
            </w14:solidFill>
          </w14:textFill>
        </w:rPr>
        <w:t>；</w:t>
      </w:r>
    </w:p>
    <w:p w14:paraId="7405A2A6">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④报废责任</w:t>
      </w:r>
      <w:r>
        <w:rPr>
          <w:rFonts w:hint="eastAsia" w:ascii="华文仿宋" w:hAnsi="华文仿宋" w:eastAsia="华文仿宋"/>
          <w:b/>
          <w:color w:val="000000" w:themeColor="text1"/>
          <w:sz w:val="18"/>
          <w:szCs w:val="18"/>
          <w14:textFill>
            <w14:solidFill>
              <w14:schemeClr w14:val="tx1"/>
            </w14:solidFill>
          </w14:textFill>
        </w:rPr>
        <w:t>：因</w:t>
      </w:r>
      <w:r>
        <w:rPr>
          <w:rFonts w:ascii="华文仿宋" w:hAnsi="华文仿宋" w:eastAsia="华文仿宋"/>
          <w:b/>
          <w:color w:val="000000" w:themeColor="text1"/>
          <w:sz w:val="18"/>
          <w:szCs w:val="18"/>
          <w14:textFill>
            <w14:solidFill>
              <w14:schemeClr w14:val="tx1"/>
            </w14:solidFill>
          </w14:textFill>
        </w:rPr>
        <w:t>原材料本身质量缺陷</w:t>
      </w:r>
      <w:r>
        <w:rPr>
          <w:rFonts w:hint="eastAsia" w:ascii="华文仿宋" w:hAnsi="华文仿宋" w:eastAsia="华文仿宋"/>
          <w:b/>
          <w:color w:val="000000" w:themeColor="text1"/>
          <w:sz w:val="18"/>
          <w:szCs w:val="18"/>
          <w14:textFill>
            <w14:solidFill>
              <w14:schemeClr w14:val="tx1"/>
            </w14:solidFill>
          </w14:textFill>
        </w:rPr>
        <w:t>导致的零件</w:t>
      </w:r>
      <w:r>
        <w:rPr>
          <w:rFonts w:ascii="华文仿宋" w:hAnsi="华文仿宋" w:eastAsia="华文仿宋"/>
          <w:b/>
          <w:color w:val="000000" w:themeColor="text1"/>
          <w:sz w:val="18"/>
          <w:szCs w:val="18"/>
          <w14:textFill>
            <w14:solidFill>
              <w14:schemeClr w14:val="tx1"/>
            </w14:solidFill>
          </w14:textFill>
        </w:rPr>
        <w:t>报废</w:t>
      </w:r>
      <w:r>
        <w:rPr>
          <w:rFonts w:hint="eastAsia" w:ascii="华文仿宋" w:hAnsi="华文仿宋" w:eastAsia="华文仿宋"/>
          <w:b/>
          <w:color w:val="000000" w:themeColor="text1"/>
          <w:sz w:val="18"/>
          <w:szCs w:val="18"/>
          <w14:textFill>
            <w14:solidFill>
              <w14:schemeClr w14:val="tx1"/>
            </w14:solidFill>
          </w14:textFill>
        </w:rPr>
        <w:t>，由采购人承担责任，供应商重新领取原材料；因供应商设备故障、人为失误、管理不当等导致的零件报废，供应商自行承担费用向采购人购买；</w:t>
      </w:r>
    </w:p>
    <w:p w14:paraId="3226AD38">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⑤超耗费用</w:t>
      </w:r>
      <w:r>
        <w:rPr>
          <w:rFonts w:hint="eastAsia" w:ascii="华文仿宋" w:hAnsi="华文仿宋" w:eastAsia="华文仿宋"/>
          <w:b/>
          <w:color w:val="000000" w:themeColor="text1"/>
          <w:sz w:val="18"/>
          <w:szCs w:val="18"/>
          <w14:textFill>
            <w14:solidFill>
              <w14:schemeClr w14:val="tx1"/>
            </w14:solidFill>
          </w14:textFill>
        </w:rPr>
        <w:t>：因采购人</w:t>
      </w:r>
      <w:r>
        <w:rPr>
          <w:rFonts w:ascii="华文仿宋" w:hAnsi="华文仿宋" w:eastAsia="华文仿宋"/>
          <w:b/>
          <w:color w:val="000000" w:themeColor="text1"/>
          <w:sz w:val="18"/>
          <w:szCs w:val="18"/>
          <w14:textFill>
            <w14:solidFill>
              <w14:schemeClr w14:val="tx1"/>
            </w14:solidFill>
          </w14:textFill>
        </w:rPr>
        <w:t>临时</w:t>
      </w:r>
      <w:r>
        <w:rPr>
          <w:rFonts w:hint="eastAsia" w:ascii="华文仿宋" w:hAnsi="华文仿宋" w:eastAsia="华文仿宋"/>
          <w:b/>
          <w:color w:val="000000" w:themeColor="text1"/>
          <w:sz w:val="18"/>
          <w:szCs w:val="18"/>
          <w14:textFill>
            <w14:solidFill>
              <w14:schemeClr w14:val="tx1"/>
            </w14:solidFill>
          </w14:textFill>
        </w:rPr>
        <w:t>要求</w:t>
      </w:r>
      <w:r>
        <w:rPr>
          <w:rFonts w:ascii="华文仿宋" w:hAnsi="华文仿宋" w:eastAsia="华文仿宋"/>
          <w:b/>
          <w:color w:val="000000" w:themeColor="text1"/>
          <w:sz w:val="18"/>
          <w:szCs w:val="18"/>
          <w14:textFill>
            <w14:solidFill>
              <w14:schemeClr w14:val="tx1"/>
            </w14:solidFill>
          </w14:textFill>
        </w:rPr>
        <w:t>工艺调整、临时</w:t>
      </w:r>
      <w:r>
        <w:rPr>
          <w:rFonts w:hint="eastAsia" w:ascii="华文仿宋" w:hAnsi="华文仿宋" w:eastAsia="华文仿宋"/>
          <w:b/>
          <w:color w:val="000000" w:themeColor="text1"/>
          <w:sz w:val="18"/>
          <w:szCs w:val="18"/>
          <w14:textFill>
            <w14:solidFill>
              <w14:schemeClr w14:val="tx1"/>
            </w14:solidFill>
          </w14:textFill>
        </w:rPr>
        <w:t>修改图纸导致的</w:t>
      </w:r>
      <w:r>
        <w:rPr>
          <w:rFonts w:ascii="华文仿宋" w:hAnsi="华文仿宋" w:eastAsia="华文仿宋"/>
          <w:b/>
          <w:color w:val="000000" w:themeColor="text1"/>
          <w:sz w:val="18"/>
          <w:szCs w:val="18"/>
          <w14:textFill>
            <w14:solidFill>
              <w14:schemeClr w14:val="tx1"/>
            </w14:solidFill>
          </w14:textFill>
        </w:rPr>
        <w:t>超耗费用</w:t>
      </w:r>
      <w:r>
        <w:rPr>
          <w:rFonts w:hint="eastAsia" w:ascii="华文仿宋" w:hAnsi="华文仿宋" w:eastAsia="华文仿宋"/>
          <w:b/>
          <w:color w:val="000000" w:themeColor="text1"/>
          <w:sz w:val="18"/>
          <w:szCs w:val="18"/>
          <w14:textFill>
            <w14:solidFill>
              <w14:schemeClr w14:val="tx1"/>
            </w14:solidFill>
          </w14:textFill>
        </w:rPr>
        <w:t>，由采购人负责承担；因供应商</w:t>
      </w:r>
      <w:r>
        <w:rPr>
          <w:rFonts w:ascii="华文仿宋" w:hAnsi="华文仿宋" w:eastAsia="华文仿宋"/>
          <w:b/>
          <w:color w:val="000000" w:themeColor="text1"/>
          <w:sz w:val="18"/>
          <w:szCs w:val="18"/>
          <w14:textFill>
            <w14:solidFill>
              <w14:schemeClr w14:val="tx1"/>
            </w14:solidFill>
          </w14:textFill>
        </w:rPr>
        <w:t>下料</w:t>
      </w:r>
      <w:r>
        <w:rPr>
          <w:rFonts w:hint="eastAsia" w:ascii="华文仿宋" w:hAnsi="华文仿宋" w:eastAsia="华文仿宋"/>
          <w:b/>
          <w:color w:val="000000" w:themeColor="text1"/>
          <w:sz w:val="18"/>
          <w:szCs w:val="18"/>
          <w14:textFill>
            <w14:solidFill>
              <w14:schemeClr w14:val="tx1"/>
            </w14:solidFill>
          </w14:textFill>
        </w:rPr>
        <w:t>不当</w:t>
      </w:r>
      <w:r>
        <w:rPr>
          <w:rFonts w:ascii="华文仿宋" w:hAnsi="华文仿宋" w:eastAsia="华文仿宋"/>
          <w:b/>
          <w:color w:val="000000" w:themeColor="text1"/>
          <w:sz w:val="18"/>
          <w:szCs w:val="18"/>
          <w14:textFill>
            <w14:solidFill>
              <w14:schemeClr w14:val="tx1"/>
            </w14:solidFill>
          </w14:textFill>
        </w:rPr>
        <w:t>、操作浪费</w:t>
      </w:r>
      <w:r>
        <w:rPr>
          <w:rFonts w:hint="eastAsia" w:ascii="华文仿宋" w:hAnsi="华文仿宋" w:eastAsia="华文仿宋"/>
          <w:b/>
          <w:color w:val="000000" w:themeColor="text1"/>
          <w:sz w:val="18"/>
          <w:szCs w:val="18"/>
          <w14:textFill>
            <w14:solidFill>
              <w14:schemeClr w14:val="tx1"/>
            </w14:solidFill>
          </w14:textFill>
        </w:rPr>
        <w:t>等</w:t>
      </w:r>
      <w:r>
        <w:rPr>
          <w:rFonts w:ascii="华文仿宋" w:hAnsi="华文仿宋" w:eastAsia="华文仿宋"/>
          <w:b/>
          <w:color w:val="000000" w:themeColor="text1"/>
          <w:sz w:val="18"/>
          <w:szCs w:val="18"/>
          <w14:textFill>
            <w14:solidFill>
              <w14:schemeClr w14:val="tx1"/>
            </w14:solidFill>
          </w14:textFill>
        </w:rPr>
        <w:t>人为管控不当</w:t>
      </w:r>
      <w:r>
        <w:rPr>
          <w:rFonts w:hint="eastAsia" w:ascii="华文仿宋" w:hAnsi="华文仿宋" w:eastAsia="华文仿宋"/>
          <w:b/>
          <w:color w:val="000000" w:themeColor="text1"/>
          <w:sz w:val="18"/>
          <w:szCs w:val="18"/>
          <w14:textFill>
            <w14:solidFill>
              <w14:schemeClr w14:val="tx1"/>
            </w14:solidFill>
          </w14:textFill>
        </w:rPr>
        <w:t>导致的</w:t>
      </w:r>
      <w:r>
        <w:rPr>
          <w:rFonts w:ascii="华文仿宋" w:hAnsi="华文仿宋" w:eastAsia="华文仿宋"/>
          <w:b/>
          <w:color w:val="000000" w:themeColor="text1"/>
          <w:sz w:val="18"/>
          <w:szCs w:val="18"/>
          <w14:textFill>
            <w14:solidFill>
              <w14:schemeClr w14:val="tx1"/>
            </w14:solidFill>
          </w14:textFill>
        </w:rPr>
        <w:t>超耗费用</w:t>
      </w:r>
      <w:r>
        <w:rPr>
          <w:rFonts w:hint="eastAsia" w:ascii="华文仿宋" w:hAnsi="华文仿宋" w:eastAsia="华文仿宋"/>
          <w:b/>
          <w:color w:val="000000" w:themeColor="text1"/>
          <w:sz w:val="18"/>
          <w:szCs w:val="18"/>
          <w14:textFill>
            <w14:solidFill>
              <w14:schemeClr w14:val="tx1"/>
            </w14:solidFill>
          </w14:textFill>
        </w:rPr>
        <w:t>，由供应商承担；</w:t>
      </w:r>
    </w:p>
    <w:p w14:paraId="18913062">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（7）</w:t>
      </w:r>
      <w:r>
        <w:rPr>
          <w:rFonts w:ascii="华文仿宋" w:hAnsi="华文仿宋" w:eastAsia="华文仿宋"/>
          <w:b/>
          <w:color w:val="000000" w:themeColor="text1"/>
          <w:sz w:val="18"/>
          <w:szCs w:val="18"/>
          <w14:textFill>
            <w14:solidFill>
              <w14:schemeClr w14:val="tx1"/>
            </w14:solidFill>
          </w14:textFill>
        </w:rPr>
        <w:t>★</w:t>
      </w:r>
      <w:r>
        <w:rPr>
          <w:rFonts w:hint="eastAsia" w:ascii="华文仿宋" w:hAnsi="华文仿宋" w:eastAsia="华文仿宋"/>
          <w:b/>
          <w:color w:val="000000" w:themeColor="text1"/>
          <w:sz w:val="18"/>
          <w:szCs w:val="18"/>
          <w14:textFill>
            <w14:solidFill>
              <w14:schemeClr w14:val="tx1"/>
            </w14:solidFill>
          </w14:textFill>
        </w:rPr>
        <w:t>加工制造要求：</w:t>
      </w:r>
    </w:p>
    <w:p w14:paraId="14F9ECB5">
      <w:pPr>
        <w:pStyle w:val="25"/>
        <w:ind w:left="993" w:firstLine="364" w:firstLineChars="20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①所有铝合金零件加工完成后，需要及时清洗，不能在加工表面形成顽固性污渍。</w:t>
      </w:r>
    </w:p>
    <w:p w14:paraId="52FA8BB5">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②加工制造过程中，乙方不得擅自更改图纸中的标注指标，确实存在重大疑问的，与甲方商定并完成技术变更手续后方可改变加工制造要求。</w:t>
      </w:r>
    </w:p>
    <w:p w14:paraId="736FEDBE">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③加工制造过程需要提供关键零件工艺文件及过程控制文件，若生产过程中出现质量事故，需要及时联系甲方，提供质量问题文件及整改文件完成后，方可继续生产。</w:t>
      </w:r>
    </w:p>
    <w:p w14:paraId="6B96665F">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（8）.★ 洁净要求：零件加工过程中使用的切削液必须是水基金属切削液，不准用冷却油、攻丝油接触加工件。</w:t>
      </w:r>
    </w:p>
    <w:p w14:paraId="17626DF5">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（9） 包装运输要求：</w:t>
      </w:r>
    </w:p>
    <w:p w14:paraId="36210DE5">
      <w:pPr>
        <w:pStyle w:val="25"/>
        <w:ind w:left="993" w:firstLine="364" w:firstLineChars="20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①所有铝合金零件在表面清理后，需要采用无微观残留的包装膜进行包装。</w:t>
      </w:r>
    </w:p>
    <w:p w14:paraId="2D1EE561">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②所有零件运至甲方现场，必须保证包装完好，如果出现包装损毁，需返厂重新检验零件质量，确保无质量问题，重新包装运至甲方现场，如果造成工期延误，甲方保留追究乙方责任的权利。</w:t>
      </w:r>
    </w:p>
    <w:p w14:paraId="1C5AF131">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（10）.运输防护工装要求：</w:t>
      </w:r>
    </w:p>
    <w:p w14:paraId="67E39367">
      <w:pPr>
        <w:pStyle w:val="25"/>
        <w:ind w:left="993" w:firstLine="36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零件运输过程中所必须的防护工装由供应商自行设计、加工，并自行承担成本。</w:t>
      </w:r>
    </w:p>
    <w:p w14:paraId="209AD5E0">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（11）本项目关键项目中的垂直度、平行度、</w:t>
      </w:r>
      <w:r>
        <w:rPr>
          <w:rFonts w:hint="eastAsia" w:ascii="华文仿宋" w:hAnsi="华文仿宋" w:eastAsia="华文仿宋"/>
          <w:b/>
          <w:sz w:val="18"/>
          <w:szCs w:val="18"/>
        </w:rPr>
        <w:t>平面度</w:t>
      </w:r>
      <w:r>
        <w:rPr>
          <w:rFonts w:hint="eastAsia" w:ascii="华文仿宋" w:hAnsi="华文仿宋" w:eastAsia="华文仿宋"/>
          <w:b/>
          <w:color w:val="000000" w:themeColor="text1"/>
          <w:sz w:val="18"/>
          <w:szCs w:val="18"/>
          <w14:textFill>
            <w14:solidFill>
              <w14:schemeClr w14:val="tx1"/>
            </w14:solidFill>
          </w14:textFill>
        </w:rPr>
        <w:t>指标检测，需要采用精度不低于0.005mm的三坐标测量仪，检测设备需提供国家法定计量机构出具的有效期内的鉴定证书（注：项目验收时提供）。</w:t>
      </w:r>
    </w:p>
    <w:p w14:paraId="6121EA67">
      <w:pPr>
        <w:pStyle w:val="25"/>
        <w:ind w:left="84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（12）售后服务：正常工作日期</w:t>
      </w:r>
      <w:r>
        <w:rPr>
          <w:rFonts w:ascii="华文仿宋" w:hAnsi="华文仿宋" w:eastAsia="华文仿宋"/>
          <w:b/>
          <w:color w:val="000000" w:themeColor="text1"/>
          <w:sz w:val="18"/>
          <w:szCs w:val="18"/>
          <w14:textFill>
            <w14:solidFill>
              <w14:schemeClr w14:val="tx1"/>
            </w14:solidFill>
          </w14:textFill>
        </w:rPr>
        <w:t>提供7×24小时技术支持，故障响应时间≤</w:t>
      </w:r>
      <w:r>
        <w:rPr>
          <w:rFonts w:hint="eastAsia" w:ascii="华文仿宋" w:hAnsi="华文仿宋" w:eastAsia="华文仿宋"/>
          <w:b/>
          <w:color w:val="000000" w:themeColor="text1"/>
          <w:sz w:val="18"/>
          <w:szCs w:val="18"/>
          <w14:textFill>
            <w14:solidFill>
              <w14:schemeClr w14:val="tx1"/>
            </w14:solidFill>
          </w14:textFill>
        </w:rPr>
        <w:t>4小时</w:t>
      </w:r>
      <w:r>
        <w:rPr>
          <w:rFonts w:ascii="华文仿宋" w:hAnsi="华文仿宋" w:eastAsia="华文仿宋"/>
          <w:b/>
          <w:color w:val="000000" w:themeColor="text1"/>
          <w:sz w:val="18"/>
          <w:szCs w:val="18"/>
          <w14:textFill>
            <w14:solidFill>
              <w14:schemeClr w14:val="tx1"/>
            </w14:solidFill>
          </w14:textFill>
        </w:rPr>
        <w:t>，现场处置时间≤</w:t>
      </w:r>
      <w:r>
        <w:rPr>
          <w:rFonts w:hint="eastAsia" w:ascii="华文仿宋" w:hAnsi="华文仿宋" w:eastAsia="华文仿宋"/>
          <w:b/>
          <w:color w:val="000000" w:themeColor="text1"/>
          <w:sz w:val="18"/>
          <w:szCs w:val="18"/>
          <w14:textFill>
            <w14:solidFill>
              <w14:schemeClr w14:val="tx1"/>
            </w14:solidFill>
          </w14:textFill>
        </w:rPr>
        <w:t>24</w:t>
      </w:r>
      <w:r>
        <w:rPr>
          <w:rFonts w:ascii="华文仿宋" w:hAnsi="华文仿宋" w:eastAsia="华文仿宋"/>
          <w:b/>
          <w:color w:val="000000" w:themeColor="text1"/>
          <w:sz w:val="18"/>
          <w:szCs w:val="18"/>
          <w14:textFill>
            <w14:solidFill>
              <w14:schemeClr w14:val="tx1"/>
            </w14:solidFill>
          </w14:textFill>
        </w:rPr>
        <w:t>小时</w:t>
      </w:r>
      <w:r>
        <w:rPr>
          <w:rFonts w:hint="eastAsia" w:ascii="华文仿宋" w:hAnsi="华文仿宋" w:eastAsia="华文仿宋"/>
          <w:b/>
          <w:color w:val="000000" w:themeColor="text1"/>
          <w:sz w:val="18"/>
          <w:szCs w:val="18"/>
          <w14:textFill>
            <w14:solidFill>
              <w14:schemeClr w14:val="tx1"/>
            </w14:solidFill>
          </w14:textFill>
        </w:rPr>
        <w:t>。</w:t>
      </w:r>
    </w:p>
    <w:p w14:paraId="1ACD8D8F">
      <w:pPr>
        <w:pStyle w:val="25"/>
        <w:ind w:left="993" w:firstLine="360"/>
        <w:jc w:val="left"/>
        <w:rPr>
          <w:rFonts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节假日服务例外</w:t>
      </w:r>
      <w:r>
        <w:rPr>
          <w:rFonts w:hint="eastAsia" w:ascii="华文仿宋" w:hAnsi="华文仿宋" w:eastAsia="华文仿宋"/>
          <w:b/>
          <w:color w:val="000000" w:themeColor="text1"/>
          <w:sz w:val="18"/>
          <w:szCs w:val="18"/>
          <w14:textFill>
            <w14:solidFill>
              <w14:schemeClr w14:val="tx1"/>
            </w14:solidFill>
          </w14:textFill>
        </w:rPr>
        <w:t>说明：</w:t>
      </w:r>
    </w:p>
    <w:p w14:paraId="0810CBD3">
      <w:pPr>
        <w:pStyle w:val="25"/>
        <w:ind w:left="1559" w:leftChars="646" w:hanging="202" w:hangingChars="112"/>
        <w:jc w:val="left"/>
        <w:rPr>
          <w:rFonts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①法定节假日、周末休息日，上门</w:t>
      </w:r>
      <w:r>
        <w:rPr>
          <w:rFonts w:hint="eastAsia" w:ascii="华文仿宋" w:hAnsi="华文仿宋" w:eastAsia="华文仿宋"/>
          <w:b/>
          <w:color w:val="000000" w:themeColor="text1"/>
          <w:sz w:val="18"/>
          <w:szCs w:val="18"/>
          <w14:textFill>
            <w14:solidFill>
              <w14:schemeClr w14:val="tx1"/>
            </w14:solidFill>
          </w14:textFill>
        </w:rPr>
        <w:t>服务</w:t>
      </w:r>
      <w:r>
        <w:rPr>
          <w:rFonts w:ascii="华文仿宋" w:hAnsi="华文仿宋" w:eastAsia="华文仿宋"/>
          <w:b/>
          <w:color w:val="000000" w:themeColor="text1"/>
          <w:sz w:val="18"/>
          <w:szCs w:val="18"/>
          <w14:textFill>
            <w14:solidFill>
              <w14:schemeClr w14:val="tx1"/>
            </w14:solidFill>
          </w14:textFill>
        </w:rPr>
        <w:t>、配件配送等线下服务暂停，服务时效统一顺延至节后首个工作日；线上咨询、远程协助正常服务。</w:t>
      </w:r>
    </w:p>
    <w:p w14:paraId="23DBC64F">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②因节假日物流停运、交通管制等不可抗力导致服务延迟，</w:t>
      </w:r>
      <w:r>
        <w:rPr>
          <w:rFonts w:hint="eastAsia" w:ascii="华文仿宋" w:hAnsi="华文仿宋" w:eastAsia="华文仿宋"/>
          <w:b/>
          <w:color w:val="000000" w:themeColor="text1"/>
          <w:sz w:val="18"/>
          <w:szCs w:val="18"/>
          <w14:textFill>
            <w14:solidFill>
              <w14:schemeClr w14:val="tx1"/>
            </w14:solidFill>
          </w14:textFill>
        </w:rPr>
        <w:t>供应商</w:t>
      </w:r>
      <w:r>
        <w:rPr>
          <w:rFonts w:ascii="华文仿宋" w:hAnsi="华文仿宋" w:eastAsia="华文仿宋"/>
          <w:b/>
          <w:color w:val="000000" w:themeColor="text1"/>
          <w:sz w:val="18"/>
          <w:szCs w:val="18"/>
          <w14:textFill>
            <w14:solidFill>
              <w14:schemeClr w14:val="tx1"/>
            </w14:solidFill>
          </w14:textFill>
        </w:rPr>
        <w:t>不承担延误责任</w:t>
      </w:r>
      <w:r>
        <w:rPr>
          <w:rFonts w:hint="eastAsia" w:ascii="华文仿宋" w:hAnsi="华文仿宋" w:eastAsia="华文仿宋"/>
          <w:b/>
          <w:color w:val="000000" w:themeColor="text1"/>
          <w:sz w:val="18"/>
          <w:szCs w:val="18"/>
          <w14:textFill>
            <w14:solidFill>
              <w14:schemeClr w14:val="tx1"/>
            </w14:solidFill>
          </w14:textFill>
        </w:rPr>
        <w:t>。</w:t>
      </w:r>
    </w:p>
    <w:p w14:paraId="12B074C1">
      <w:pPr>
        <w:pStyle w:val="25"/>
        <w:ind w:left="993" w:firstLine="360"/>
        <w:jc w:val="left"/>
        <w:rPr>
          <w:rFonts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异地服务例外</w:t>
      </w:r>
      <w:r>
        <w:rPr>
          <w:rFonts w:hint="eastAsia" w:ascii="华文仿宋" w:hAnsi="华文仿宋" w:eastAsia="华文仿宋"/>
          <w:b/>
          <w:color w:val="000000" w:themeColor="text1"/>
          <w:sz w:val="18"/>
          <w:szCs w:val="18"/>
          <w14:textFill>
            <w14:solidFill>
              <w14:schemeClr w14:val="tx1"/>
            </w14:solidFill>
          </w14:textFill>
        </w:rPr>
        <w:t>说明：</w:t>
      </w:r>
    </w:p>
    <w:p w14:paraId="3D57BCD1">
      <w:pPr>
        <w:pStyle w:val="25"/>
        <w:ind w:left="1559" w:leftChars="646" w:hanging="202" w:hangingChars="112"/>
        <w:jc w:val="left"/>
        <w:rPr>
          <w:rFonts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跨省</w:t>
      </w:r>
      <w:r>
        <w:rPr>
          <w:rFonts w:hint="eastAsia" w:ascii="华文仿宋" w:hAnsi="华文仿宋" w:eastAsia="华文仿宋"/>
          <w:b/>
          <w:color w:val="000000" w:themeColor="text1"/>
          <w:sz w:val="18"/>
          <w:szCs w:val="18"/>
          <w14:textFill>
            <w14:solidFill>
              <w14:schemeClr w14:val="tx1"/>
            </w14:solidFill>
          </w14:textFill>
        </w:rPr>
        <w:t>供应商现场处置时间：</w:t>
      </w:r>
      <w:r>
        <w:rPr>
          <w:rFonts w:ascii="华文仿宋" w:hAnsi="华文仿宋" w:eastAsia="华文仿宋"/>
          <w:b/>
          <w:color w:val="000000" w:themeColor="text1"/>
          <w:sz w:val="18"/>
          <w:szCs w:val="18"/>
          <w14:textFill>
            <w14:solidFill>
              <w14:schemeClr w14:val="tx1"/>
            </w14:solidFill>
          </w14:textFill>
        </w:rPr>
        <w:t>48</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72 小时，偏远</w:t>
      </w:r>
      <w:r>
        <w:rPr>
          <w:rFonts w:hint="eastAsia" w:ascii="华文仿宋" w:hAnsi="华文仿宋" w:eastAsia="华文仿宋"/>
          <w:b/>
          <w:color w:val="000000" w:themeColor="text1"/>
          <w:sz w:val="18"/>
          <w:szCs w:val="18"/>
          <w14:textFill>
            <w14:solidFill>
              <w14:schemeClr w14:val="tx1"/>
            </w14:solidFill>
          </w14:textFill>
        </w:rPr>
        <w:t>地区供应商现场处置时间</w:t>
      </w:r>
      <w:r>
        <w:rPr>
          <w:rFonts w:ascii="华文仿宋" w:hAnsi="华文仿宋" w:eastAsia="华文仿宋"/>
          <w:b/>
          <w:color w:val="000000" w:themeColor="text1"/>
          <w:sz w:val="18"/>
          <w:szCs w:val="18"/>
          <w14:textFill>
            <w14:solidFill>
              <w14:schemeClr w14:val="tx1"/>
            </w14:solidFill>
          </w14:textFill>
        </w:rPr>
        <w:t>顺延至</w:t>
      </w:r>
      <w:r>
        <w:rPr>
          <w:rFonts w:hint="eastAsia" w:ascii="华文仿宋" w:hAnsi="华文仿宋" w:eastAsia="华文仿宋"/>
          <w:b/>
          <w:color w:val="000000" w:themeColor="text1"/>
          <w:sz w:val="18"/>
          <w:szCs w:val="18"/>
          <w14:textFill>
            <w14:solidFill>
              <w14:schemeClr w14:val="tx1"/>
            </w14:solidFill>
          </w14:textFill>
        </w:rPr>
        <w:t>5</w:t>
      </w:r>
      <w:r>
        <w:rPr>
          <w:rFonts w:ascii="华文仿宋" w:hAnsi="华文仿宋" w:eastAsia="华文仿宋"/>
          <w:b/>
          <w:color w:val="000000" w:themeColor="text1"/>
          <w:sz w:val="18"/>
          <w:szCs w:val="18"/>
          <w14:textFill>
            <w14:solidFill>
              <w14:schemeClr w14:val="tx1"/>
            </w14:solidFill>
          </w14:textFill>
        </w:rPr>
        <w:t>日。</w:t>
      </w:r>
    </w:p>
    <w:p w14:paraId="448380E0">
      <w:pPr>
        <w:ind w:firstLine="960" w:firstLineChars="533"/>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备注：</w:t>
      </w:r>
    </w:p>
    <w:p w14:paraId="2CBB4FCF">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①</w:t>
      </w:r>
      <w:r>
        <w:rPr>
          <w:rFonts w:ascii="华文仿宋" w:hAnsi="华文仿宋" w:eastAsia="华文仿宋"/>
          <w:b/>
          <w:color w:val="000000" w:themeColor="text1"/>
          <w:sz w:val="18"/>
          <w:szCs w:val="18"/>
          <w14:textFill>
            <w14:solidFill>
              <w14:schemeClr w14:val="tx1"/>
            </w14:solidFill>
          </w14:textFill>
        </w:rPr>
        <w:t>本项目技术要求中带★号的条款为实质性响应条款，均对应加工图纸中的核心精度、关键工艺、强制要求，投标人必须全部满足，任意一项★号条款存在负偏离的，按无效投标处理；</w:t>
      </w:r>
    </w:p>
    <w:p w14:paraId="28F182C1">
      <w:pPr>
        <w:pStyle w:val="25"/>
        <w:ind w:left="1559" w:leftChars="646" w:hanging="202" w:hangingChars="112"/>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②</w:t>
      </w:r>
      <w:r>
        <w:rPr>
          <w:rFonts w:ascii="华文仿宋" w:hAnsi="华文仿宋" w:eastAsia="华文仿宋"/>
          <w:b/>
          <w:color w:val="000000" w:themeColor="text1"/>
          <w:sz w:val="18"/>
          <w:szCs w:val="18"/>
          <w14:textFill>
            <w14:solidFill>
              <w14:schemeClr w14:val="tx1"/>
            </w14:solidFill>
          </w14:textFill>
        </w:rPr>
        <w:t>投标人在投标文件中针对所有技术要求逐条响应，填写《技术参数偏离表》，未按要求</w:t>
      </w:r>
      <w:r>
        <w:rPr>
          <w:rFonts w:hint="eastAsia" w:ascii="华文仿宋" w:hAnsi="华文仿宋" w:eastAsia="华文仿宋"/>
          <w:b/>
          <w:color w:val="000000" w:themeColor="text1"/>
          <w:sz w:val="18"/>
          <w:szCs w:val="18"/>
          <w14:textFill>
            <w14:solidFill>
              <w14:schemeClr w14:val="tx1"/>
            </w14:solidFill>
          </w14:textFill>
        </w:rPr>
        <w:t>提供</w:t>
      </w:r>
      <w:r>
        <w:rPr>
          <w:rFonts w:ascii="华文仿宋" w:hAnsi="华文仿宋" w:eastAsia="华文仿宋"/>
          <w:b/>
          <w:color w:val="000000" w:themeColor="text1"/>
          <w:sz w:val="18"/>
          <w:szCs w:val="18"/>
          <w14:textFill>
            <w14:solidFill>
              <w14:schemeClr w14:val="tx1"/>
            </w14:solidFill>
          </w14:textFill>
        </w:rPr>
        <w:t>的</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按无效投标处理；</w:t>
      </w:r>
    </w:p>
    <w:p w14:paraId="6B6D50FB">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项目实施要求</w:t>
      </w:r>
    </w:p>
    <w:p w14:paraId="1D929BF3">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（1）任务执行过程中的来往信息（申请、协调、更改单等）须以书面文件为准（签署盖章），并留存记录。</w:t>
      </w:r>
    </w:p>
    <w:p w14:paraId="1C75761F">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（2）在加工过程中发现的图样或产品有遗漏、隐患或缺陷等问题时，不得擅自处理，须及时履行告知义务，并协助采取必要的弥补措施。</w:t>
      </w:r>
    </w:p>
    <w:p w14:paraId="6141499E">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（3）生产过程应有完整、翔实的质量记录，包括不合格品的处理、处置情况等。</w:t>
      </w:r>
    </w:p>
    <w:p w14:paraId="681CE863">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（4）提供售后服务，包含但不限于售后服务人员配置、检验方案等。</w:t>
      </w:r>
    </w:p>
    <w:p w14:paraId="652CFAB1">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验收方式</w:t>
      </w:r>
    </w:p>
    <w:p w14:paraId="46D16567">
      <w:pPr>
        <w:ind w:left="420" w:firstLine="420"/>
        <w:jc w:val="left"/>
        <w:rPr>
          <w:rFonts w:hint="eastAsia" w:ascii="华文仿宋" w:hAnsi="华文仿宋" w:eastAsia="华文仿宋"/>
          <w:b/>
          <w:sz w:val="18"/>
          <w:szCs w:val="18"/>
        </w:rPr>
      </w:pPr>
      <w:r>
        <w:rPr>
          <w:rFonts w:ascii="华文仿宋" w:hAnsi="华文仿宋" w:eastAsia="华文仿宋"/>
          <w:b/>
          <w:sz w:val="18"/>
          <w:szCs w:val="18"/>
        </w:rPr>
        <w:t>本项目验收以以下文件为验收依据，不得擅自降低或变更标准：</w:t>
      </w:r>
    </w:p>
    <w:p w14:paraId="79D3F040">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（1）</w:t>
      </w:r>
      <w:r>
        <w:rPr>
          <w:rFonts w:ascii="华文仿宋" w:hAnsi="华文仿宋" w:eastAsia="华文仿宋"/>
          <w:b/>
          <w:sz w:val="18"/>
          <w:szCs w:val="18"/>
        </w:rPr>
        <w:t>采购需求项目技术/服务要求中约定的全部可量化技术/服务指标（最低验收标准）；</w:t>
      </w:r>
    </w:p>
    <w:p w14:paraId="14EF9989">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（2）</w:t>
      </w:r>
      <w:r>
        <w:rPr>
          <w:rFonts w:ascii="华文仿宋" w:hAnsi="华文仿宋" w:eastAsia="华文仿宋"/>
          <w:b/>
          <w:sz w:val="18"/>
          <w:szCs w:val="18"/>
        </w:rPr>
        <w:t>中标供应商投标文件中承诺的、优于采购需求的全部可量化响应指标（按就高不就低原则执行）；</w:t>
      </w:r>
    </w:p>
    <w:p w14:paraId="153723F2">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（3）</w:t>
      </w:r>
      <w:r>
        <w:rPr>
          <w:rFonts w:ascii="华文仿宋" w:hAnsi="华文仿宋" w:eastAsia="华文仿宋"/>
          <w:b/>
          <w:sz w:val="18"/>
          <w:szCs w:val="18"/>
        </w:rPr>
        <w:t>本采购需求表约定的履约、质保、售后服务等全部商务要求；</w:t>
      </w:r>
    </w:p>
    <w:p w14:paraId="3C08F25A">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（4）</w:t>
      </w:r>
      <w:r>
        <w:rPr>
          <w:rFonts w:ascii="华文仿宋" w:hAnsi="华文仿宋" w:eastAsia="华文仿宋"/>
          <w:b/>
          <w:sz w:val="18"/>
          <w:szCs w:val="18"/>
        </w:rPr>
        <w:t>本项目采购文件、中标通知书、正式签订的采购合同</w:t>
      </w:r>
      <w:r>
        <w:rPr>
          <w:rFonts w:hint="eastAsia" w:ascii="华文仿宋" w:hAnsi="华文仿宋" w:eastAsia="华文仿宋"/>
          <w:b/>
          <w:sz w:val="18"/>
          <w:szCs w:val="18"/>
        </w:rPr>
        <w:t>；</w:t>
      </w:r>
    </w:p>
    <w:p w14:paraId="58E6E44E">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5）出厂前验收：供应商出厂前按加工图纸要求完成全项自检，出具含图纸要求的关键尺寸、形位公差、表面粗糙度、洁净度等核心指标的《出厂检测报告》（附检测原始数据、检测设备的鉴定证书），采购人审查确认后方可发货；</w:t>
      </w:r>
    </w:p>
    <w:p w14:paraId="560AAA96">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（6）现场初步验收：货物送达后2 个工作日内，采购人对零件数量、外观、包装、随附资料进行验收，</w:t>
      </w:r>
      <w:r>
        <w:rPr>
          <w:rFonts w:ascii="华文仿宋" w:hAnsi="华文仿宋" w:eastAsia="华文仿宋"/>
          <w:b/>
          <w:color w:val="000000" w:themeColor="text1"/>
          <w:sz w:val="18"/>
          <w:szCs w:val="18"/>
          <w14:textFill>
            <w14:solidFill>
              <w14:schemeClr w14:val="tx1"/>
            </w14:solidFill>
          </w14:textFill>
        </w:rPr>
        <w:t>细检</w:t>
      </w:r>
      <w:r>
        <w:rPr>
          <w:rFonts w:hint="eastAsia" w:ascii="华文仿宋" w:hAnsi="华文仿宋" w:eastAsia="华文仿宋"/>
          <w:b/>
          <w:color w:val="000000" w:themeColor="text1"/>
          <w:sz w:val="18"/>
          <w:szCs w:val="18"/>
          <w14:textFill>
            <w14:solidFill>
              <w14:schemeClr w14:val="tx1"/>
            </w14:solidFill>
          </w14:textFill>
        </w:rPr>
        <w:t>查货物</w:t>
      </w:r>
      <w:r>
        <w:rPr>
          <w:rFonts w:ascii="华文仿宋" w:hAnsi="华文仿宋" w:eastAsia="华文仿宋"/>
          <w:b/>
          <w:color w:val="000000" w:themeColor="text1"/>
          <w:sz w:val="18"/>
          <w:szCs w:val="18"/>
          <w14:textFill>
            <w14:solidFill>
              <w14:schemeClr w14:val="tx1"/>
            </w14:solidFill>
          </w14:textFill>
        </w:rPr>
        <w:t>包</w:t>
      </w:r>
      <w:r>
        <w:rPr>
          <w:rFonts w:hint="eastAsia" w:ascii="华文仿宋" w:hAnsi="华文仿宋" w:eastAsia="华文仿宋"/>
          <w:b/>
          <w:color w:val="000000" w:themeColor="text1"/>
          <w:sz w:val="18"/>
          <w:szCs w:val="18"/>
          <w14:textFill>
            <w14:solidFill>
              <w14:schemeClr w14:val="tx1"/>
            </w14:solidFill>
          </w14:textFill>
        </w:rPr>
        <w:t>装是否存在破损、水迹、短缺等不良现象。</w:t>
      </w:r>
      <w:r>
        <w:rPr>
          <w:rFonts w:ascii="华文仿宋" w:hAnsi="华文仿宋" w:eastAsia="华文仿宋"/>
          <w:b/>
          <w:color w:val="000000" w:themeColor="text1"/>
          <w:sz w:val="18"/>
          <w:szCs w:val="18"/>
          <w14:textFill>
            <w14:solidFill>
              <w14:schemeClr w14:val="tx1"/>
            </w14:solidFill>
          </w14:textFill>
        </w:rPr>
        <w:t>如果发现到货物的质量、规格和数量与合同不符，甲方有权拒收货物，并签发拒绝收货通知书。乙方应于</w:t>
      </w:r>
      <w:r>
        <w:rPr>
          <w:rFonts w:hint="eastAsia" w:ascii="华文仿宋" w:hAnsi="华文仿宋" w:eastAsia="华文仿宋"/>
          <w:b/>
          <w:color w:val="000000" w:themeColor="text1"/>
          <w:sz w:val="18"/>
          <w:szCs w:val="18"/>
          <w14:textFill>
            <w14:solidFill>
              <w14:schemeClr w14:val="tx1"/>
            </w14:solidFill>
          </w14:textFill>
        </w:rPr>
        <w:t>10</w:t>
      </w:r>
      <w:r>
        <w:rPr>
          <w:rFonts w:ascii="华文仿宋" w:hAnsi="华文仿宋" w:eastAsia="华文仿宋"/>
          <w:b/>
          <w:color w:val="000000" w:themeColor="text1"/>
          <w:sz w:val="18"/>
          <w:szCs w:val="18"/>
          <w14:textFill>
            <w14:solidFill>
              <w14:schemeClr w14:val="tx1"/>
            </w14:solidFill>
          </w14:textFill>
        </w:rPr>
        <w:t>天内重新提供符合合同约定的货物，</w:t>
      </w:r>
      <w:r>
        <w:rPr>
          <w:rFonts w:hint="eastAsia" w:ascii="华文仿宋" w:hAnsi="华文仿宋" w:eastAsia="华文仿宋"/>
          <w:b/>
          <w:color w:val="000000" w:themeColor="text1"/>
          <w:sz w:val="18"/>
          <w:szCs w:val="18"/>
          <w14:textFill>
            <w14:solidFill>
              <w14:schemeClr w14:val="tx1"/>
            </w14:solidFill>
          </w14:textFill>
        </w:rPr>
        <w:t>最终的交付工期不予顺延</w:t>
      </w:r>
      <w:r>
        <w:rPr>
          <w:rFonts w:ascii="华文仿宋" w:hAnsi="华文仿宋" w:eastAsia="华文仿宋"/>
          <w:b/>
          <w:color w:val="000000" w:themeColor="text1"/>
          <w:sz w:val="18"/>
          <w:szCs w:val="18"/>
          <w14:textFill>
            <w14:solidFill>
              <w14:schemeClr w14:val="tx1"/>
            </w14:solidFill>
          </w14:textFill>
        </w:rPr>
        <w:t>。</w:t>
      </w:r>
    </w:p>
    <w:p w14:paraId="26D25194">
      <w:pPr>
        <w:ind w:left="840" w:firstLine="360" w:firstLineChars="20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初步验收与图纸要求、投标承诺一致的，签署《初步验收报告》。采购人根据《初步验收报告》和供应商提供的《出厂检测报告》，</w:t>
      </w:r>
      <w:r>
        <w:rPr>
          <w:rFonts w:ascii="华文仿宋" w:hAnsi="华文仿宋" w:eastAsia="华文仿宋"/>
          <w:b/>
          <w:color w:val="000000" w:themeColor="text1"/>
          <w:sz w:val="18"/>
          <w:szCs w:val="18"/>
          <w14:textFill>
            <w14:solidFill>
              <w14:schemeClr w14:val="tx1"/>
            </w14:solidFill>
          </w14:textFill>
        </w:rPr>
        <w:t>支付</w:t>
      </w:r>
      <w:r>
        <w:rPr>
          <w:rFonts w:hint="eastAsia" w:ascii="华文仿宋" w:hAnsi="华文仿宋" w:eastAsia="华文仿宋"/>
          <w:b/>
          <w:color w:val="000000" w:themeColor="text1"/>
          <w:sz w:val="18"/>
          <w:szCs w:val="18"/>
          <w14:textFill>
            <w14:solidFill>
              <w14:schemeClr w14:val="tx1"/>
            </w14:solidFill>
          </w14:textFill>
        </w:rPr>
        <w:t>到</w:t>
      </w:r>
      <w:r>
        <w:rPr>
          <w:rFonts w:ascii="华文仿宋" w:hAnsi="华文仿宋" w:eastAsia="华文仿宋"/>
          <w:b/>
          <w:color w:val="000000" w:themeColor="text1"/>
          <w:sz w:val="18"/>
          <w:szCs w:val="18"/>
          <w14:textFill>
            <w14:solidFill>
              <w14:schemeClr w14:val="tx1"/>
            </w14:solidFill>
          </w14:textFill>
        </w:rPr>
        <w:t>合同总价的</w:t>
      </w:r>
      <w:r>
        <w:rPr>
          <w:rFonts w:hint="eastAsia" w:ascii="华文仿宋" w:hAnsi="华文仿宋" w:eastAsia="华文仿宋"/>
          <w:b/>
          <w:color w:val="000000" w:themeColor="text1"/>
          <w:sz w:val="18"/>
          <w:szCs w:val="18"/>
          <w14:textFill>
            <w14:solidFill>
              <w14:schemeClr w14:val="tx1"/>
            </w14:solidFill>
          </w14:textFill>
        </w:rPr>
        <w:t>40</w:t>
      </w:r>
      <w:r>
        <w:rPr>
          <w:rFonts w:ascii="华文仿宋" w:hAnsi="华文仿宋" w:eastAsia="华文仿宋"/>
          <w:b/>
          <w:color w:val="000000" w:themeColor="text1"/>
          <w:sz w:val="18"/>
          <w:szCs w:val="18"/>
          <w14:textFill>
            <w14:solidFill>
              <w14:schemeClr w14:val="tx1"/>
            </w14:solidFill>
          </w14:textFill>
        </w:rPr>
        <w:t>%</w:t>
      </w:r>
      <w:r>
        <w:rPr>
          <w:rFonts w:hint="eastAsia" w:ascii="华文仿宋" w:hAnsi="华文仿宋" w:eastAsia="华文仿宋"/>
          <w:b/>
          <w:color w:val="000000" w:themeColor="text1"/>
          <w:sz w:val="18"/>
          <w:szCs w:val="18"/>
          <w14:textFill>
            <w14:solidFill>
              <w14:schemeClr w14:val="tx1"/>
            </w14:solidFill>
          </w14:textFill>
        </w:rPr>
        <w:t>。</w:t>
      </w:r>
    </w:p>
    <w:p w14:paraId="45FEA62D">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（7）精度验收：到货验收合格后5 个工作日内，采购人按加工图纸要求，</w:t>
      </w:r>
      <w:r>
        <w:rPr>
          <w:rFonts w:ascii="华文仿宋" w:hAnsi="华文仿宋" w:eastAsia="华文仿宋"/>
          <w:b/>
          <w:color w:val="000000" w:themeColor="text1"/>
          <w:sz w:val="18"/>
          <w:szCs w:val="18"/>
          <w14:textFill>
            <w14:solidFill>
              <w14:schemeClr w14:val="tx1"/>
            </w14:solidFill>
          </w14:textFill>
        </w:rPr>
        <w:t>随机抽取不少于</w:t>
      </w:r>
      <w:r>
        <w:rPr>
          <w:rFonts w:hint="eastAsia" w:ascii="华文仿宋" w:hAnsi="华文仿宋" w:eastAsia="华文仿宋"/>
          <w:b/>
          <w:color w:val="000000" w:themeColor="text1"/>
          <w:sz w:val="18"/>
          <w:szCs w:val="18"/>
          <w14:textFill>
            <w14:solidFill>
              <w14:schemeClr w14:val="tx1"/>
            </w14:solidFill>
          </w14:textFill>
        </w:rPr>
        <w:t>10</w:t>
      </w:r>
      <w:r>
        <w:rPr>
          <w:rFonts w:ascii="华文仿宋" w:hAnsi="华文仿宋" w:eastAsia="华文仿宋"/>
          <w:b/>
          <w:color w:val="000000" w:themeColor="text1"/>
          <w:sz w:val="18"/>
          <w:szCs w:val="18"/>
          <w14:textFill>
            <w14:solidFill>
              <w14:schemeClr w14:val="tx1"/>
            </w14:solidFill>
          </w14:textFill>
        </w:rPr>
        <w:t>%的零件</w:t>
      </w:r>
      <w:r>
        <w:rPr>
          <w:rFonts w:hint="eastAsia" w:ascii="华文仿宋" w:hAnsi="华文仿宋" w:eastAsia="华文仿宋"/>
          <w:b/>
          <w:color w:val="000000" w:themeColor="text1"/>
          <w:sz w:val="18"/>
          <w:szCs w:val="18"/>
          <w14:textFill>
            <w14:solidFill>
              <w14:schemeClr w14:val="tx1"/>
            </w14:solidFill>
          </w14:textFill>
        </w:rPr>
        <w:t>数量</w:t>
      </w:r>
      <w:r>
        <w:rPr>
          <w:rFonts w:ascii="华文仿宋" w:hAnsi="华文仿宋" w:eastAsia="华文仿宋"/>
          <w:b/>
          <w:color w:val="000000" w:themeColor="text1"/>
          <w:sz w:val="18"/>
          <w:szCs w:val="18"/>
          <w14:textFill>
            <w14:solidFill>
              <w14:schemeClr w14:val="tx1"/>
            </w14:solidFill>
          </w14:textFill>
        </w:rPr>
        <w:t>进行</w:t>
      </w:r>
      <w:r>
        <w:rPr>
          <w:rFonts w:hint="eastAsia" w:ascii="华文仿宋" w:hAnsi="华文仿宋" w:eastAsia="华文仿宋"/>
          <w:b/>
          <w:color w:val="000000" w:themeColor="text1"/>
          <w:sz w:val="18"/>
          <w:szCs w:val="18"/>
          <w14:textFill>
            <w14:solidFill>
              <w14:schemeClr w14:val="tx1"/>
            </w14:solidFill>
          </w14:textFill>
        </w:rPr>
        <w:t>全项</w:t>
      </w:r>
      <w:r>
        <w:rPr>
          <w:rFonts w:ascii="华文仿宋" w:hAnsi="华文仿宋" w:eastAsia="华文仿宋"/>
          <w:b/>
          <w:color w:val="000000" w:themeColor="text1"/>
          <w:sz w:val="18"/>
          <w:szCs w:val="18"/>
          <w14:textFill>
            <w14:solidFill>
              <w14:schemeClr w14:val="tx1"/>
            </w14:solidFill>
          </w14:textFill>
        </w:rPr>
        <w:t>复检</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若抽检零件出现 1 项★号指标不合格，采购人有权扩大抽检比例至</w:t>
      </w:r>
      <w:r>
        <w:rPr>
          <w:rFonts w:hint="eastAsia" w:ascii="华文仿宋" w:hAnsi="华文仿宋" w:eastAsia="华文仿宋"/>
          <w:b/>
          <w:color w:val="000000" w:themeColor="text1"/>
          <w:sz w:val="18"/>
          <w:szCs w:val="18"/>
          <w14:textFill>
            <w14:solidFill>
              <w14:schemeClr w14:val="tx1"/>
            </w14:solidFill>
          </w14:textFill>
        </w:rPr>
        <w:t>30</w:t>
      </w:r>
      <w:r>
        <w:rPr>
          <w:rFonts w:ascii="华文仿宋" w:hAnsi="华文仿宋" w:eastAsia="华文仿宋"/>
          <w:b/>
          <w:color w:val="000000" w:themeColor="text1"/>
          <w:sz w:val="18"/>
          <w:szCs w:val="18"/>
          <w14:textFill>
            <w14:solidFill>
              <w14:schemeClr w14:val="tx1"/>
            </w14:solidFill>
          </w14:textFill>
        </w:rPr>
        <w:t>%，若仍有不合格项，整批零件视为验收不合格</w:t>
      </w:r>
      <w:r>
        <w:rPr>
          <w:rFonts w:hint="eastAsia" w:ascii="华文仿宋" w:hAnsi="华文仿宋" w:eastAsia="华文仿宋"/>
          <w:b/>
          <w:color w:val="000000" w:themeColor="text1"/>
          <w:sz w:val="18"/>
          <w:szCs w:val="18"/>
          <w14:textFill>
            <w14:solidFill>
              <w14:schemeClr w14:val="tx1"/>
            </w14:solidFill>
          </w14:textFill>
        </w:rPr>
        <w:t>。</w:t>
      </w:r>
    </w:p>
    <w:p w14:paraId="7672DD63">
      <w:pPr>
        <w:ind w:left="840" w:firstLine="360" w:firstLineChars="20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若精度验收合格，签署《精度检验报告》，采购人根据《精度检验报告》</w:t>
      </w:r>
      <w:r>
        <w:rPr>
          <w:rFonts w:ascii="华文仿宋" w:hAnsi="华文仿宋" w:eastAsia="华文仿宋"/>
          <w:b/>
          <w:color w:val="000000" w:themeColor="text1"/>
          <w:sz w:val="18"/>
          <w:szCs w:val="18"/>
          <w14:textFill>
            <w14:solidFill>
              <w14:schemeClr w14:val="tx1"/>
            </w14:solidFill>
          </w14:textFill>
        </w:rPr>
        <w:t>支付</w:t>
      </w:r>
      <w:r>
        <w:rPr>
          <w:rFonts w:hint="eastAsia" w:ascii="华文仿宋" w:hAnsi="华文仿宋" w:eastAsia="华文仿宋"/>
          <w:b/>
          <w:color w:val="000000" w:themeColor="text1"/>
          <w:sz w:val="18"/>
          <w:szCs w:val="18"/>
          <w14:textFill>
            <w14:solidFill>
              <w14:schemeClr w14:val="tx1"/>
            </w14:solidFill>
          </w14:textFill>
        </w:rPr>
        <w:t>到</w:t>
      </w:r>
      <w:r>
        <w:rPr>
          <w:rFonts w:ascii="华文仿宋" w:hAnsi="华文仿宋" w:eastAsia="华文仿宋"/>
          <w:b/>
          <w:color w:val="000000" w:themeColor="text1"/>
          <w:sz w:val="18"/>
          <w:szCs w:val="18"/>
          <w14:textFill>
            <w14:solidFill>
              <w14:schemeClr w14:val="tx1"/>
            </w14:solidFill>
          </w14:textFill>
        </w:rPr>
        <w:t>合同总价的</w:t>
      </w:r>
      <w:r>
        <w:rPr>
          <w:rFonts w:hint="eastAsia" w:ascii="华文仿宋" w:hAnsi="华文仿宋" w:eastAsia="华文仿宋"/>
          <w:b/>
          <w:color w:val="000000" w:themeColor="text1"/>
          <w:sz w:val="18"/>
          <w:szCs w:val="18"/>
          <w14:textFill>
            <w14:solidFill>
              <w14:schemeClr w14:val="tx1"/>
            </w14:solidFill>
          </w14:textFill>
        </w:rPr>
        <w:t>90</w:t>
      </w:r>
      <w:r>
        <w:rPr>
          <w:rFonts w:ascii="华文仿宋" w:hAnsi="华文仿宋" w:eastAsia="华文仿宋"/>
          <w:b/>
          <w:color w:val="000000" w:themeColor="text1"/>
          <w:sz w:val="18"/>
          <w:szCs w:val="18"/>
          <w14:textFill>
            <w14:solidFill>
              <w14:schemeClr w14:val="tx1"/>
            </w14:solidFill>
          </w14:textFill>
        </w:rPr>
        <w:t>%</w:t>
      </w:r>
      <w:r>
        <w:rPr>
          <w:rFonts w:hint="eastAsia" w:ascii="华文仿宋" w:hAnsi="华文仿宋" w:eastAsia="华文仿宋"/>
          <w:b/>
          <w:color w:val="000000" w:themeColor="text1"/>
          <w:sz w:val="18"/>
          <w:szCs w:val="18"/>
          <w14:textFill>
            <w14:solidFill>
              <w14:schemeClr w14:val="tx1"/>
            </w14:solidFill>
          </w14:textFill>
        </w:rPr>
        <w:t>。</w:t>
      </w:r>
    </w:p>
    <w:p w14:paraId="04D16815">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（8）装配验收：</w:t>
      </w:r>
    </w:p>
    <w:p w14:paraId="110E4457">
      <w:pPr>
        <w:pStyle w:val="25"/>
        <w:ind w:left="1200" w:firstLine="0" w:firstLineChars="0"/>
        <w:jc w:val="left"/>
        <w:rPr>
          <w:rFonts w:hint="eastAsia" w:ascii="华文仿宋" w:hAnsi="华文仿宋" w:eastAsia="华文仿宋"/>
          <w:b/>
          <w:bCs/>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①</w:t>
      </w:r>
      <w:r>
        <w:rPr>
          <w:rFonts w:hint="eastAsia" w:ascii="华文仿宋" w:hAnsi="华文仿宋" w:eastAsia="华文仿宋"/>
          <w:b/>
          <w:color w:val="000000" w:themeColor="text1"/>
          <w:sz w:val="18"/>
          <w:szCs w:val="18"/>
          <w14:textFill>
            <w14:solidFill>
              <w14:schemeClr w14:val="tx1"/>
            </w14:solidFill>
          </w14:textFill>
        </w:rPr>
        <w:t>供应商抽调技术人员配合采购方按照装配的工艺流程在现场进行试装，</w:t>
      </w:r>
      <w:r>
        <w:rPr>
          <w:rFonts w:ascii="华文仿宋" w:hAnsi="华文仿宋" w:eastAsia="华文仿宋"/>
          <w:b/>
          <w:color w:val="000000" w:themeColor="text1"/>
          <w:sz w:val="18"/>
          <w:szCs w:val="18"/>
          <w14:textFill>
            <w14:solidFill>
              <w14:schemeClr w14:val="tx1"/>
            </w14:solidFill>
          </w14:textFill>
        </w:rPr>
        <w:t>每工序完成后核对完整性、位置准确性、连接可靠性</w:t>
      </w:r>
      <w:r>
        <w:rPr>
          <w:rFonts w:hint="eastAsia" w:ascii="华文仿宋" w:hAnsi="华文仿宋" w:eastAsia="华文仿宋"/>
          <w:b/>
          <w:color w:val="000000" w:themeColor="text1"/>
          <w:sz w:val="18"/>
          <w:szCs w:val="18"/>
          <w14:textFill>
            <w14:solidFill>
              <w14:schemeClr w14:val="tx1"/>
            </w14:solidFill>
          </w14:textFill>
        </w:rPr>
        <w:t>、相邻模块适配性</w:t>
      </w:r>
      <w:r>
        <w:rPr>
          <w:rFonts w:ascii="华文仿宋" w:hAnsi="华文仿宋" w:eastAsia="华文仿宋"/>
          <w:b/>
          <w:color w:val="000000" w:themeColor="text1"/>
          <w:sz w:val="18"/>
          <w:szCs w:val="18"/>
          <w14:textFill>
            <w14:solidFill>
              <w14:schemeClr w14:val="tx1"/>
            </w14:solidFill>
          </w14:textFill>
        </w:rPr>
        <w:t>；总装后需手动盘动检查有无卡滞，试运行验证噪声、振动、密封性；</w:t>
      </w:r>
      <w:r>
        <w:rPr>
          <w:rFonts w:ascii="华文仿宋" w:hAnsi="华文仿宋" w:eastAsia="华文仿宋"/>
          <w:b/>
          <w:bCs/>
          <w:color w:val="000000" w:themeColor="text1"/>
          <w:sz w:val="18"/>
          <w:szCs w:val="18"/>
          <w14:textFill>
            <w14:solidFill>
              <w14:schemeClr w14:val="tx1"/>
            </w14:solidFill>
          </w14:textFill>
        </w:rPr>
        <w:t>各调节机构应保证操作方便，调节灵活、可靠</w:t>
      </w:r>
      <w:r>
        <w:rPr>
          <w:rFonts w:hint="eastAsia" w:ascii="华文仿宋" w:hAnsi="华文仿宋" w:eastAsia="华文仿宋"/>
          <w:b/>
          <w:bCs/>
          <w:color w:val="000000" w:themeColor="text1"/>
          <w:sz w:val="18"/>
          <w:szCs w:val="18"/>
          <w14:textFill>
            <w14:solidFill>
              <w14:schemeClr w14:val="tx1"/>
            </w14:solidFill>
          </w14:textFill>
        </w:rPr>
        <w:t>；</w:t>
      </w:r>
      <w:r>
        <w:rPr>
          <w:rFonts w:ascii="华文仿宋" w:hAnsi="华文仿宋" w:eastAsia="华文仿宋"/>
          <w:b/>
          <w:bCs/>
          <w:color w:val="000000" w:themeColor="text1"/>
          <w:sz w:val="18"/>
          <w:szCs w:val="18"/>
          <w14:textFill>
            <w14:solidFill>
              <w14:schemeClr w14:val="tx1"/>
            </w14:solidFill>
          </w14:textFill>
        </w:rPr>
        <w:t>各操纵机构应保证操作轻便灵活、松紧适度</w:t>
      </w:r>
      <w:r>
        <w:rPr>
          <w:rFonts w:hint="eastAsia" w:ascii="华文仿宋" w:hAnsi="华文仿宋" w:eastAsia="华文仿宋"/>
          <w:b/>
          <w:bCs/>
          <w:color w:val="000000" w:themeColor="text1"/>
          <w:sz w:val="18"/>
          <w:szCs w:val="18"/>
          <w14:textFill>
            <w14:solidFill>
              <w14:schemeClr w14:val="tx1"/>
            </w14:solidFill>
          </w14:textFill>
        </w:rPr>
        <w:t>。</w:t>
      </w:r>
    </w:p>
    <w:p w14:paraId="6C94732C">
      <w:pPr>
        <w:pStyle w:val="25"/>
        <w:ind w:left="120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②</w:t>
      </w:r>
      <w:r>
        <w:rPr>
          <w:rFonts w:hint="eastAsia" w:ascii="华文仿宋" w:hAnsi="华文仿宋" w:eastAsia="华文仿宋"/>
          <w:b/>
          <w:color w:val="000000" w:themeColor="text1"/>
          <w:sz w:val="18"/>
          <w:szCs w:val="18"/>
          <w14:textFill>
            <w14:solidFill>
              <w14:schemeClr w14:val="tx1"/>
            </w14:solidFill>
          </w14:textFill>
        </w:rPr>
        <w:t>根据试装的情况，适度调整装配工艺，完成最终装配，出据《装配验收报告》。</w:t>
      </w:r>
    </w:p>
    <w:p w14:paraId="2FA42370">
      <w:pPr>
        <w:pStyle w:val="25"/>
        <w:ind w:left="1200" w:firstLine="0" w:firstLineChars="0"/>
        <w:jc w:val="left"/>
        <w:rPr>
          <w:rFonts w:hint="eastAsia" w:ascii="华文仿宋" w:hAnsi="华文仿宋" w:eastAsia="华文仿宋"/>
          <w:b/>
          <w:color w:val="000000" w:themeColor="text1"/>
          <w:sz w:val="18"/>
          <w:szCs w:val="18"/>
          <w14:textFill>
            <w14:solidFill>
              <w14:schemeClr w14:val="tx1"/>
            </w14:solidFill>
          </w14:textFill>
        </w:rPr>
      </w:pPr>
      <w:r>
        <w:rPr>
          <w:rFonts w:ascii="华文仿宋" w:hAnsi="华文仿宋" w:eastAsia="华文仿宋"/>
          <w:b/>
          <w:color w:val="000000" w:themeColor="text1"/>
          <w:sz w:val="18"/>
          <w:szCs w:val="18"/>
          <w14:textFill>
            <w14:solidFill>
              <w14:schemeClr w14:val="tx1"/>
            </w14:solidFill>
          </w14:textFill>
        </w:rPr>
        <w:t>③零件完成主机装配、稳定运行</w:t>
      </w:r>
      <w:r>
        <w:rPr>
          <w:rFonts w:hint="eastAsia" w:ascii="华文仿宋" w:hAnsi="华文仿宋" w:eastAsia="华文仿宋"/>
          <w:b/>
          <w:color w:val="000000" w:themeColor="text1"/>
          <w:sz w:val="18"/>
          <w:szCs w:val="18"/>
          <w14:textFill>
            <w14:solidFill>
              <w14:schemeClr w14:val="tx1"/>
            </w14:solidFill>
          </w14:textFill>
        </w:rPr>
        <w:t>1</w:t>
      </w:r>
      <w:r>
        <w:rPr>
          <w:rFonts w:ascii="华文仿宋" w:hAnsi="华文仿宋" w:eastAsia="华文仿宋"/>
          <w:b/>
          <w:color w:val="000000" w:themeColor="text1"/>
          <w:sz w:val="18"/>
          <w:szCs w:val="18"/>
          <w14:textFill>
            <w14:solidFill>
              <w14:schemeClr w14:val="tx1"/>
            </w14:solidFill>
          </w14:textFill>
        </w:rPr>
        <w:t>个月达标，签署</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最终验收单</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支付合同</w:t>
      </w:r>
      <w:r>
        <w:rPr>
          <w:rFonts w:hint="eastAsia" w:ascii="华文仿宋" w:hAnsi="华文仿宋" w:eastAsia="华文仿宋"/>
          <w:b/>
          <w:color w:val="000000" w:themeColor="text1"/>
          <w:sz w:val="18"/>
          <w:szCs w:val="18"/>
          <w14:textFill>
            <w14:solidFill>
              <w14:schemeClr w14:val="tx1"/>
            </w14:solidFill>
          </w14:textFill>
        </w:rPr>
        <w:t>总价</w:t>
      </w:r>
      <w:r>
        <w:rPr>
          <w:rFonts w:ascii="华文仿宋" w:hAnsi="华文仿宋" w:eastAsia="华文仿宋"/>
          <w:b/>
          <w:color w:val="000000" w:themeColor="text1"/>
          <w:sz w:val="18"/>
          <w:szCs w:val="18"/>
          <w14:textFill>
            <w14:solidFill>
              <w14:schemeClr w14:val="tx1"/>
            </w14:solidFill>
          </w14:textFill>
        </w:rPr>
        <w:t>剩余</w:t>
      </w:r>
      <w:r>
        <w:rPr>
          <w:rFonts w:hint="eastAsia" w:ascii="华文仿宋" w:hAnsi="华文仿宋" w:eastAsia="华文仿宋"/>
          <w:b/>
          <w:color w:val="000000" w:themeColor="text1"/>
          <w:sz w:val="18"/>
          <w:szCs w:val="18"/>
          <w14:textFill>
            <w14:solidFill>
              <w14:schemeClr w14:val="tx1"/>
            </w14:solidFill>
          </w14:textFill>
        </w:rPr>
        <w:t>的10</w:t>
      </w:r>
      <w:r>
        <w:rPr>
          <w:rFonts w:ascii="华文仿宋" w:hAnsi="华文仿宋" w:eastAsia="华文仿宋"/>
          <w:b/>
          <w:color w:val="000000" w:themeColor="text1"/>
          <w:sz w:val="18"/>
          <w:szCs w:val="18"/>
          <w14:textFill>
            <w14:solidFill>
              <w14:schemeClr w14:val="tx1"/>
            </w14:solidFill>
          </w14:textFill>
        </w:rPr>
        <w:t>%</w:t>
      </w:r>
      <w:r>
        <w:rPr>
          <w:rFonts w:hint="eastAsia" w:ascii="华文仿宋" w:hAnsi="华文仿宋" w:eastAsia="华文仿宋"/>
          <w:b/>
          <w:color w:val="000000" w:themeColor="text1"/>
          <w:sz w:val="18"/>
          <w:szCs w:val="18"/>
          <w14:textFill>
            <w14:solidFill>
              <w14:schemeClr w14:val="tx1"/>
            </w14:solidFill>
          </w14:textFill>
        </w:rPr>
        <w:t>；</w:t>
      </w:r>
    </w:p>
    <w:p w14:paraId="22B6CAAF">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（9）</w:t>
      </w:r>
      <w:r>
        <w:rPr>
          <w:rFonts w:ascii="华文仿宋" w:hAnsi="华文仿宋" w:eastAsia="华文仿宋"/>
          <w:b/>
          <w:color w:val="000000" w:themeColor="text1"/>
          <w:sz w:val="18"/>
          <w:szCs w:val="18"/>
          <w14:textFill>
            <w14:solidFill>
              <w14:schemeClr w14:val="tx1"/>
            </w14:solidFill>
          </w14:textFill>
        </w:rPr>
        <w:t>工期顺延</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涉及</w:t>
      </w:r>
      <w:r>
        <w:rPr>
          <w:rFonts w:hint="eastAsia" w:ascii="华文仿宋" w:hAnsi="华文仿宋" w:eastAsia="华文仿宋"/>
          <w:b/>
          <w:color w:val="000000" w:themeColor="text1"/>
          <w:sz w:val="18"/>
          <w:szCs w:val="18"/>
          <w14:textFill>
            <w14:solidFill>
              <w14:schemeClr w14:val="tx1"/>
            </w14:solidFill>
          </w14:textFill>
        </w:rPr>
        <w:t>双方</w:t>
      </w:r>
      <w:r>
        <w:rPr>
          <w:rFonts w:ascii="华文仿宋" w:hAnsi="华文仿宋" w:eastAsia="华文仿宋"/>
          <w:b/>
          <w:color w:val="000000" w:themeColor="text1"/>
          <w:sz w:val="18"/>
          <w:szCs w:val="18"/>
          <w14:textFill>
            <w14:solidFill>
              <w14:schemeClr w14:val="tx1"/>
            </w14:solidFill>
          </w14:textFill>
        </w:rPr>
        <w:t>所有工期顺延，须采购人</w:t>
      </w:r>
      <w:r>
        <w:rPr>
          <w:rFonts w:hint="eastAsia" w:ascii="华文仿宋" w:hAnsi="华文仿宋" w:eastAsia="华文仿宋"/>
          <w:b/>
          <w:color w:val="000000" w:themeColor="text1"/>
          <w:sz w:val="18"/>
          <w:szCs w:val="18"/>
          <w14:textFill>
            <w14:solidFill>
              <w14:schemeClr w14:val="tx1"/>
            </w14:solidFill>
          </w14:textFill>
        </w:rPr>
        <w:t>出</w:t>
      </w:r>
      <w:r>
        <w:rPr>
          <w:rFonts w:ascii="华文仿宋" w:hAnsi="华文仿宋" w:eastAsia="华文仿宋"/>
          <w:b/>
          <w:color w:val="000000" w:themeColor="text1"/>
          <w:sz w:val="18"/>
          <w:szCs w:val="18"/>
          <w14:textFill>
            <w14:solidFill>
              <w14:schemeClr w14:val="tx1"/>
            </w14:solidFill>
          </w14:textFill>
        </w:rPr>
        <w:t>具书面</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盖章</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顺延确认函，否则不予顺延</w:t>
      </w:r>
      <w:r>
        <w:rPr>
          <w:rFonts w:hint="eastAsia" w:ascii="华文仿宋" w:hAnsi="华文仿宋" w:eastAsia="华文仿宋"/>
          <w:b/>
          <w:color w:val="000000" w:themeColor="text1"/>
          <w:sz w:val="18"/>
          <w:szCs w:val="18"/>
          <w14:textFill>
            <w14:solidFill>
              <w14:schemeClr w14:val="tx1"/>
            </w14:solidFill>
          </w14:textFill>
        </w:rPr>
        <w:t>。</w:t>
      </w:r>
    </w:p>
    <w:p w14:paraId="315A6B6F">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（10）</w:t>
      </w:r>
      <w:r>
        <w:rPr>
          <w:rFonts w:ascii="华文仿宋" w:hAnsi="华文仿宋" w:eastAsia="华文仿宋"/>
          <w:b/>
          <w:color w:val="000000" w:themeColor="text1"/>
          <w:sz w:val="18"/>
          <w:szCs w:val="18"/>
          <w14:textFill>
            <w14:solidFill>
              <w14:schemeClr w14:val="tx1"/>
            </w14:solidFill>
          </w14:textFill>
        </w:rPr>
        <w:t>逾期交货</w:t>
      </w:r>
      <w:r>
        <w:rPr>
          <w:rFonts w:hint="eastAsia" w:ascii="华文仿宋" w:hAnsi="华文仿宋" w:eastAsia="华文仿宋"/>
          <w:b/>
          <w:color w:val="000000" w:themeColor="text1"/>
          <w:sz w:val="18"/>
          <w:szCs w:val="18"/>
          <w14:textFill>
            <w14:solidFill>
              <w14:schemeClr w14:val="tx1"/>
            </w14:solidFill>
          </w14:textFill>
        </w:rPr>
        <w:t>：供应商</w:t>
      </w:r>
      <w:r>
        <w:rPr>
          <w:rFonts w:ascii="华文仿宋" w:hAnsi="华文仿宋" w:eastAsia="华文仿宋"/>
          <w:b/>
          <w:color w:val="000000" w:themeColor="text1"/>
          <w:sz w:val="18"/>
          <w:szCs w:val="18"/>
          <w14:textFill>
            <w14:solidFill>
              <w14:schemeClr w14:val="tx1"/>
            </w14:solidFill>
          </w14:textFill>
        </w:rPr>
        <w:t>每逾期一天将处以合同总价的</w:t>
      </w:r>
      <w:r>
        <w:rPr>
          <w:rFonts w:hint="eastAsia" w:ascii="华文仿宋" w:hAnsi="华文仿宋" w:eastAsia="华文仿宋"/>
          <w:b/>
          <w:color w:val="000000" w:themeColor="text1"/>
          <w:sz w:val="18"/>
          <w:szCs w:val="18"/>
          <w14:textFill>
            <w14:solidFill>
              <w14:schemeClr w14:val="tx1"/>
            </w14:solidFill>
          </w14:textFill>
        </w:rPr>
        <w:t>5</w:t>
      </w:r>
      <w:r>
        <w:rPr>
          <w:rFonts w:ascii="华文仿宋" w:hAnsi="华文仿宋" w:eastAsia="华文仿宋"/>
          <w:b/>
          <w:color w:val="000000" w:themeColor="text1"/>
          <w:sz w:val="18"/>
          <w:szCs w:val="18"/>
          <w14:textFill>
            <w14:solidFill>
              <w14:schemeClr w14:val="tx1"/>
            </w14:solidFill>
          </w14:textFill>
        </w:rPr>
        <w:t>‰的罚金，但总额不超过合同总价的5％</w:t>
      </w:r>
      <w:r>
        <w:rPr>
          <w:rFonts w:hint="eastAsia" w:ascii="华文仿宋" w:hAnsi="华文仿宋" w:eastAsia="华文仿宋"/>
          <w:b/>
          <w:color w:val="000000" w:themeColor="text1"/>
          <w:sz w:val="18"/>
          <w:szCs w:val="18"/>
          <w14:textFill>
            <w14:solidFill>
              <w14:schemeClr w14:val="tx1"/>
            </w14:solidFill>
          </w14:textFill>
        </w:rPr>
        <w:t>，</w:t>
      </w:r>
      <w:r>
        <w:rPr>
          <w:rFonts w:ascii="华文仿宋" w:hAnsi="华文仿宋" w:eastAsia="华文仿宋"/>
          <w:b/>
          <w:color w:val="000000" w:themeColor="text1"/>
          <w:sz w:val="18"/>
          <w:szCs w:val="18"/>
          <w14:textFill>
            <w14:solidFill>
              <w14:schemeClr w14:val="tx1"/>
            </w14:solidFill>
          </w14:textFill>
        </w:rPr>
        <w:t>违约金可从履约保证金中直接</w:t>
      </w:r>
      <w:r>
        <w:rPr>
          <w:rFonts w:hint="eastAsia" w:ascii="华文仿宋" w:hAnsi="华文仿宋" w:eastAsia="华文仿宋"/>
          <w:b/>
          <w:color w:val="000000" w:themeColor="text1"/>
          <w:sz w:val="18"/>
          <w:szCs w:val="18"/>
          <w14:textFill>
            <w14:solidFill>
              <w14:schemeClr w14:val="tx1"/>
            </w14:solidFill>
          </w14:textFill>
        </w:rPr>
        <w:t>扣除。</w:t>
      </w:r>
    </w:p>
    <w:p w14:paraId="1AA8E53B">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（11）</w:t>
      </w:r>
      <w:r>
        <w:rPr>
          <w:rFonts w:ascii="华文仿宋" w:hAnsi="华文仿宋" w:eastAsia="华文仿宋"/>
          <w:b/>
          <w:color w:val="000000" w:themeColor="text1"/>
          <w:sz w:val="18"/>
          <w:szCs w:val="18"/>
          <w14:textFill>
            <w14:solidFill>
              <w14:schemeClr w14:val="tx1"/>
            </w14:solidFill>
          </w14:textFill>
        </w:rPr>
        <w:t>异常低价专项验收：触发异常低价审查程序成交的项目，最终验收前必须委托具备国家认可资质的第三方检测机构，对核心技术参数、产品质量进行专业检测，检测结果符合验收依据的，方可通过最终验收；</w:t>
      </w:r>
    </w:p>
    <w:p w14:paraId="0627C4E1">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（12）不合格品处置：如</w:t>
      </w:r>
      <w:r>
        <w:rPr>
          <w:rFonts w:ascii="华文仿宋" w:hAnsi="华文仿宋" w:eastAsia="华文仿宋"/>
          <w:b/>
          <w:color w:val="000000" w:themeColor="text1"/>
          <w:sz w:val="18"/>
          <w:szCs w:val="18"/>
          <w14:textFill>
            <w14:solidFill>
              <w14:schemeClr w14:val="tx1"/>
            </w14:solidFill>
          </w14:textFill>
        </w:rPr>
        <w:t>尺寸精度、形位公差</w:t>
      </w:r>
      <w:r>
        <w:rPr>
          <w:rFonts w:hint="eastAsia" w:ascii="华文仿宋" w:hAnsi="华文仿宋" w:eastAsia="华文仿宋"/>
          <w:b/>
          <w:color w:val="000000" w:themeColor="text1"/>
          <w:sz w:val="18"/>
          <w:szCs w:val="18"/>
          <w14:textFill>
            <w14:solidFill>
              <w14:schemeClr w14:val="tx1"/>
            </w14:solidFill>
          </w14:textFill>
        </w:rPr>
        <w:t>等</w:t>
      </w:r>
      <w:r>
        <w:rPr>
          <w:rFonts w:ascii="华文仿宋" w:hAnsi="华文仿宋" w:eastAsia="华文仿宋"/>
          <w:b/>
          <w:color w:val="000000" w:themeColor="text1"/>
          <w:sz w:val="18"/>
          <w:szCs w:val="18"/>
          <w14:textFill>
            <w14:solidFill>
              <w14:schemeClr w14:val="tx1"/>
            </w14:solidFill>
          </w14:textFill>
        </w:rPr>
        <w:t>检测验收不合格，供应商需</w:t>
      </w:r>
      <w:r>
        <w:rPr>
          <w:rFonts w:hint="eastAsia" w:ascii="华文仿宋" w:hAnsi="华文仿宋" w:eastAsia="华文仿宋"/>
          <w:b/>
          <w:color w:val="000000" w:themeColor="text1"/>
          <w:sz w:val="18"/>
          <w:szCs w:val="18"/>
          <w14:textFill>
            <w14:solidFill>
              <w14:schemeClr w14:val="tx1"/>
            </w14:solidFill>
          </w14:textFill>
        </w:rPr>
        <w:t>3</w:t>
      </w:r>
      <w:r>
        <w:rPr>
          <w:rFonts w:ascii="华文仿宋" w:hAnsi="华文仿宋" w:eastAsia="华文仿宋"/>
          <w:b/>
          <w:color w:val="000000" w:themeColor="text1"/>
          <w:sz w:val="18"/>
          <w:szCs w:val="18"/>
          <w14:textFill>
            <w14:solidFill>
              <w14:schemeClr w14:val="tx1"/>
            </w14:solidFill>
          </w14:textFill>
        </w:rPr>
        <w:t>日内免费</w:t>
      </w:r>
      <w:r>
        <w:rPr>
          <w:rFonts w:hint="eastAsia" w:ascii="华文仿宋" w:hAnsi="华文仿宋" w:eastAsia="华文仿宋"/>
          <w:b/>
          <w:color w:val="000000" w:themeColor="text1"/>
          <w:sz w:val="18"/>
          <w:szCs w:val="18"/>
          <w14:textFill>
            <w14:solidFill>
              <w14:schemeClr w14:val="tx1"/>
            </w14:solidFill>
          </w14:textFill>
        </w:rPr>
        <w:t>返修</w:t>
      </w:r>
      <w:r>
        <w:rPr>
          <w:rFonts w:ascii="华文仿宋" w:hAnsi="华文仿宋" w:eastAsia="华文仿宋"/>
          <w:b/>
          <w:color w:val="000000" w:themeColor="text1"/>
          <w:sz w:val="18"/>
          <w:szCs w:val="18"/>
          <w14:textFill>
            <w14:solidFill>
              <w14:schemeClr w14:val="tx1"/>
            </w14:solidFill>
          </w14:textFill>
        </w:rPr>
        <w:t>；</w:t>
      </w:r>
      <w:r>
        <w:rPr>
          <w:rFonts w:hint="eastAsia" w:ascii="华文仿宋" w:hAnsi="华文仿宋" w:eastAsia="华文仿宋"/>
          <w:b/>
          <w:color w:val="000000" w:themeColor="text1"/>
          <w:sz w:val="18"/>
          <w:szCs w:val="18"/>
          <w14:textFill>
            <w14:solidFill>
              <w14:schemeClr w14:val="tx1"/>
            </w14:solidFill>
          </w14:textFill>
        </w:rPr>
        <w:t>第二次返修仍然不合格的，采购人有权拒收该批次零件，解除合同，要求供应商退还已付款项，并按合同总价的5%</w:t>
      </w:r>
      <w:r>
        <w:rPr>
          <w:rFonts w:ascii="华文仿宋" w:hAnsi="华文仿宋" w:eastAsia="华文仿宋"/>
          <w:b/>
          <w:color w:val="000000" w:themeColor="text1"/>
          <w:sz w:val="18"/>
          <w:szCs w:val="18"/>
          <w14:textFill>
            <w14:solidFill>
              <w14:schemeClr w14:val="tx1"/>
            </w14:solidFill>
          </w14:textFill>
        </w:rPr>
        <w:t>追究违约金，违约金可从履约保证金中直接</w:t>
      </w:r>
      <w:r>
        <w:rPr>
          <w:rFonts w:hint="eastAsia" w:ascii="华文仿宋" w:hAnsi="华文仿宋" w:eastAsia="华文仿宋"/>
          <w:b/>
          <w:color w:val="000000" w:themeColor="text1"/>
          <w:sz w:val="18"/>
          <w:szCs w:val="18"/>
          <w14:textFill>
            <w14:solidFill>
              <w14:schemeClr w14:val="tx1"/>
            </w14:solidFill>
          </w14:textFill>
        </w:rPr>
        <w:t>扣除</w:t>
      </w:r>
      <w:r>
        <w:rPr>
          <w:rFonts w:ascii="华文仿宋" w:hAnsi="华文仿宋" w:eastAsia="华文仿宋"/>
          <w:b/>
          <w:color w:val="000000" w:themeColor="text1"/>
          <w:sz w:val="18"/>
          <w:szCs w:val="18"/>
          <w14:textFill>
            <w14:solidFill>
              <w14:schemeClr w14:val="tx1"/>
            </w14:solidFill>
          </w14:textFill>
        </w:rPr>
        <w:t>。</w:t>
      </w:r>
    </w:p>
    <w:p w14:paraId="3EB8A9A1">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（13）费用承担：</w:t>
      </w:r>
      <w:r>
        <w:rPr>
          <w:rFonts w:ascii="华文仿宋" w:hAnsi="华文仿宋" w:eastAsia="华文仿宋"/>
          <w:b/>
          <w:color w:val="000000" w:themeColor="text1"/>
          <w:sz w:val="18"/>
          <w:szCs w:val="18"/>
          <w14:textFill>
            <w14:solidFill>
              <w14:schemeClr w14:val="tx1"/>
            </w14:solidFill>
          </w14:textFill>
        </w:rPr>
        <w:t>供应商出厂检测费用全部包含在投标报价中，由供应商承担；采购人委托第三方复检的，复检合格的，检测费用由采购人承担</w:t>
      </w:r>
      <w:r>
        <w:rPr>
          <w:rFonts w:hint="eastAsia" w:ascii="华文仿宋" w:hAnsi="华文仿宋" w:eastAsia="华文仿宋"/>
          <w:b/>
          <w:color w:val="000000" w:themeColor="text1"/>
          <w:sz w:val="18"/>
          <w:szCs w:val="18"/>
          <w14:textFill>
            <w14:solidFill>
              <w14:schemeClr w14:val="tx1"/>
            </w14:solidFill>
          </w14:textFill>
        </w:rPr>
        <w:t>。</w:t>
      </w:r>
    </w:p>
    <w:p w14:paraId="39794751">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复检验收不合格的，</w:t>
      </w:r>
      <w:r>
        <w:rPr>
          <w:rFonts w:ascii="华文仿宋" w:hAnsi="华文仿宋" w:eastAsia="华文仿宋"/>
          <w:b/>
          <w:color w:val="000000" w:themeColor="text1"/>
          <w:sz w:val="18"/>
          <w:szCs w:val="18"/>
          <w14:textFill>
            <w14:solidFill>
              <w14:schemeClr w14:val="tx1"/>
            </w14:solidFill>
          </w14:textFill>
        </w:rPr>
        <w:t>检测费用、往返运输费、返修费</w:t>
      </w:r>
      <w:r>
        <w:rPr>
          <w:rFonts w:hint="eastAsia" w:ascii="华文仿宋" w:hAnsi="华文仿宋" w:eastAsia="华文仿宋"/>
          <w:b/>
          <w:color w:val="000000" w:themeColor="text1"/>
          <w:sz w:val="18"/>
          <w:szCs w:val="18"/>
          <w14:textFill>
            <w14:solidFill>
              <w14:schemeClr w14:val="tx1"/>
            </w14:solidFill>
          </w14:textFill>
        </w:rPr>
        <w:t>等所有费用由供应商承担，交付工期不予顺延，</w:t>
      </w:r>
      <w:r>
        <w:rPr>
          <w:rFonts w:ascii="华文仿宋" w:hAnsi="华文仿宋" w:eastAsia="华文仿宋"/>
          <w:b/>
          <w:color w:val="000000" w:themeColor="text1"/>
          <w:sz w:val="18"/>
          <w:szCs w:val="18"/>
          <w14:textFill>
            <w14:solidFill>
              <w14:schemeClr w14:val="tx1"/>
            </w14:solidFill>
          </w14:textFill>
        </w:rPr>
        <w:t>采购人有权同时追究违约责任</w:t>
      </w:r>
      <w:r>
        <w:rPr>
          <w:rFonts w:hint="eastAsia" w:ascii="华文仿宋" w:hAnsi="华文仿宋" w:eastAsia="华文仿宋"/>
          <w:b/>
          <w:color w:val="000000" w:themeColor="text1"/>
          <w:sz w:val="18"/>
          <w:szCs w:val="18"/>
          <w14:textFill>
            <w14:solidFill>
              <w14:schemeClr w14:val="tx1"/>
            </w14:solidFill>
          </w14:textFill>
        </w:rPr>
        <w:t>。</w:t>
      </w:r>
    </w:p>
    <w:p w14:paraId="548274C3">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（14）</w:t>
      </w:r>
      <w:r>
        <w:rPr>
          <w:rFonts w:ascii="华文仿宋" w:hAnsi="华文仿宋" w:eastAsia="华文仿宋"/>
          <w:b/>
          <w:color w:val="000000" w:themeColor="text1"/>
          <w:sz w:val="18"/>
          <w:szCs w:val="18"/>
          <w14:textFill>
            <w14:solidFill>
              <w14:schemeClr w14:val="tx1"/>
            </w14:solidFill>
          </w14:textFill>
        </w:rPr>
        <w:t>验收报告是本项目合同款项支付的唯一依据，未通过对应阶段验收的，采购人有权拒绝支付对应阶段款项，不承担任何违约责任。</w:t>
      </w:r>
    </w:p>
    <w:p w14:paraId="51416439">
      <w:pPr>
        <w:numPr>
          <w:ilvl w:val="0"/>
          <w:numId w:val="1"/>
        </w:numPr>
        <w:jc w:val="left"/>
        <w:rPr>
          <w:rFonts w:hint="eastAsia" w:asciiTheme="minorEastAsia" w:hAnsiTheme="minorEastAsia" w:eastAsiaTheme="minorEastAsia"/>
          <w:b/>
          <w:szCs w:val="21"/>
        </w:rPr>
      </w:pPr>
      <w:r>
        <w:rPr>
          <w:rFonts w:asciiTheme="minorEastAsia" w:hAnsiTheme="minorEastAsia" w:eastAsiaTheme="minorEastAsia"/>
          <w:b/>
          <w:szCs w:val="21"/>
        </w:rPr>
        <w:t>其他技术、服务相关</w:t>
      </w:r>
      <w:r>
        <w:rPr>
          <w:rFonts w:hint="eastAsia" w:asciiTheme="minorEastAsia" w:hAnsiTheme="minorEastAsia" w:eastAsiaTheme="minorEastAsia"/>
          <w:b/>
          <w:szCs w:val="21"/>
        </w:rPr>
        <w:t>要求</w:t>
      </w:r>
    </w:p>
    <w:p w14:paraId="6E17416B">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（1）零件加工过程中如发现零件图纸因甲方标注错误而导致的返修情况，在不超过单件任务量5%的情况下，提供免费返修服务。</w:t>
      </w:r>
    </w:p>
    <w:p w14:paraId="0C881E72">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（2）质保期满后，若有零件出现故障，经权威部门鉴定属于寿命异常问题时，则由乙方负责免费更换及维修。</w:t>
      </w:r>
    </w:p>
    <w:p w14:paraId="2A00355B">
      <w:pPr>
        <w:ind w:left="840"/>
        <w:jc w:val="left"/>
        <w:rPr>
          <w:rFonts w:hint="eastAsia" w:ascii="华文仿宋" w:hAnsi="华文仿宋" w:eastAsia="华文仿宋"/>
          <w:b/>
          <w:color w:val="000000" w:themeColor="text1"/>
          <w:sz w:val="18"/>
          <w:szCs w:val="18"/>
          <w14:textFill>
            <w14:solidFill>
              <w14:schemeClr w14:val="tx1"/>
            </w14:solidFill>
          </w14:textFill>
        </w:rPr>
      </w:pPr>
      <w:r>
        <w:rPr>
          <w:rFonts w:hint="eastAsia" w:ascii="华文仿宋" w:hAnsi="华文仿宋" w:eastAsia="华文仿宋"/>
          <w:b/>
          <w:color w:val="000000" w:themeColor="text1"/>
          <w:sz w:val="18"/>
          <w:szCs w:val="18"/>
          <w14:textFill>
            <w14:solidFill>
              <w14:schemeClr w14:val="tx1"/>
            </w14:solidFill>
          </w14:textFill>
        </w:rPr>
        <w:t>（3）质保期满后，供应商应以不高于中标时的价格，向甲方提供招标明细表中必须的零件。</w:t>
      </w:r>
    </w:p>
    <w:p w14:paraId="0C21C2A1">
      <w:pPr>
        <w:numPr>
          <w:ilvl w:val="0"/>
          <w:numId w:val="1"/>
        </w:numPr>
        <w:jc w:val="left"/>
        <w:rPr>
          <w:rFonts w:hint="eastAsia" w:ascii="华文仿宋" w:hAnsi="华文仿宋" w:eastAsia="华文仿宋"/>
          <w:b/>
          <w:szCs w:val="21"/>
        </w:rPr>
      </w:pPr>
      <w:r>
        <w:rPr>
          <w:rFonts w:hint="eastAsia" w:ascii="华文仿宋" w:hAnsi="华文仿宋" w:eastAsia="华文仿宋"/>
          <w:b/>
          <w:szCs w:val="21"/>
        </w:rPr>
        <w:t>异</w:t>
      </w:r>
      <w:r>
        <w:rPr>
          <w:rFonts w:ascii="华文仿宋" w:hAnsi="华文仿宋" w:eastAsia="华文仿宋"/>
          <w:b/>
          <w:szCs w:val="21"/>
        </w:rPr>
        <w:t>常低价投标审查规则</w:t>
      </w:r>
    </w:p>
    <w:p w14:paraId="49B15F39">
      <w:pPr>
        <w:ind w:left="420" w:firstLine="420"/>
        <w:jc w:val="left"/>
        <w:rPr>
          <w:rFonts w:hint="eastAsia" w:ascii="华文仿宋" w:hAnsi="华文仿宋" w:eastAsia="华文仿宋"/>
          <w:b/>
          <w:szCs w:val="21"/>
        </w:rPr>
      </w:pPr>
      <w:r>
        <w:rPr>
          <w:rFonts w:ascii="华文仿宋" w:hAnsi="华文仿宋" w:eastAsia="华文仿宋"/>
          <w:b/>
          <w:sz w:val="18"/>
          <w:szCs w:val="18"/>
        </w:rPr>
        <w:t>评审中出现下列情形之一，需启动异常低价审查</w:t>
      </w:r>
      <w:r>
        <w:rPr>
          <w:rFonts w:ascii="华文仿宋" w:hAnsi="华文仿宋" w:eastAsia="华文仿宋"/>
          <w:b/>
          <w:szCs w:val="21"/>
        </w:rPr>
        <w:t>：</w:t>
      </w:r>
    </w:p>
    <w:p w14:paraId="7AE98EA0">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（1）</w:t>
      </w:r>
      <w:r>
        <w:rPr>
          <w:rFonts w:ascii="华文仿宋" w:hAnsi="华文仿宋" w:eastAsia="华文仿宋"/>
          <w:b/>
          <w:sz w:val="18"/>
          <w:szCs w:val="18"/>
        </w:rPr>
        <w:t>投标报价低于全部通过符合性审查供应商报价平均值×</w:t>
      </w:r>
      <w:r>
        <w:rPr>
          <w:rFonts w:hint="eastAsia" w:ascii="华文仿宋" w:hAnsi="华文仿宋" w:eastAsia="华文仿宋"/>
          <w:b/>
          <w:sz w:val="18"/>
          <w:szCs w:val="18"/>
        </w:rPr>
        <w:t>60</w:t>
      </w:r>
      <w:r>
        <w:rPr>
          <w:rFonts w:ascii="华文仿宋" w:hAnsi="华文仿宋" w:eastAsia="华文仿宋"/>
          <w:b/>
          <w:sz w:val="18"/>
          <w:szCs w:val="18"/>
        </w:rPr>
        <w:t>%</w:t>
      </w:r>
      <w:r>
        <w:rPr>
          <w:rFonts w:hint="eastAsia" w:ascii="华文仿宋" w:hAnsi="华文仿宋" w:eastAsia="华文仿宋"/>
          <w:b/>
          <w:sz w:val="18"/>
          <w:szCs w:val="18"/>
        </w:rPr>
        <w:t>；</w:t>
      </w:r>
    </w:p>
    <w:p w14:paraId="0091D58E">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（2）</w:t>
      </w:r>
      <w:r>
        <w:rPr>
          <w:rFonts w:ascii="华文仿宋" w:hAnsi="华文仿宋" w:eastAsia="华文仿宋"/>
          <w:b/>
          <w:sz w:val="18"/>
          <w:szCs w:val="18"/>
        </w:rPr>
        <w:t>投标报价低于最高限价</w:t>
      </w:r>
      <w:r>
        <w:rPr>
          <w:rFonts w:hint="eastAsia" w:ascii="华文仿宋" w:hAnsi="华文仿宋" w:eastAsia="华文仿宋"/>
          <w:b/>
          <w:sz w:val="18"/>
          <w:szCs w:val="18"/>
        </w:rPr>
        <w:t>50</w:t>
      </w:r>
      <w:r>
        <w:rPr>
          <w:rFonts w:ascii="华文仿宋" w:hAnsi="华文仿宋" w:eastAsia="华文仿宋"/>
          <w:b/>
          <w:sz w:val="18"/>
          <w:szCs w:val="18"/>
        </w:rPr>
        <w:t>%；</w:t>
      </w:r>
    </w:p>
    <w:p w14:paraId="2C80F327">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（3）</w:t>
      </w:r>
      <w:r>
        <w:rPr>
          <w:rFonts w:ascii="华文仿宋" w:hAnsi="华文仿宋" w:eastAsia="华文仿宋"/>
          <w:b/>
          <w:sz w:val="18"/>
          <w:szCs w:val="18"/>
        </w:rPr>
        <w:t>评审委员会认为报价过低可能影响履约的其他情形；</w:t>
      </w:r>
    </w:p>
    <w:p w14:paraId="28808DC3">
      <w:pPr>
        <w:ind w:left="420" w:firstLine="420"/>
        <w:jc w:val="left"/>
        <w:rPr>
          <w:rFonts w:hint="eastAsia" w:ascii="华文仿宋" w:hAnsi="华文仿宋" w:eastAsia="华文仿宋"/>
          <w:b/>
          <w:sz w:val="18"/>
          <w:szCs w:val="18"/>
        </w:rPr>
      </w:pPr>
      <w:r>
        <w:rPr>
          <w:rFonts w:hint="eastAsia" w:ascii="华文仿宋" w:hAnsi="华文仿宋" w:eastAsia="华文仿宋"/>
          <w:b/>
          <w:sz w:val="18"/>
          <w:szCs w:val="18"/>
        </w:rPr>
        <w:t>（4）</w:t>
      </w:r>
      <w:r>
        <w:rPr>
          <w:rFonts w:ascii="华文仿宋" w:hAnsi="华文仿宋" w:eastAsia="华文仿宋"/>
          <w:b/>
          <w:sz w:val="18"/>
          <w:szCs w:val="18"/>
        </w:rPr>
        <w:t>供应商无法证明报价合理性的，作无效投标处理；异常低价成交的项目，采购人验收时需严加核验</w:t>
      </w:r>
      <w:r>
        <w:rPr>
          <w:rFonts w:hint="eastAsia" w:ascii="华文仿宋" w:hAnsi="华文仿宋" w:eastAsia="华文仿宋"/>
          <w:b/>
          <w:sz w:val="18"/>
          <w:szCs w:val="18"/>
        </w:rPr>
        <w:t>。</w:t>
      </w:r>
    </w:p>
    <w:p w14:paraId="6DE76A17">
      <w:pPr>
        <w:numPr>
          <w:numId w:val="0"/>
        </w:numPr>
        <w:jc w:val="left"/>
        <w:rPr>
          <w:rFonts w:hint="eastAsia" w:asciiTheme="minorEastAsia" w:hAnsiTheme="minorEastAsia" w:eastAsiaTheme="minorEastAsia"/>
          <w:b/>
          <w:szCs w:val="21"/>
        </w:rPr>
      </w:pPr>
    </w:p>
    <w:p w14:paraId="39E9D804">
      <w:pPr>
        <w:jc w:val="left"/>
        <w:rPr>
          <w:rFonts w:hint="eastAsia" w:asciiTheme="minorEastAsia" w:hAnsiTheme="minorEastAsia" w:eastAsiaTheme="minorEastAsia"/>
          <w:b/>
          <w:szCs w:val="21"/>
        </w:rPr>
      </w:pPr>
    </w:p>
    <w:p w14:paraId="011A2325">
      <w:pPr>
        <w:numPr>
          <w:numId w:val="0"/>
        </w:numPr>
        <w:jc w:val="left"/>
        <w:rPr>
          <w:rFonts w:eastAsia="华文仿宋"/>
          <w:b/>
          <w:sz w:val="18"/>
          <w:szCs w:val="18"/>
        </w:rPr>
      </w:pPr>
      <w:bookmarkStart w:id="2" w:name="_GoBack"/>
      <w:bookmarkEnd w:id="2"/>
    </w:p>
    <w:sectPr>
      <w:pgSz w:w="11906" w:h="16838"/>
      <w:pgMar w:top="567" w:right="851" w:bottom="567"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embedRegular r:id="rId1" w:fontKey="{385D2E49-2051-40DC-B04C-B90EAD3FA1DF}"/>
  </w:font>
  <w:font w:name="微软雅黑">
    <w:panose1 w:val="020B0503020204020204"/>
    <w:charset w:val="86"/>
    <w:family w:val="swiss"/>
    <w:pitch w:val="default"/>
    <w:sig w:usb0="80000287" w:usb1="2ACF3C50" w:usb2="00000016" w:usb3="00000000" w:csb0="0004001F" w:csb1="00000000"/>
    <w:embedRegular r:id="rId2" w:fontKey="{C21DEED4-FCBD-44FE-8B62-7527A03D322B}"/>
  </w:font>
  <w:font w:name="华文仿宋">
    <w:panose1 w:val="02010600040101010101"/>
    <w:charset w:val="86"/>
    <w:family w:val="auto"/>
    <w:pitch w:val="default"/>
    <w:sig w:usb0="00000287" w:usb1="080F0000" w:usb2="00000000" w:usb3="00000000" w:csb0="0004009F" w:csb1="DFD70000"/>
    <w:embedRegular r:id="rId3" w:fontKey="{7DD9A37D-1FF5-4E56-BA46-4A1E30E90184}"/>
  </w:font>
  <w:font w:name="Malgun Gothic">
    <w:panose1 w:val="020B0503020000020004"/>
    <w:charset w:val="81"/>
    <w:family w:val="swiss"/>
    <w:pitch w:val="default"/>
    <w:sig w:usb0="9000002F" w:usb1="29D77CFB" w:usb2="00000012" w:usb3="00000000" w:csb0="00080001" w:csb1="00000000"/>
  </w:font>
  <w:font w:name="MS Gothic">
    <w:panose1 w:val="020B0609070205080204"/>
    <w:charset w:val="80"/>
    <w:family w:val="modern"/>
    <w:pitch w:val="default"/>
    <w:sig w:usb0="E00002FF" w:usb1="6AC7FDFB" w:usb2="08000012" w:usb3="00000000" w:csb0="4002009F" w:csb1="DFD70000"/>
  </w:font>
  <w:font w:name="方正书宋简体">
    <w:altName w:val="宋体"/>
    <w:panose1 w:val="00000000000000000000"/>
    <w:charset w:val="00"/>
    <w:family w:val="auto"/>
    <w:pitch w:val="default"/>
    <w:sig w:usb0="00000000" w:usb1="00000000" w:usb2="00000000" w:usb3="00000000" w:csb0="00000000" w:csb1="00000000"/>
  </w:font>
  <w:font w:name="___WRD_EMBED_SUB_46">
    <w:altName w:val="微软雅黑"/>
    <w:panose1 w:val="00000000000000000000"/>
    <w:charset w:val="86"/>
    <w:family w:val="auto"/>
    <w:pitch w:val="default"/>
    <w:sig w:usb0="00000000" w:usb1="00000000" w:usb2="00000012" w:usb3="00000000" w:csb0="00040001" w:csb1="00000000"/>
    <w:embedRegular r:id="rId4" w:fontKey="{84387F58-EC86-4D64-AF87-90C75D92D68B}"/>
  </w:font>
  <w:font w:name="Segoe UI Symbol">
    <w:panose1 w:val="020B0502040204020203"/>
    <w:charset w:val="00"/>
    <w:family w:val="swiss"/>
    <w:pitch w:val="default"/>
    <w:sig w:usb0="800001E3" w:usb1="1200FFEF" w:usb2="00040000" w:usb3="04000000" w:csb0="00000001" w:csb1="40000000"/>
    <w:embedRegular r:id="rId5" w:fontKey="{30DADC98-7F6A-4026-8BD6-6AA53E245C52}"/>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587722"/>
    <w:multiLevelType w:val="multilevel"/>
    <w:tmpl w:val="6758772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1NzBhMzQ0NjllNjg5ZDg1NWMxOWQwMWJkNDdjNzcifQ=="/>
  </w:docVars>
  <w:rsids>
    <w:rsidRoot w:val="00172A27"/>
    <w:rsid w:val="00000C51"/>
    <w:rsid w:val="000108CA"/>
    <w:rsid w:val="00014BE7"/>
    <w:rsid w:val="00024CEC"/>
    <w:rsid w:val="00027E06"/>
    <w:rsid w:val="00030591"/>
    <w:rsid w:val="00030BA1"/>
    <w:rsid w:val="00032BB5"/>
    <w:rsid w:val="00036451"/>
    <w:rsid w:val="000369CC"/>
    <w:rsid w:val="00046784"/>
    <w:rsid w:val="000509D6"/>
    <w:rsid w:val="00053646"/>
    <w:rsid w:val="000634A1"/>
    <w:rsid w:val="000713D0"/>
    <w:rsid w:val="000748E0"/>
    <w:rsid w:val="00075E39"/>
    <w:rsid w:val="00083886"/>
    <w:rsid w:val="0008474F"/>
    <w:rsid w:val="0009129F"/>
    <w:rsid w:val="00093C77"/>
    <w:rsid w:val="000950C8"/>
    <w:rsid w:val="000A1E31"/>
    <w:rsid w:val="000B4507"/>
    <w:rsid w:val="000B4B54"/>
    <w:rsid w:val="000B7FA1"/>
    <w:rsid w:val="000C7B1A"/>
    <w:rsid w:val="000D0BBB"/>
    <w:rsid w:val="000D1B60"/>
    <w:rsid w:val="000D3FF7"/>
    <w:rsid w:val="000D75F4"/>
    <w:rsid w:val="000E00FF"/>
    <w:rsid w:val="000E5A84"/>
    <w:rsid w:val="000E6EAF"/>
    <w:rsid w:val="000E7218"/>
    <w:rsid w:val="000F43E7"/>
    <w:rsid w:val="00107160"/>
    <w:rsid w:val="0011610C"/>
    <w:rsid w:val="00122535"/>
    <w:rsid w:val="001245B3"/>
    <w:rsid w:val="001246F2"/>
    <w:rsid w:val="00124A02"/>
    <w:rsid w:val="00131E0F"/>
    <w:rsid w:val="00133E87"/>
    <w:rsid w:val="00140269"/>
    <w:rsid w:val="0014200B"/>
    <w:rsid w:val="0014669F"/>
    <w:rsid w:val="00172A27"/>
    <w:rsid w:val="00174C47"/>
    <w:rsid w:val="00177A73"/>
    <w:rsid w:val="0018052E"/>
    <w:rsid w:val="0019010C"/>
    <w:rsid w:val="001913D4"/>
    <w:rsid w:val="001A0E8A"/>
    <w:rsid w:val="001A2B0B"/>
    <w:rsid w:val="001B1DB2"/>
    <w:rsid w:val="001B317C"/>
    <w:rsid w:val="001C01D2"/>
    <w:rsid w:val="001C1775"/>
    <w:rsid w:val="001D0CC5"/>
    <w:rsid w:val="001D4936"/>
    <w:rsid w:val="001D595B"/>
    <w:rsid w:val="001E1098"/>
    <w:rsid w:val="001E3019"/>
    <w:rsid w:val="001E512D"/>
    <w:rsid w:val="001F10FE"/>
    <w:rsid w:val="001F24E3"/>
    <w:rsid w:val="001F39EA"/>
    <w:rsid w:val="001F3C78"/>
    <w:rsid w:val="001F598D"/>
    <w:rsid w:val="00200DE6"/>
    <w:rsid w:val="00202B63"/>
    <w:rsid w:val="00216AC7"/>
    <w:rsid w:val="00230F5B"/>
    <w:rsid w:val="0023162A"/>
    <w:rsid w:val="0023478A"/>
    <w:rsid w:val="0023623D"/>
    <w:rsid w:val="002407FC"/>
    <w:rsid w:val="00244F9B"/>
    <w:rsid w:val="00245C74"/>
    <w:rsid w:val="0025250D"/>
    <w:rsid w:val="002654E2"/>
    <w:rsid w:val="00267427"/>
    <w:rsid w:val="00267C45"/>
    <w:rsid w:val="00270AF8"/>
    <w:rsid w:val="00270F32"/>
    <w:rsid w:val="00274FC2"/>
    <w:rsid w:val="00277198"/>
    <w:rsid w:val="00296C13"/>
    <w:rsid w:val="002A0BE3"/>
    <w:rsid w:val="002B5EBC"/>
    <w:rsid w:val="002C2876"/>
    <w:rsid w:val="002C52C0"/>
    <w:rsid w:val="002D514B"/>
    <w:rsid w:val="002D7E37"/>
    <w:rsid w:val="002F2D28"/>
    <w:rsid w:val="002F3391"/>
    <w:rsid w:val="002F5966"/>
    <w:rsid w:val="00304465"/>
    <w:rsid w:val="0030537A"/>
    <w:rsid w:val="00305927"/>
    <w:rsid w:val="0031188D"/>
    <w:rsid w:val="00314921"/>
    <w:rsid w:val="00317326"/>
    <w:rsid w:val="00317BAB"/>
    <w:rsid w:val="00320DCA"/>
    <w:rsid w:val="00323BF4"/>
    <w:rsid w:val="003240BE"/>
    <w:rsid w:val="00326740"/>
    <w:rsid w:val="00334020"/>
    <w:rsid w:val="00335098"/>
    <w:rsid w:val="00336DEA"/>
    <w:rsid w:val="00342AE1"/>
    <w:rsid w:val="00343677"/>
    <w:rsid w:val="0034545A"/>
    <w:rsid w:val="003474D7"/>
    <w:rsid w:val="0035152B"/>
    <w:rsid w:val="00355F75"/>
    <w:rsid w:val="00357A1F"/>
    <w:rsid w:val="00365D86"/>
    <w:rsid w:val="00371929"/>
    <w:rsid w:val="00371C2D"/>
    <w:rsid w:val="003815E8"/>
    <w:rsid w:val="00387BA9"/>
    <w:rsid w:val="003944C7"/>
    <w:rsid w:val="00396A65"/>
    <w:rsid w:val="003A02D9"/>
    <w:rsid w:val="003A1239"/>
    <w:rsid w:val="003A1DAC"/>
    <w:rsid w:val="003B01C8"/>
    <w:rsid w:val="003B03E9"/>
    <w:rsid w:val="003B4CAA"/>
    <w:rsid w:val="003C5007"/>
    <w:rsid w:val="003D25D3"/>
    <w:rsid w:val="003D422A"/>
    <w:rsid w:val="003D70D3"/>
    <w:rsid w:val="003F142D"/>
    <w:rsid w:val="003F2B14"/>
    <w:rsid w:val="00401292"/>
    <w:rsid w:val="004013D3"/>
    <w:rsid w:val="00401447"/>
    <w:rsid w:val="00404583"/>
    <w:rsid w:val="0041040D"/>
    <w:rsid w:val="00411658"/>
    <w:rsid w:val="0041744B"/>
    <w:rsid w:val="004202F3"/>
    <w:rsid w:val="004219AB"/>
    <w:rsid w:val="00425A12"/>
    <w:rsid w:val="00425D1D"/>
    <w:rsid w:val="00430F2C"/>
    <w:rsid w:val="0043205B"/>
    <w:rsid w:val="004335E9"/>
    <w:rsid w:val="004379FF"/>
    <w:rsid w:val="004407D9"/>
    <w:rsid w:val="00441077"/>
    <w:rsid w:val="0045292E"/>
    <w:rsid w:val="004555CC"/>
    <w:rsid w:val="00461FCC"/>
    <w:rsid w:val="004625D7"/>
    <w:rsid w:val="00466042"/>
    <w:rsid w:val="00467804"/>
    <w:rsid w:val="0047186B"/>
    <w:rsid w:val="00472034"/>
    <w:rsid w:val="004819EB"/>
    <w:rsid w:val="00481BE6"/>
    <w:rsid w:val="00482510"/>
    <w:rsid w:val="00487969"/>
    <w:rsid w:val="00492174"/>
    <w:rsid w:val="00492AAE"/>
    <w:rsid w:val="004958D2"/>
    <w:rsid w:val="00497C5A"/>
    <w:rsid w:val="004A1D9E"/>
    <w:rsid w:val="004A6B6E"/>
    <w:rsid w:val="004A7B5F"/>
    <w:rsid w:val="004B70F9"/>
    <w:rsid w:val="004D0840"/>
    <w:rsid w:val="004D15F7"/>
    <w:rsid w:val="004D31E8"/>
    <w:rsid w:val="004D7B8E"/>
    <w:rsid w:val="004E1EDD"/>
    <w:rsid w:val="004E3D63"/>
    <w:rsid w:val="004E4AFF"/>
    <w:rsid w:val="004F1C33"/>
    <w:rsid w:val="00500508"/>
    <w:rsid w:val="00503BAE"/>
    <w:rsid w:val="00507DFD"/>
    <w:rsid w:val="005148EF"/>
    <w:rsid w:val="00515AFB"/>
    <w:rsid w:val="005236AF"/>
    <w:rsid w:val="00546A9F"/>
    <w:rsid w:val="00550099"/>
    <w:rsid w:val="005517BF"/>
    <w:rsid w:val="005546AD"/>
    <w:rsid w:val="00564491"/>
    <w:rsid w:val="00566FBA"/>
    <w:rsid w:val="005711D6"/>
    <w:rsid w:val="00571965"/>
    <w:rsid w:val="00580869"/>
    <w:rsid w:val="00580CEF"/>
    <w:rsid w:val="00582929"/>
    <w:rsid w:val="0059399C"/>
    <w:rsid w:val="005A0449"/>
    <w:rsid w:val="005B2A76"/>
    <w:rsid w:val="005B7754"/>
    <w:rsid w:val="005B7BAC"/>
    <w:rsid w:val="005C004D"/>
    <w:rsid w:val="005C1B38"/>
    <w:rsid w:val="005C5FF5"/>
    <w:rsid w:val="005D1037"/>
    <w:rsid w:val="005D47CB"/>
    <w:rsid w:val="005E314D"/>
    <w:rsid w:val="005E31EA"/>
    <w:rsid w:val="005E387F"/>
    <w:rsid w:val="005E7D5A"/>
    <w:rsid w:val="005F06DB"/>
    <w:rsid w:val="005F1D66"/>
    <w:rsid w:val="005F71C8"/>
    <w:rsid w:val="005F7930"/>
    <w:rsid w:val="00602251"/>
    <w:rsid w:val="0060271E"/>
    <w:rsid w:val="00602E4A"/>
    <w:rsid w:val="00605C22"/>
    <w:rsid w:val="006079FB"/>
    <w:rsid w:val="00614A21"/>
    <w:rsid w:val="00615A2A"/>
    <w:rsid w:val="0062567F"/>
    <w:rsid w:val="00630C37"/>
    <w:rsid w:val="006329B9"/>
    <w:rsid w:val="006349F0"/>
    <w:rsid w:val="00634DEC"/>
    <w:rsid w:val="0063752A"/>
    <w:rsid w:val="006549F6"/>
    <w:rsid w:val="00666DE3"/>
    <w:rsid w:val="006673A4"/>
    <w:rsid w:val="00672C9C"/>
    <w:rsid w:val="00675D20"/>
    <w:rsid w:val="00683212"/>
    <w:rsid w:val="00683874"/>
    <w:rsid w:val="006845C0"/>
    <w:rsid w:val="006877FF"/>
    <w:rsid w:val="00692483"/>
    <w:rsid w:val="006A2B4B"/>
    <w:rsid w:val="006A2B82"/>
    <w:rsid w:val="006A6B9F"/>
    <w:rsid w:val="006B444B"/>
    <w:rsid w:val="006C435F"/>
    <w:rsid w:val="006C6A7C"/>
    <w:rsid w:val="006D085F"/>
    <w:rsid w:val="006D5F11"/>
    <w:rsid w:val="006D71B0"/>
    <w:rsid w:val="006D7837"/>
    <w:rsid w:val="006E33B5"/>
    <w:rsid w:val="00704493"/>
    <w:rsid w:val="00705D7F"/>
    <w:rsid w:val="0070661D"/>
    <w:rsid w:val="007067AC"/>
    <w:rsid w:val="007131E7"/>
    <w:rsid w:val="00723DDD"/>
    <w:rsid w:val="00726905"/>
    <w:rsid w:val="00726C38"/>
    <w:rsid w:val="00727F66"/>
    <w:rsid w:val="0073152B"/>
    <w:rsid w:val="007369DF"/>
    <w:rsid w:val="00753D9D"/>
    <w:rsid w:val="0076453C"/>
    <w:rsid w:val="00774D03"/>
    <w:rsid w:val="00777740"/>
    <w:rsid w:val="00780A04"/>
    <w:rsid w:val="00781F85"/>
    <w:rsid w:val="007820ED"/>
    <w:rsid w:val="007876CB"/>
    <w:rsid w:val="00796B84"/>
    <w:rsid w:val="007A4892"/>
    <w:rsid w:val="007A4D9B"/>
    <w:rsid w:val="007C0D4B"/>
    <w:rsid w:val="007C4A7B"/>
    <w:rsid w:val="007C5F54"/>
    <w:rsid w:val="007C6639"/>
    <w:rsid w:val="007D0C0C"/>
    <w:rsid w:val="007D2A05"/>
    <w:rsid w:val="007D3CA2"/>
    <w:rsid w:val="007D3FA3"/>
    <w:rsid w:val="007E5E04"/>
    <w:rsid w:val="007F1BEF"/>
    <w:rsid w:val="008020D5"/>
    <w:rsid w:val="0080558A"/>
    <w:rsid w:val="00810D00"/>
    <w:rsid w:val="00813BBD"/>
    <w:rsid w:val="00813CD3"/>
    <w:rsid w:val="0081555B"/>
    <w:rsid w:val="0081634D"/>
    <w:rsid w:val="00816D98"/>
    <w:rsid w:val="00823043"/>
    <w:rsid w:val="00826103"/>
    <w:rsid w:val="008321EB"/>
    <w:rsid w:val="008331C5"/>
    <w:rsid w:val="00834635"/>
    <w:rsid w:val="00840B10"/>
    <w:rsid w:val="00840F4F"/>
    <w:rsid w:val="00842BFA"/>
    <w:rsid w:val="00842CC1"/>
    <w:rsid w:val="00852DA6"/>
    <w:rsid w:val="008539FC"/>
    <w:rsid w:val="008604E8"/>
    <w:rsid w:val="00863B58"/>
    <w:rsid w:val="008645AE"/>
    <w:rsid w:val="008725E9"/>
    <w:rsid w:val="00876530"/>
    <w:rsid w:val="008775E6"/>
    <w:rsid w:val="00880633"/>
    <w:rsid w:val="00885BB2"/>
    <w:rsid w:val="008861C6"/>
    <w:rsid w:val="00887DD0"/>
    <w:rsid w:val="008956E2"/>
    <w:rsid w:val="008A33ED"/>
    <w:rsid w:val="008B1E76"/>
    <w:rsid w:val="008B6AB6"/>
    <w:rsid w:val="008C2879"/>
    <w:rsid w:val="008C63D0"/>
    <w:rsid w:val="008D28FD"/>
    <w:rsid w:val="008D2CE0"/>
    <w:rsid w:val="008D49FB"/>
    <w:rsid w:val="008D4DF3"/>
    <w:rsid w:val="008D5423"/>
    <w:rsid w:val="008D731E"/>
    <w:rsid w:val="008F4352"/>
    <w:rsid w:val="008F73B3"/>
    <w:rsid w:val="00902EA9"/>
    <w:rsid w:val="00902F82"/>
    <w:rsid w:val="00903590"/>
    <w:rsid w:val="00904D75"/>
    <w:rsid w:val="009105A0"/>
    <w:rsid w:val="00910DC5"/>
    <w:rsid w:val="009143D1"/>
    <w:rsid w:val="00914A48"/>
    <w:rsid w:val="009167F4"/>
    <w:rsid w:val="0093475B"/>
    <w:rsid w:val="00940D9C"/>
    <w:rsid w:val="00946B65"/>
    <w:rsid w:val="00946CF8"/>
    <w:rsid w:val="00946E76"/>
    <w:rsid w:val="009547AB"/>
    <w:rsid w:val="00961D5A"/>
    <w:rsid w:val="00971071"/>
    <w:rsid w:val="0097222F"/>
    <w:rsid w:val="00975595"/>
    <w:rsid w:val="00975F60"/>
    <w:rsid w:val="009813EB"/>
    <w:rsid w:val="00981F20"/>
    <w:rsid w:val="0098391B"/>
    <w:rsid w:val="00985F61"/>
    <w:rsid w:val="00993408"/>
    <w:rsid w:val="009958AB"/>
    <w:rsid w:val="009A5DA7"/>
    <w:rsid w:val="009A6FE3"/>
    <w:rsid w:val="009A7E53"/>
    <w:rsid w:val="009B0B8E"/>
    <w:rsid w:val="009B3397"/>
    <w:rsid w:val="009B385F"/>
    <w:rsid w:val="009C002C"/>
    <w:rsid w:val="009C28A2"/>
    <w:rsid w:val="009C4A63"/>
    <w:rsid w:val="009C657C"/>
    <w:rsid w:val="009C7936"/>
    <w:rsid w:val="009D1A58"/>
    <w:rsid w:val="009D48AD"/>
    <w:rsid w:val="009D684F"/>
    <w:rsid w:val="009D754F"/>
    <w:rsid w:val="009E4B0A"/>
    <w:rsid w:val="009F229B"/>
    <w:rsid w:val="009F587F"/>
    <w:rsid w:val="009F7D4F"/>
    <w:rsid w:val="00A00927"/>
    <w:rsid w:val="00A03997"/>
    <w:rsid w:val="00A068D0"/>
    <w:rsid w:val="00A14FC0"/>
    <w:rsid w:val="00A21FB1"/>
    <w:rsid w:val="00A23C84"/>
    <w:rsid w:val="00A32E0E"/>
    <w:rsid w:val="00A40B1A"/>
    <w:rsid w:val="00A416FF"/>
    <w:rsid w:val="00A440EE"/>
    <w:rsid w:val="00A457D8"/>
    <w:rsid w:val="00A50083"/>
    <w:rsid w:val="00A53687"/>
    <w:rsid w:val="00A612DF"/>
    <w:rsid w:val="00A61EC4"/>
    <w:rsid w:val="00A6218F"/>
    <w:rsid w:val="00A6292B"/>
    <w:rsid w:val="00A64FD1"/>
    <w:rsid w:val="00A65569"/>
    <w:rsid w:val="00A804EC"/>
    <w:rsid w:val="00A823AD"/>
    <w:rsid w:val="00A84468"/>
    <w:rsid w:val="00A84F20"/>
    <w:rsid w:val="00A8789E"/>
    <w:rsid w:val="00A915BC"/>
    <w:rsid w:val="00A91770"/>
    <w:rsid w:val="00A9325B"/>
    <w:rsid w:val="00A956D0"/>
    <w:rsid w:val="00A95AAC"/>
    <w:rsid w:val="00A9701D"/>
    <w:rsid w:val="00AA3010"/>
    <w:rsid w:val="00AA6D55"/>
    <w:rsid w:val="00AA797F"/>
    <w:rsid w:val="00AB09D5"/>
    <w:rsid w:val="00AB19EA"/>
    <w:rsid w:val="00AB3356"/>
    <w:rsid w:val="00AB5A41"/>
    <w:rsid w:val="00AD2D71"/>
    <w:rsid w:val="00AD2DC5"/>
    <w:rsid w:val="00AD55E4"/>
    <w:rsid w:val="00AE089F"/>
    <w:rsid w:val="00AE274A"/>
    <w:rsid w:val="00AE4533"/>
    <w:rsid w:val="00AE4E5B"/>
    <w:rsid w:val="00AE7A9E"/>
    <w:rsid w:val="00AF3AE5"/>
    <w:rsid w:val="00AF6A2F"/>
    <w:rsid w:val="00AF7B70"/>
    <w:rsid w:val="00B05252"/>
    <w:rsid w:val="00B07D21"/>
    <w:rsid w:val="00B14F7B"/>
    <w:rsid w:val="00B15989"/>
    <w:rsid w:val="00B1731B"/>
    <w:rsid w:val="00B17802"/>
    <w:rsid w:val="00B20FF0"/>
    <w:rsid w:val="00B224C0"/>
    <w:rsid w:val="00B264EA"/>
    <w:rsid w:val="00B273BE"/>
    <w:rsid w:val="00B32F62"/>
    <w:rsid w:val="00B333B1"/>
    <w:rsid w:val="00B3422B"/>
    <w:rsid w:val="00B351BE"/>
    <w:rsid w:val="00B35F76"/>
    <w:rsid w:val="00B36936"/>
    <w:rsid w:val="00B412B4"/>
    <w:rsid w:val="00B4289E"/>
    <w:rsid w:val="00B44078"/>
    <w:rsid w:val="00B46613"/>
    <w:rsid w:val="00B47FD0"/>
    <w:rsid w:val="00B508F7"/>
    <w:rsid w:val="00B602C5"/>
    <w:rsid w:val="00B61BCE"/>
    <w:rsid w:val="00B61ED4"/>
    <w:rsid w:val="00B638CF"/>
    <w:rsid w:val="00B6592B"/>
    <w:rsid w:val="00B77BB2"/>
    <w:rsid w:val="00B901E3"/>
    <w:rsid w:val="00B929BC"/>
    <w:rsid w:val="00B94EF1"/>
    <w:rsid w:val="00BA0D0A"/>
    <w:rsid w:val="00BA1216"/>
    <w:rsid w:val="00BB4743"/>
    <w:rsid w:val="00BC3A92"/>
    <w:rsid w:val="00BC748C"/>
    <w:rsid w:val="00BD0542"/>
    <w:rsid w:val="00BD1DBF"/>
    <w:rsid w:val="00BD44AF"/>
    <w:rsid w:val="00BD6102"/>
    <w:rsid w:val="00BD6EA7"/>
    <w:rsid w:val="00BE0C0C"/>
    <w:rsid w:val="00BE3A54"/>
    <w:rsid w:val="00BE49DC"/>
    <w:rsid w:val="00BE6129"/>
    <w:rsid w:val="00BE72FB"/>
    <w:rsid w:val="00BE75C4"/>
    <w:rsid w:val="00C11AEF"/>
    <w:rsid w:val="00C16D29"/>
    <w:rsid w:val="00C237C2"/>
    <w:rsid w:val="00C25FE8"/>
    <w:rsid w:val="00C26387"/>
    <w:rsid w:val="00C31C9F"/>
    <w:rsid w:val="00C350DD"/>
    <w:rsid w:val="00C504CA"/>
    <w:rsid w:val="00C53B4B"/>
    <w:rsid w:val="00C546F9"/>
    <w:rsid w:val="00C5767E"/>
    <w:rsid w:val="00C57FF9"/>
    <w:rsid w:val="00C6253D"/>
    <w:rsid w:val="00C6517D"/>
    <w:rsid w:val="00C71474"/>
    <w:rsid w:val="00C75686"/>
    <w:rsid w:val="00C76C61"/>
    <w:rsid w:val="00C77CEE"/>
    <w:rsid w:val="00C802C8"/>
    <w:rsid w:val="00C811D6"/>
    <w:rsid w:val="00C8305C"/>
    <w:rsid w:val="00C83355"/>
    <w:rsid w:val="00C8375D"/>
    <w:rsid w:val="00C84424"/>
    <w:rsid w:val="00C84CE0"/>
    <w:rsid w:val="00C8733B"/>
    <w:rsid w:val="00C877A0"/>
    <w:rsid w:val="00C97ABC"/>
    <w:rsid w:val="00CA0269"/>
    <w:rsid w:val="00CA197B"/>
    <w:rsid w:val="00CA1A2E"/>
    <w:rsid w:val="00CA2354"/>
    <w:rsid w:val="00CA73BE"/>
    <w:rsid w:val="00CB4B35"/>
    <w:rsid w:val="00CD3525"/>
    <w:rsid w:val="00CD3B15"/>
    <w:rsid w:val="00CE5CDD"/>
    <w:rsid w:val="00CF12A1"/>
    <w:rsid w:val="00CF4A1A"/>
    <w:rsid w:val="00CF7107"/>
    <w:rsid w:val="00D017C4"/>
    <w:rsid w:val="00D02435"/>
    <w:rsid w:val="00D02915"/>
    <w:rsid w:val="00D075A8"/>
    <w:rsid w:val="00D1096C"/>
    <w:rsid w:val="00D21D7B"/>
    <w:rsid w:val="00D3104F"/>
    <w:rsid w:val="00D32725"/>
    <w:rsid w:val="00D32FBB"/>
    <w:rsid w:val="00D35DF5"/>
    <w:rsid w:val="00D4012F"/>
    <w:rsid w:val="00D450B2"/>
    <w:rsid w:val="00D511E6"/>
    <w:rsid w:val="00D5388B"/>
    <w:rsid w:val="00D64006"/>
    <w:rsid w:val="00D65D2C"/>
    <w:rsid w:val="00D667F3"/>
    <w:rsid w:val="00D67F04"/>
    <w:rsid w:val="00D705ED"/>
    <w:rsid w:val="00D8072D"/>
    <w:rsid w:val="00D81838"/>
    <w:rsid w:val="00D82AEE"/>
    <w:rsid w:val="00D87268"/>
    <w:rsid w:val="00D90833"/>
    <w:rsid w:val="00DA32C0"/>
    <w:rsid w:val="00DB09F3"/>
    <w:rsid w:val="00DB0EB8"/>
    <w:rsid w:val="00DB1C8A"/>
    <w:rsid w:val="00DB3BF6"/>
    <w:rsid w:val="00DB4693"/>
    <w:rsid w:val="00DC1AFD"/>
    <w:rsid w:val="00DC4717"/>
    <w:rsid w:val="00DC4B23"/>
    <w:rsid w:val="00DC5EA8"/>
    <w:rsid w:val="00DD0B0B"/>
    <w:rsid w:val="00DD1803"/>
    <w:rsid w:val="00DD2666"/>
    <w:rsid w:val="00DE1FD6"/>
    <w:rsid w:val="00DE3EB8"/>
    <w:rsid w:val="00DE7414"/>
    <w:rsid w:val="00DF55FB"/>
    <w:rsid w:val="00E03A6D"/>
    <w:rsid w:val="00E102F0"/>
    <w:rsid w:val="00E21396"/>
    <w:rsid w:val="00E24FBF"/>
    <w:rsid w:val="00E31C6B"/>
    <w:rsid w:val="00E33474"/>
    <w:rsid w:val="00E338FD"/>
    <w:rsid w:val="00E340BD"/>
    <w:rsid w:val="00E373C5"/>
    <w:rsid w:val="00E40DDD"/>
    <w:rsid w:val="00E42BAE"/>
    <w:rsid w:val="00E440D1"/>
    <w:rsid w:val="00E460BB"/>
    <w:rsid w:val="00E4678E"/>
    <w:rsid w:val="00E57730"/>
    <w:rsid w:val="00E623E3"/>
    <w:rsid w:val="00E63015"/>
    <w:rsid w:val="00E63932"/>
    <w:rsid w:val="00E649E3"/>
    <w:rsid w:val="00E71AC8"/>
    <w:rsid w:val="00E816B8"/>
    <w:rsid w:val="00E83F18"/>
    <w:rsid w:val="00E9060B"/>
    <w:rsid w:val="00E93CAA"/>
    <w:rsid w:val="00E95520"/>
    <w:rsid w:val="00E9706A"/>
    <w:rsid w:val="00EA7844"/>
    <w:rsid w:val="00EB2E7D"/>
    <w:rsid w:val="00EB422B"/>
    <w:rsid w:val="00EB7531"/>
    <w:rsid w:val="00EB7CEF"/>
    <w:rsid w:val="00EC7A79"/>
    <w:rsid w:val="00ED0302"/>
    <w:rsid w:val="00ED6B4F"/>
    <w:rsid w:val="00EE7DBB"/>
    <w:rsid w:val="00EF273F"/>
    <w:rsid w:val="00EF7766"/>
    <w:rsid w:val="00F012EE"/>
    <w:rsid w:val="00F02ACD"/>
    <w:rsid w:val="00F1343F"/>
    <w:rsid w:val="00F20F7E"/>
    <w:rsid w:val="00F24492"/>
    <w:rsid w:val="00F25A8B"/>
    <w:rsid w:val="00F25F5E"/>
    <w:rsid w:val="00F265BC"/>
    <w:rsid w:val="00F26B37"/>
    <w:rsid w:val="00F26B61"/>
    <w:rsid w:val="00F357E6"/>
    <w:rsid w:val="00F371E3"/>
    <w:rsid w:val="00F40859"/>
    <w:rsid w:val="00F478E9"/>
    <w:rsid w:val="00F47D35"/>
    <w:rsid w:val="00F5140B"/>
    <w:rsid w:val="00F55D34"/>
    <w:rsid w:val="00F56C19"/>
    <w:rsid w:val="00F571C6"/>
    <w:rsid w:val="00F626B5"/>
    <w:rsid w:val="00F62B16"/>
    <w:rsid w:val="00F726CE"/>
    <w:rsid w:val="00F72BA4"/>
    <w:rsid w:val="00F73F8F"/>
    <w:rsid w:val="00F74019"/>
    <w:rsid w:val="00F75437"/>
    <w:rsid w:val="00F8289B"/>
    <w:rsid w:val="00F8399F"/>
    <w:rsid w:val="00F86175"/>
    <w:rsid w:val="00F91E9E"/>
    <w:rsid w:val="00F93F91"/>
    <w:rsid w:val="00F9646D"/>
    <w:rsid w:val="00FA27AF"/>
    <w:rsid w:val="00FA6E05"/>
    <w:rsid w:val="00FB777D"/>
    <w:rsid w:val="00FC1448"/>
    <w:rsid w:val="00FC1A45"/>
    <w:rsid w:val="00FC2679"/>
    <w:rsid w:val="00FC474E"/>
    <w:rsid w:val="00FD7BAB"/>
    <w:rsid w:val="00FE2A03"/>
    <w:rsid w:val="00FF5967"/>
    <w:rsid w:val="00FF7F1D"/>
    <w:rsid w:val="02BA4D88"/>
    <w:rsid w:val="0851786A"/>
    <w:rsid w:val="086D5ABE"/>
    <w:rsid w:val="0E5A499A"/>
    <w:rsid w:val="0F0532DD"/>
    <w:rsid w:val="15881924"/>
    <w:rsid w:val="16E00B16"/>
    <w:rsid w:val="1F856229"/>
    <w:rsid w:val="23414C40"/>
    <w:rsid w:val="24970489"/>
    <w:rsid w:val="289D4D41"/>
    <w:rsid w:val="41A05B22"/>
    <w:rsid w:val="41B03F53"/>
    <w:rsid w:val="42473211"/>
    <w:rsid w:val="4492335F"/>
    <w:rsid w:val="46C81B7C"/>
    <w:rsid w:val="49117305"/>
    <w:rsid w:val="497C0086"/>
    <w:rsid w:val="4B713F58"/>
    <w:rsid w:val="4CD01F92"/>
    <w:rsid w:val="4F6B4A26"/>
    <w:rsid w:val="4FEF3000"/>
    <w:rsid w:val="515E3F9E"/>
    <w:rsid w:val="52883CC9"/>
    <w:rsid w:val="5340527A"/>
    <w:rsid w:val="54753AB2"/>
    <w:rsid w:val="57F86260"/>
    <w:rsid w:val="58134E48"/>
    <w:rsid w:val="59023C0E"/>
    <w:rsid w:val="592B392F"/>
    <w:rsid w:val="5B5E287E"/>
    <w:rsid w:val="5E6D4368"/>
    <w:rsid w:val="6136038F"/>
    <w:rsid w:val="618E19BD"/>
    <w:rsid w:val="62951E3F"/>
    <w:rsid w:val="63D3192F"/>
    <w:rsid w:val="76635541"/>
    <w:rsid w:val="77E912C9"/>
    <w:rsid w:val="7F3D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3">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widowControl/>
      <w:jc w:val="left"/>
    </w:pPr>
    <w:rPr>
      <w:rFonts w:ascii="宋体" w:hAnsi="宋体"/>
      <w:b/>
      <w:bCs/>
      <w:sz w:val="24"/>
      <w:szCs w:val="20"/>
    </w:rPr>
  </w:style>
  <w:style w:type="paragraph" w:styleId="6">
    <w:name w:val="Plain Text"/>
    <w:basedOn w:val="1"/>
    <w:link w:val="26"/>
    <w:unhideWhenUsed/>
    <w:qFormat/>
    <w:uiPriority w:val="0"/>
    <w:rPr>
      <w:rFonts w:hAnsi="Courier New" w:cs="Courier New" w:asciiTheme="minorEastAsia" w:eastAsiaTheme="minorEastAsia"/>
      <w:szCs w:val="22"/>
    </w:rPr>
  </w:style>
  <w:style w:type="paragraph" w:styleId="7">
    <w:name w:val="Balloon Text"/>
    <w:basedOn w:val="1"/>
    <w:semiHidden/>
    <w:qFormat/>
    <w:uiPriority w:val="0"/>
    <w:rPr>
      <w:sz w:val="18"/>
      <w:szCs w:val="18"/>
    </w:rPr>
  </w:style>
  <w:style w:type="paragraph" w:styleId="8">
    <w:name w:val="footer"/>
    <w:basedOn w:val="1"/>
    <w:link w:val="17"/>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qFormat/>
    <w:uiPriority w:val="0"/>
    <w:rPr>
      <w:color w:val="954F72"/>
      <w:u w:val="single"/>
    </w:rPr>
  </w:style>
  <w:style w:type="character" w:styleId="16">
    <w:name w:val="Hyperlink"/>
    <w:unhideWhenUsed/>
    <w:qFormat/>
    <w:uiPriority w:val="99"/>
    <w:rPr>
      <w:color w:val="0000FF"/>
      <w:u w:val="single"/>
    </w:rPr>
  </w:style>
  <w:style w:type="character" w:customStyle="1" w:styleId="17">
    <w:name w:val="页脚 字符"/>
    <w:link w:val="8"/>
    <w:qFormat/>
    <w:uiPriority w:val="0"/>
    <w:rPr>
      <w:kern w:val="2"/>
      <w:sz w:val="18"/>
      <w:szCs w:val="18"/>
    </w:rPr>
  </w:style>
  <w:style w:type="character" w:customStyle="1" w:styleId="18">
    <w:name w:val="页眉 字符"/>
    <w:link w:val="9"/>
    <w:qFormat/>
    <w:uiPriority w:val="0"/>
    <w:rPr>
      <w:kern w:val="2"/>
      <w:sz w:val="18"/>
      <w:szCs w:val="18"/>
    </w:rPr>
  </w:style>
  <w:style w:type="character" w:customStyle="1" w:styleId="19">
    <w:name w:val="fnxuls44um2"/>
    <w:qFormat/>
    <w:uiPriority w:val="0"/>
  </w:style>
  <w:style w:type="character" w:customStyle="1" w:styleId="20">
    <w:name w:val="su4uxpcl717"/>
    <w:qFormat/>
    <w:uiPriority w:val="0"/>
  </w:style>
  <w:style w:type="character" w:customStyle="1" w:styleId="21">
    <w:name w:val="l6zjm5yei97"/>
    <w:qFormat/>
    <w:uiPriority w:val="0"/>
  </w:style>
  <w:style w:type="character" w:customStyle="1" w:styleId="22">
    <w:name w:val="zm6olrabive"/>
    <w:qFormat/>
    <w:uiPriority w:val="0"/>
  </w:style>
  <w:style w:type="character" w:customStyle="1" w:styleId="23">
    <w:name w:val="eldr9rc29f2"/>
    <w:qFormat/>
    <w:uiPriority w:val="0"/>
  </w:style>
  <w:style w:type="character" w:customStyle="1" w:styleId="24">
    <w:name w:val="efhma5eze1q"/>
    <w:qFormat/>
    <w:uiPriority w:val="0"/>
  </w:style>
  <w:style w:type="paragraph" w:styleId="25">
    <w:name w:val="List Paragraph"/>
    <w:basedOn w:val="1"/>
    <w:link w:val="27"/>
    <w:qFormat/>
    <w:uiPriority w:val="99"/>
    <w:pPr>
      <w:ind w:firstLine="420" w:firstLineChars="200"/>
    </w:pPr>
  </w:style>
  <w:style w:type="character" w:customStyle="1" w:styleId="26">
    <w:name w:val="纯文本 字符"/>
    <w:basedOn w:val="13"/>
    <w:link w:val="6"/>
    <w:qFormat/>
    <w:uiPriority w:val="0"/>
    <w:rPr>
      <w:rFonts w:hAnsi="Courier New" w:cs="Courier New" w:asciiTheme="minorEastAsia" w:eastAsiaTheme="minorEastAsia"/>
      <w:kern w:val="2"/>
      <w:sz w:val="21"/>
      <w:szCs w:val="22"/>
    </w:rPr>
  </w:style>
  <w:style w:type="character" w:customStyle="1" w:styleId="27">
    <w:name w:val="列表段落 字符"/>
    <w:link w:val="25"/>
    <w:autoRedefine/>
    <w:qFormat/>
    <w:locked/>
    <w:uiPriority w:val="99"/>
    <w:rPr>
      <w:kern w:val="2"/>
      <w:sz w:val="21"/>
      <w:szCs w:val="24"/>
    </w:rPr>
  </w:style>
  <w:style w:type="character" w:customStyle="1" w:styleId="28">
    <w:name w:val="未处理的提及1"/>
    <w:basedOn w:val="13"/>
    <w:semiHidden/>
    <w:unhideWhenUsed/>
    <w:qFormat/>
    <w:uiPriority w:val="99"/>
    <w:rPr>
      <w:color w:val="605E5C"/>
      <w:shd w:val="clear" w:color="auto" w:fill="E1DFDD"/>
    </w:rPr>
  </w:style>
  <w:style w:type="paragraph" w:customStyle="1" w:styleId="29">
    <w:name w:val="样式 10 磅31114"/>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AD029-2C77-4C6C-8BE3-F0BEBE8A6682}">
  <ds:schemaRefs/>
</ds:datastoreItem>
</file>

<file path=docProps/app.xml><?xml version="1.0" encoding="utf-8"?>
<Properties xmlns="http://schemas.openxmlformats.org/officeDocument/2006/extended-properties" xmlns:vt="http://schemas.openxmlformats.org/officeDocument/2006/docPropsVTypes">
  <Template>Normal.dotm</Template>
  <Company>***</Company>
  <Pages>4</Pages>
  <Words>8374</Words>
  <Characters>10612</Characters>
  <Lines>81</Lines>
  <Paragraphs>22</Paragraphs>
  <TotalTime>437</TotalTime>
  <ScaleCrop>false</ScaleCrop>
  <LinksUpToDate>false</LinksUpToDate>
  <CharactersWithSpaces>10691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2026-03-18T03:26:00Z</dcterms:created>
  <dc:creator>*</dc:creator>
  <cp:lastModifiedBy>陈旭楠</cp:lastModifiedBy>
  <cp:lastPrinted>2015-05-20T01:50:00Z</cp:lastPrinted>
  <dcterms:modified xsi:type="dcterms:W3CDTF">2026-06-17T08:26:45Z</dcterms:modified>
  <dc:title> </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ContentTypeId">
    <vt:lpwstr>0x010100ACE7DBE525A3E443AA3B4E3ACD60823A</vt:lpwstr>
  </property>
  <property fmtid="{D5CDD505-2E9C-101B-9397-08002B2CF9AE}" pid="4" name="ICV">
    <vt:lpwstr>586BFE99E5F54EEEABEC3E6B17B1C9FE_13</vt:lpwstr>
  </property>
  <property fmtid="{D5CDD505-2E9C-101B-9397-08002B2CF9AE}" pid="5" name="KSOTemplateDocerSaveRecord">
    <vt:lpwstr>eyJoZGlkIjoiMDZiOWQ2MTJiMjEwOTZiNWM5OTQzNjZlNzRhZWNkNDYiLCJ1c2VySWQiOiIyNTU0NDAwMzEifQ==</vt:lpwstr>
  </property>
</Properties>
</file>