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D75D3E">
      <w:pPr>
        <w:spacing w:before="93" w:beforeLines="30" w:line="360" w:lineRule="auto"/>
        <w:jc w:val="center"/>
        <w:rPr>
          <w:rFonts w:hint="default" w:ascii="宋体" w:hAnsi="宋体" w:eastAsia="宋体" w:cs="宋体"/>
          <w:b/>
          <w:color w:val="auto"/>
          <w:kern w:val="0"/>
          <w:sz w:val="34"/>
          <w:szCs w:val="34"/>
          <w:highlight w:val="none"/>
          <w:lang w:val="en-US" w:eastAsia="zh-CN"/>
        </w:rPr>
      </w:pPr>
      <w:bookmarkStart w:id="0" w:name="_GoBack"/>
      <w:r>
        <w:rPr>
          <w:rFonts w:hint="eastAsia" w:ascii="宋体" w:hAnsi="宋体" w:cs="宋体"/>
          <w:b/>
          <w:color w:val="auto"/>
          <w:kern w:val="0"/>
          <w:sz w:val="34"/>
          <w:szCs w:val="34"/>
          <w:highlight w:val="none"/>
          <w:lang w:val="en-US" w:eastAsia="zh-CN"/>
        </w:rPr>
        <w:t>内蒙古交通集团蒙通养护有限责任公司工程分公司C020至阿拉善盟德吉双峰驼产业专业合作社农村道路、乌日音图雅至顺昕农牧业有限公司农村道路工程砂砾采购项目询比采购公告</w:t>
      </w:r>
    </w:p>
    <w:bookmarkEnd w:id="0"/>
    <w:p w14:paraId="4FC7CDC9">
      <w:pPr>
        <w:tabs>
          <w:tab w:val="left" w:pos="3986"/>
        </w:tabs>
        <w:spacing w:line="360" w:lineRule="auto"/>
        <w:jc w:val="center"/>
        <w:rPr>
          <w:rFonts w:hint="default" w:ascii="宋体" w:hAnsi="宋体" w:eastAsia="宋体" w:cs="宋体"/>
          <w:b/>
          <w:color w:val="auto"/>
          <w:kern w:val="0"/>
          <w:sz w:val="24"/>
          <w:szCs w:val="24"/>
          <w:highlight w:val="none"/>
          <w:u w:val="single"/>
          <w:lang w:val="en-US" w:eastAsia="zh-CN"/>
        </w:rPr>
      </w:pPr>
      <w:r>
        <w:rPr>
          <w:rFonts w:hint="eastAsia" w:ascii="宋体" w:hAnsi="宋体" w:eastAsia="宋体" w:cs="宋体"/>
          <w:b/>
          <w:color w:val="auto"/>
          <w:kern w:val="0"/>
          <w:sz w:val="24"/>
          <w:szCs w:val="24"/>
          <w:highlight w:val="none"/>
          <w:u w:val="single"/>
          <w:lang w:val="en-US" w:eastAsia="zh-CN"/>
        </w:rPr>
        <w:t>项目编号：GCF-2026-0039</w:t>
      </w:r>
    </w:p>
    <w:p w14:paraId="3832FAB5">
      <w:pPr>
        <w:spacing w:line="240" w:lineRule="auto"/>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1.采购项目简介</w:t>
      </w:r>
    </w:p>
    <w:p w14:paraId="6CD90189">
      <w:pPr>
        <w:tabs>
          <w:tab w:val="left" w:pos="3986"/>
        </w:tabs>
        <w:spacing w:line="360" w:lineRule="auto"/>
        <w:ind w:firstLine="480" w:firstLineChars="200"/>
        <w:rPr>
          <w:rFonts w:hint="eastAsia" w:ascii="宋体" w:hAnsi="宋体" w:eastAsia="宋体" w:cs="宋体"/>
          <w:b/>
          <w:color w:val="auto"/>
          <w:kern w:val="0"/>
          <w:sz w:val="24"/>
          <w:highlight w:val="none"/>
          <w:u w:val="single"/>
        </w:rPr>
      </w:pPr>
      <w:r>
        <w:rPr>
          <w:rFonts w:hint="eastAsia" w:ascii="宋体" w:hAnsi="宋体" w:eastAsia="宋体" w:cs="宋体"/>
          <w:b w:val="0"/>
          <w:bCs/>
          <w:color w:val="auto"/>
          <w:kern w:val="0"/>
          <w:sz w:val="24"/>
          <w:szCs w:val="24"/>
          <w:highlight w:val="none"/>
          <w:u w:val="none"/>
          <w:lang w:val="en-US" w:eastAsia="zh-CN"/>
        </w:rPr>
        <w:t>本</w:t>
      </w:r>
      <w:r>
        <w:rPr>
          <w:rFonts w:hint="eastAsia" w:ascii="宋体" w:hAnsi="宋体" w:cs="宋体"/>
          <w:b/>
          <w:color w:val="auto"/>
          <w:kern w:val="0"/>
          <w:sz w:val="24"/>
          <w:szCs w:val="24"/>
          <w:highlight w:val="none"/>
          <w:u w:val="single"/>
          <w:lang w:eastAsia="zh-CN"/>
        </w:rPr>
        <w:t>内蒙古交通集团蒙通养护有限责任公司工程分公司C020至阿拉善盟德吉双峰驼产业专业合作社农村道路、乌日音图雅至顺昕农牧业有限公司农村道路工程砂砾采购项目</w:t>
      </w:r>
      <w:r>
        <w:rPr>
          <w:rFonts w:hint="eastAsia" w:ascii="宋体" w:hAnsi="宋体" w:eastAsia="宋体" w:cs="宋体"/>
          <w:color w:val="auto"/>
          <w:sz w:val="24"/>
          <w:highlight w:val="none"/>
        </w:rPr>
        <w:t>。采购人为</w:t>
      </w:r>
      <w:r>
        <w:rPr>
          <w:rFonts w:hint="eastAsia" w:ascii="宋体" w:hAnsi="宋体" w:cs="宋体"/>
          <w:b/>
          <w:color w:val="auto"/>
          <w:sz w:val="24"/>
          <w:highlight w:val="none"/>
          <w:u w:val="single"/>
          <w:lang w:eastAsia="zh-CN"/>
        </w:rPr>
        <w:t>内蒙古交通集团蒙通养护有限责任公司工程分公司</w:t>
      </w:r>
      <w:r>
        <w:rPr>
          <w:rFonts w:hint="eastAsia" w:ascii="宋体" w:hAnsi="宋体" w:eastAsia="宋体" w:cs="宋体"/>
          <w:color w:val="auto"/>
          <w:kern w:val="0"/>
          <w:sz w:val="24"/>
          <w:highlight w:val="none"/>
        </w:rPr>
        <w:t>，采购代理为</w:t>
      </w:r>
      <w:r>
        <w:rPr>
          <w:rFonts w:hint="eastAsia" w:ascii="宋体" w:hAnsi="宋体" w:eastAsia="宋体" w:cs="宋体"/>
          <w:b/>
          <w:color w:val="auto"/>
          <w:kern w:val="0"/>
          <w:sz w:val="24"/>
          <w:highlight w:val="none"/>
          <w:u w:val="single"/>
          <w:lang w:eastAsia="zh-CN"/>
        </w:rPr>
        <w:t>瑞和安惠项目管理集团有限公司</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项目已具备采购条件，</w:t>
      </w:r>
      <w:r>
        <w:rPr>
          <w:rFonts w:hint="eastAsia" w:ascii="宋体" w:hAnsi="宋体" w:eastAsia="宋体" w:cs="宋体"/>
          <w:color w:val="auto"/>
          <w:kern w:val="0"/>
          <w:sz w:val="24"/>
          <w:highlight w:val="none"/>
        </w:rPr>
        <w:t>现对本项目进行询比采购活动。</w:t>
      </w:r>
    </w:p>
    <w:p w14:paraId="4458D90B">
      <w:pPr>
        <w:spacing w:line="240" w:lineRule="auto"/>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 xml:space="preserve">2.采购范围及相关要求 </w:t>
      </w:r>
    </w:p>
    <w:p w14:paraId="620D3263">
      <w:pPr>
        <w:tabs>
          <w:tab w:val="left" w:pos="3986"/>
        </w:tabs>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2.1 项目概况</w:t>
      </w:r>
    </w:p>
    <w:p w14:paraId="7C35FEAC">
      <w:pPr>
        <w:tabs>
          <w:tab w:val="left" w:pos="3986"/>
        </w:tabs>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eastAsia="zh-CN"/>
        </w:rPr>
        <w:t>内蒙古交通集团蒙通养护有限责任公司工程分公司C020至阿拉善盟德吉双峰驼产业专业合作社农村道路、乌日音图雅至顺昕农牧业有限公司农村道路工程砂砾采购项目</w:t>
      </w:r>
      <w:r>
        <w:rPr>
          <w:rFonts w:hint="eastAsia" w:ascii="宋体" w:hAnsi="宋体" w:eastAsia="宋体" w:cs="宋体"/>
          <w:color w:val="auto"/>
          <w:sz w:val="24"/>
          <w:highlight w:val="none"/>
        </w:rPr>
        <w:t>。</w:t>
      </w:r>
    </w:p>
    <w:p w14:paraId="3D815E11">
      <w:pPr>
        <w:spacing w:line="384"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 xml:space="preserve"> 合同包划分</w:t>
      </w:r>
      <w:r>
        <w:rPr>
          <w:rFonts w:hint="eastAsia" w:ascii="宋体" w:hAnsi="宋体" w:eastAsia="宋体" w:cs="宋体"/>
          <w:color w:val="auto"/>
          <w:sz w:val="24"/>
          <w:szCs w:val="22"/>
          <w:highlight w:val="none"/>
        </w:rPr>
        <w:t>及采购范围</w:t>
      </w:r>
    </w:p>
    <w:p w14:paraId="62A56DB8">
      <w:pPr>
        <w:tabs>
          <w:tab w:val="left" w:pos="3986"/>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highlight w:val="none"/>
          <w:lang w:eastAsia="zh-CN"/>
        </w:rPr>
        <w:t>内蒙古交通集团蒙通养护有限责任公司工程分公司C020至阿拉善盟德吉双峰驼产业专业合作社农村道路、乌日音图雅至顺昕农牧业有限公司农村道路工程砂砾采购项目</w:t>
      </w:r>
      <w:r>
        <w:rPr>
          <w:rFonts w:hint="eastAsia" w:ascii="宋体" w:hAnsi="宋体" w:eastAsia="宋体" w:cs="宋体"/>
          <w:color w:val="auto"/>
          <w:kern w:val="0"/>
          <w:sz w:val="24"/>
          <w:highlight w:val="none"/>
        </w:rPr>
        <w:t>共划分为</w:t>
      </w:r>
      <w:r>
        <w:rPr>
          <w:rFonts w:hint="eastAsia" w:ascii="宋体" w:hAnsi="宋体" w:cs="宋体"/>
          <w:b/>
          <w:color w:val="auto"/>
          <w:kern w:val="0"/>
          <w:sz w:val="24"/>
          <w:highlight w:val="none"/>
          <w:u w:val="single"/>
          <w:lang w:val="en-US" w:eastAsia="zh-CN"/>
        </w:rPr>
        <w:t>1</w:t>
      </w:r>
      <w:r>
        <w:rPr>
          <w:rFonts w:hint="eastAsia" w:ascii="宋体" w:hAnsi="宋体" w:eastAsia="宋体" w:cs="宋体"/>
          <w:color w:val="auto"/>
          <w:kern w:val="0"/>
          <w:sz w:val="24"/>
          <w:highlight w:val="none"/>
        </w:rPr>
        <w:t>个</w:t>
      </w:r>
      <w:r>
        <w:rPr>
          <w:rFonts w:hint="eastAsia" w:ascii="宋体" w:hAnsi="宋体" w:eastAsia="宋体" w:cs="宋体"/>
          <w:color w:val="auto"/>
          <w:kern w:val="0"/>
          <w:sz w:val="24"/>
          <w:highlight w:val="none"/>
          <w:lang w:val="en-US" w:eastAsia="zh-CN"/>
        </w:rPr>
        <w:t>标段，</w:t>
      </w:r>
      <w:r>
        <w:rPr>
          <w:rFonts w:hint="eastAsia" w:ascii="宋体" w:hAnsi="宋体" w:eastAsia="宋体" w:cs="宋体"/>
          <w:color w:val="auto"/>
          <w:kern w:val="0"/>
          <w:sz w:val="24"/>
          <w:highlight w:val="none"/>
        </w:rPr>
        <w:t>具体</w:t>
      </w:r>
      <w:r>
        <w:rPr>
          <w:rFonts w:hint="eastAsia" w:ascii="宋体" w:hAnsi="宋体" w:eastAsia="宋体" w:cs="宋体"/>
          <w:color w:val="auto"/>
          <w:kern w:val="0"/>
          <w:sz w:val="24"/>
          <w:highlight w:val="none"/>
          <w:lang w:val="en-US" w:eastAsia="zh-CN"/>
        </w:rPr>
        <w:t>标段</w:t>
      </w:r>
      <w:r>
        <w:rPr>
          <w:rFonts w:hint="eastAsia" w:ascii="宋体" w:hAnsi="宋体" w:eastAsia="宋体" w:cs="宋体"/>
          <w:color w:val="auto"/>
          <w:kern w:val="0"/>
          <w:sz w:val="24"/>
          <w:highlight w:val="none"/>
        </w:rPr>
        <w:t>划分情况如下：</w:t>
      </w:r>
    </w:p>
    <w:tbl>
      <w:tblPr>
        <w:tblStyle w:val="3"/>
        <w:tblW w:w="9119"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3962"/>
        <w:gridCol w:w="5157"/>
      </w:tblGrid>
      <w:tr w14:paraId="2182D348">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63" w:hRule="atLeast"/>
          <w:jc w:val="center"/>
        </w:trPr>
        <w:tc>
          <w:tcPr>
            <w:tcW w:w="3962" w:type="dxa"/>
            <w:tcBorders>
              <w:tl2br w:val="nil"/>
              <w:tr2bl w:val="nil"/>
            </w:tcBorders>
            <w:noWrap w:val="0"/>
            <w:vAlign w:val="center"/>
          </w:tcPr>
          <w:p w14:paraId="7C16F1CB">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采购内容</w:t>
            </w:r>
          </w:p>
        </w:tc>
        <w:tc>
          <w:tcPr>
            <w:tcW w:w="5157" w:type="dxa"/>
            <w:tcBorders>
              <w:tl2br w:val="nil"/>
              <w:tr2bl w:val="nil"/>
            </w:tcBorders>
            <w:noWrap w:val="0"/>
            <w:vAlign w:val="center"/>
          </w:tcPr>
          <w:p w14:paraId="51BBF9B6">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技术规格参数</w:t>
            </w:r>
          </w:p>
        </w:tc>
      </w:tr>
      <w:tr w14:paraId="124B1804">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717" w:hRule="atLeast"/>
          <w:jc w:val="center"/>
        </w:trPr>
        <w:tc>
          <w:tcPr>
            <w:tcW w:w="3962" w:type="dxa"/>
            <w:tcBorders>
              <w:tl2br w:val="nil"/>
              <w:tr2bl w:val="nil"/>
            </w:tcBorders>
            <w:noWrap w:val="0"/>
            <w:vAlign w:val="center"/>
          </w:tcPr>
          <w:p w14:paraId="3A39ACDC">
            <w:pPr>
              <w:keepNext w:val="0"/>
              <w:keepLines w:val="0"/>
              <w:pageBreakBefore w:val="0"/>
              <w:widowControl w:val="0"/>
              <w:kinsoku/>
              <w:wordWrap w:val="0"/>
              <w:overflowPunct/>
              <w:topLinePunct w:val="0"/>
              <w:autoSpaceDE/>
              <w:autoSpaceDN/>
              <w:bidi w:val="0"/>
              <w:adjustRightInd/>
              <w:snapToGrid/>
              <w:jc w:val="center"/>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C020至阿拉善盟德吉双峰驼产业专业合作社农村道路、乌日音图雅至顺昕农牧业有限公司农村道路工程砂砾采购项目</w:t>
            </w:r>
          </w:p>
        </w:tc>
        <w:tc>
          <w:tcPr>
            <w:tcW w:w="5157" w:type="dxa"/>
            <w:tcBorders>
              <w:tl2br w:val="nil"/>
              <w:tr2bl w:val="nil"/>
            </w:tcBorders>
            <w:noWrap w:val="0"/>
            <w:vAlign w:val="center"/>
          </w:tcPr>
          <w:p w14:paraId="5A63EDEE">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技术规格参数详见询比采购文件第五章</w:t>
            </w:r>
          </w:p>
        </w:tc>
      </w:tr>
    </w:tbl>
    <w:p w14:paraId="3E632CE3">
      <w:pPr>
        <w:tabs>
          <w:tab w:val="left" w:pos="3986"/>
        </w:tabs>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质量要求：质量符合国家及行业相关规范要求</w:t>
      </w:r>
    </w:p>
    <w:p w14:paraId="594ABD65">
      <w:pPr>
        <w:tabs>
          <w:tab w:val="left" w:pos="3986"/>
        </w:tabs>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质保期：交工验收合格之日起算2年</w:t>
      </w:r>
    </w:p>
    <w:p w14:paraId="390F22EB">
      <w:pPr>
        <w:tabs>
          <w:tab w:val="left" w:pos="3986"/>
        </w:tabs>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供货期：自合同签订之日起开工，全部工作须于2026年10月31日前完成并通过甲方验收；本工期以项目总大合同竣工节点为依据，主合同工期经合法审批顺延的，本合同完工日期同步顺延。</w:t>
      </w:r>
    </w:p>
    <w:p w14:paraId="11007E78">
      <w:pPr>
        <w:tabs>
          <w:tab w:val="left" w:pos="3986"/>
        </w:tabs>
        <w:spacing w:line="360" w:lineRule="auto"/>
        <w:ind w:firstLine="480" w:firstLineChars="200"/>
        <w:rPr>
          <w:rFonts w:hint="eastAsia"/>
          <w:color w:val="auto"/>
          <w:highlight w:val="none"/>
          <w:lang w:val="en-US" w:eastAsia="zh-CN"/>
        </w:rPr>
      </w:pPr>
      <w:r>
        <w:rPr>
          <w:rFonts w:hint="eastAsia" w:ascii="宋体" w:hAnsi="宋体" w:cs="宋体"/>
          <w:color w:val="auto"/>
          <w:sz w:val="24"/>
          <w:highlight w:val="none"/>
          <w:lang w:val="en-US" w:eastAsia="zh-CN"/>
        </w:rPr>
        <w:t xml:space="preserve">项目实施地点：内蒙古自治区阿拉善盟。 </w:t>
      </w:r>
    </w:p>
    <w:p w14:paraId="4746A0E2">
      <w:pPr>
        <w:tabs>
          <w:tab w:val="left" w:pos="3986"/>
        </w:tabs>
        <w:spacing w:line="360" w:lineRule="auto"/>
        <w:ind w:firstLine="480" w:firstLineChars="200"/>
        <w:rPr>
          <w:rFonts w:hint="eastAsia" w:ascii="宋体" w:hAnsi="宋体" w:eastAsia="宋体" w:cs="宋体"/>
          <w:b/>
          <w:bCs/>
          <w:color w:val="auto"/>
          <w:kern w:val="0"/>
          <w:sz w:val="28"/>
          <w:szCs w:val="28"/>
          <w:highlight w:val="none"/>
        </w:rPr>
      </w:pPr>
      <w:r>
        <w:rPr>
          <w:rFonts w:hint="eastAsia" w:ascii="宋体" w:hAnsi="宋体" w:cs="宋体"/>
          <w:color w:val="auto"/>
          <w:sz w:val="24"/>
          <w:highlight w:val="none"/>
          <w:lang w:val="en-US" w:eastAsia="zh-CN"/>
        </w:rPr>
        <w:t>2.3其他要求：供应商在提交响应文件时，即表示已全面认同采购文件中的所有条款。一旦成交，成交人在签署合同时，必须严格遵守合同条款，非必要不得进行任何修改。</w:t>
      </w:r>
    </w:p>
    <w:p w14:paraId="10687715">
      <w:pPr>
        <w:spacing w:line="240" w:lineRule="auto"/>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3.供应商资格要求</w:t>
      </w:r>
    </w:p>
    <w:p w14:paraId="3CDBDE8C">
      <w:pPr>
        <w:tabs>
          <w:tab w:val="left" w:pos="360"/>
        </w:tabs>
        <w:topLinePunct/>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3.1供应商须为中华人民共和国境内依法注册的独立法人，能提供合法有效的营业执照(三证合一）；</w:t>
      </w:r>
    </w:p>
    <w:p w14:paraId="0684607F">
      <w:pPr>
        <w:tabs>
          <w:tab w:val="left" w:pos="360"/>
        </w:tabs>
        <w:topLinePunct/>
        <w:spacing w:line="360" w:lineRule="auto"/>
        <w:ind w:firstLine="480" w:firstLineChars="200"/>
        <w:rPr>
          <w:rFonts w:hint="eastAsia" w:ascii="宋体" w:hAnsi="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3.2供应商须具有开户许可证（或基本存款账户信息）</w:t>
      </w:r>
      <w:r>
        <w:rPr>
          <w:rFonts w:hint="eastAsia" w:ascii="宋体" w:hAnsi="宋体" w:cs="宋体"/>
          <w:b w:val="0"/>
          <w:bCs/>
          <w:color w:val="auto"/>
          <w:sz w:val="24"/>
          <w:szCs w:val="24"/>
          <w:highlight w:val="none"/>
          <w:lang w:val="en-US" w:eastAsia="zh-CN"/>
        </w:rPr>
        <w:t>。</w:t>
      </w:r>
    </w:p>
    <w:p w14:paraId="46A3A354">
      <w:pPr>
        <w:tabs>
          <w:tab w:val="left" w:pos="360"/>
        </w:tabs>
        <w:topLinePunct/>
        <w:spacing w:line="360" w:lineRule="auto"/>
        <w:ind w:firstLine="480" w:firstLineChars="200"/>
        <w:rPr>
          <w:rFonts w:hint="eastAsia" w:ascii="宋体" w:hAnsi="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3.3供应商未处于被责令停业、投标资格被取消或财产被冻结等(声明格式自拟)；</w:t>
      </w:r>
    </w:p>
    <w:p w14:paraId="6CB10B59">
      <w:pPr>
        <w:tabs>
          <w:tab w:val="left" w:pos="360"/>
        </w:tabs>
        <w:topLinePunct/>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3.4法定代表人（负责人）为同一人或者存在控股、管理关系的不同供应商，不得同时参与本项目采购活动，否则相关投标（响应）均无效。（声明格式自拟）</w:t>
      </w:r>
    </w:p>
    <w:p w14:paraId="43A424CD">
      <w:pPr>
        <w:tabs>
          <w:tab w:val="left" w:pos="360"/>
        </w:tabs>
        <w:topLinePunct/>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3.5供应商未被“信用中国”（</w:t>
      </w:r>
      <w:r>
        <w:rPr>
          <w:rFonts w:hint="eastAsia" w:ascii="宋体" w:hAnsi="宋体" w:eastAsia="宋体" w:cs="宋体"/>
          <w:b w:val="0"/>
          <w:bCs/>
          <w:color w:val="auto"/>
          <w:sz w:val="24"/>
          <w:szCs w:val="24"/>
          <w:highlight w:val="none"/>
          <w:lang w:val="en-US" w:eastAsia="zh-CN"/>
        </w:rPr>
        <w:fldChar w:fldCharType="begin"/>
      </w:r>
      <w:r>
        <w:rPr>
          <w:rFonts w:hint="eastAsia" w:ascii="宋体" w:hAnsi="宋体" w:eastAsia="宋体" w:cs="宋体"/>
          <w:b w:val="0"/>
          <w:bCs/>
          <w:color w:val="auto"/>
          <w:sz w:val="24"/>
          <w:szCs w:val="24"/>
          <w:highlight w:val="none"/>
          <w:lang w:val="en-US" w:eastAsia="zh-CN"/>
        </w:rPr>
        <w:instrText xml:space="preserve">HYPERLINK "https://www.creditchina.gov.cn"</w:instrText>
      </w:r>
      <w:r>
        <w:rPr>
          <w:rFonts w:hint="eastAsia" w:ascii="宋体" w:hAnsi="宋体" w:eastAsia="宋体" w:cs="宋体"/>
          <w:b w:val="0"/>
          <w:bCs/>
          <w:color w:val="auto"/>
          <w:sz w:val="24"/>
          <w:szCs w:val="24"/>
          <w:highlight w:val="none"/>
          <w:lang w:val="en-US" w:eastAsia="zh-CN"/>
        </w:rPr>
        <w:fldChar w:fldCharType="separate"/>
      </w:r>
      <w:r>
        <w:rPr>
          <w:rFonts w:hint="eastAsia" w:ascii="宋体" w:hAnsi="宋体" w:eastAsia="宋体" w:cs="宋体"/>
          <w:b w:val="0"/>
          <w:bCs/>
          <w:color w:val="auto"/>
          <w:sz w:val="24"/>
          <w:szCs w:val="24"/>
          <w:highlight w:val="none"/>
          <w:lang w:val="en-US" w:eastAsia="zh-CN"/>
        </w:rPr>
        <w:t>https://www.creditchina.gov.cn</w:t>
      </w:r>
      <w:r>
        <w:rPr>
          <w:rFonts w:hint="eastAsia" w:ascii="宋体" w:hAnsi="宋体" w:eastAsia="宋体" w:cs="宋体"/>
          <w:b w:val="0"/>
          <w:bCs/>
          <w:color w:val="auto"/>
          <w:sz w:val="24"/>
          <w:szCs w:val="24"/>
          <w:highlight w:val="none"/>
          <w:lang w:val="en-US" w:eastAsia="zh-CN"/>
        </w:rPr>
        <w:fldChar w:fldCharType="end"/>
      </w:r>
      <w:r>
        <w:rPr>
          <w:rFonts w:hint="eastAsia" w:ascii="宋体" w:hAnsi="宋体" w:eastAsia="宋体" w:cs="宋体"/>
          <w:b w:val="0"/>
          <w:bCs/>
          <w:color w:val="auto"/>
          <w:sz w:val="24"/>
          <w:szCs w:val="24"/>
          <w:highlight w:val="none"/>
          <w:lang w:val="en-US" w:eastAsia="zh-CN"/>
        </w:rPr>
        <w:t>）列入重大税收违法失信主体、未被“中国执行信息公开网（</w:t>
      </w:r>
      <w:r>
        <w:rPr>
          <w:rFonts w:hint="eastAsia" w:ascii="宋体" w:hAnsi="宋体" w:eastAsia="宋体" w:cs="宋体"/>
          <w:b w:val="0"/>
          <w:bCs/>
          <w:color w:val="auto"/>
          <w:sz w:val="24"/>
          <w:szCs w:val="24"/>
          <w:highlight w:val="none"/>
          <w:lang w:val="en-US" w:eastAsia="zh-CN"/>
        </w:rPr>
        <w:fldChar w:fldCharType="begin"/>
      </w:r>
      <w:r>
        <w:rPr>
          <w:rFonts w:hint="eastAsia" w:ascii="宋体" w:hAnsi="宋体" w:eastAsia="宋体" w:cs="宋体"/>
          <w:b w:val="0"/>
          <w:bCs/>
          <w:color w:val="auto"/>
          <w:sz w:val="24"/>
          <w:szCs w:val="24"/>
          <w:highlight w:val="none"/>
          <w:lang w:val="en-US" w:eastAsia="zh-CN"/>
        </w:rPr>
        <w:instrText xml:space="preserve">HYPERLINK "http://zxgk.court.gov.cn/shixin"</w:instrText>
      </w:r>
      <w:r>
        <w:rPr>
          <w:rFonts w:hint="eastAsia" w:ascii="宋体" w:hAnsi="宋体" w:eastAsia="宋体" w:cs="宋体"/>
          <w:b w:val="0"/>
          <w:bCs/>
          <w:color w:val="auto"/>
          <w:sz w:val="24"/>
          <w:szCs w:val="24"/>
          <w:highlight w:val="none"/>
          <w:lang w:val="en-US" w:eastAsia="zh-CN"/>
        </w:rPr>
        <w:fldChar w:fldCharType="separate"/>
      </w:r>
      <w:r>
        <w:rPr>
          <w:rFonts w:hint="eastAsia" w:ascii="宋体" w:hAnsi="宋体" w:eastAsia="宋体" w:cs="宋体"/>
          <w:b w:val="0"/>
          <w:bCs/>
          <w:color w:val="auto"/>
          <w:sz w:val="24"/>
          <w:szCs w:val="24"/>
          <w:highlight w:val="none"/>
          <w:lang w:val="en-US" w:eastAsia="zh-CN"/>
        </w:rPr>
        <w:t>http://zxgk.court.gov.cn/shixin</w:t>
      </w:r>
      <w:r>
        <w:rPr>
          <w:rFonts w:hint="eastAsia" w:ascii="宋体" w:hAnsi="宋体" w:eastAsia="宋体" w:cs="宋体"/>
          <w:b w:val="0"/>
          <w:bCs/>
          <w:color w:val="auto"/>
          <w:sz w:val="24"/>
          <w:szCs w:val="24"/>
          <w:highlight w:val="none"/>
          <w:lang w:val="en-US" w:eastAsia="zh-CN"/>
        </w:rPr>
        <w:fldChar w:fldCharType="end"/>
      </w:r>
      <w:r>
        <w:rPr>
          <w:rFonts w:hint="eastAsia" w:ascii="宋体" w:hAnsi="宋体" w:eastAsia="宋体" w:cs="宋体"/>
          <w:b w:val="0"/>
          <w:bCs/>
          <w:color w:val="auto"/>
          <w:sz w:val="24"/>
          <w:szCs w:val="24"/>
          <w:highlight w:val="none"/>
          <w:lang w:val="en-US" w:eastAsia="zh-CN"/>
        </w:rPr>
        <w:t>）”列入失信被执行人名单；</w:t>
      </w:r>
    </w:p>
    <w:p w14:paraId="5473A556">
      <w:pPr>
        <w:tabs>
          <w:tab w:val="left" w:pos="360"/>
        </w:tabs>
        <w:topLinePunct/>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3.6供应商未被“国家企业信用信息公示系统”（</w:t>
      </w:r>
      <w:r>
        <w:rPr>
          <w:rFonts w:hint="eastAsia" w:ascii="宋体" w:hAnsi="宋体" w:eastAsia="宋体" w:cs="宋体"/>
          <w:b w:val="0"/>
          <w:bCs/>
          <w:color w:val="auto"/>
          <w:sz w:val="24"/>
          <w:szCs w:val="24"/>
          <w:highlight w:val="none"/>
          <w:lang w:val="en-US" w:eastAsia="zh-CN"/>
        </w:rPr>
        <w:fldChar w:fldCharType="begin"/>
      </w:r>
      <w:r>
        <w:rPr>
          <w:rFonts w:hint="eastAsia" w:ascii="宋体" w:hAnsi="宋体" w:eastAsia="宋体" w:cs="宋体"/>
          <w:b w:val="0"/>
          <w:bCs/>
          <w:color w:val="auto"/>
          <w:sz w:val="24"/>
          <w:szCs w:val="24"/>
          <w:highlight w:val="none"/>
          <w:lang w:val="en-US" w:eastAsia="zh-CN"/>
        </w:rPr>
        <w:instrText xml:space="preserve">HYPERLINK "http://www.gsxt.gov.cn"</w:instrText>
      </w:r>
      <w:r>
        <w:rPr>
          <w:rFonts w:hint="eastAsia" w:ascii="宋体" w:hAnsi="宋体" w:eastAsia="宋体" w:cs="宋体"/>
          <w:b w:val="0"/>
          <w:bCs/>
          <w:color w:val="auto"/>
          <w:sz w:val="24"/>
          <w:szCs w:val="24"/>
          <w:highlight w:val="none"/>
          <w:lang w:val="en-US" w:eastAsia="zh-CN"/>
        </w:rPr>
        <w:fldChar w:fldCharType="separate"/>
      </w:r>
      <w:r>
        <w:rPr>
          <w:rFonts w:hint="eastAsia" w:ascii="宋体" w:hAnsi="宋体" w:eastAsia="宋体" w:cs="宋体"/>
          <w:b w:val="0"/>
          <w:bCs/>
          <w:color w:val="auto"/>
          <w:sz w:val="24"/>
          <w:szCs w:val="24"/>
          <w:highlight w:val="none"/>
          <w:lang w:val="en-US" w:eastAsia="zh-CN"/>
        </w:rPr>
        <w:t>http://www.gsxt.gov.cn</w:t>
      </w:r>
      <w:r>
        <w:rPr>
          <w:rFonts w:hint="eastAsia" w:ascii="宋体" w:hAnsi="宋体" w:eastAsia="宋体" w:cs="宋体"/>
          <w:b w:val="0"/>
          <w:bCs/>
          <w:color w:val="auto"/>
          <w:sz w:val="24"/>
          <w:szCs w:val="24"/>
          <w:highlight w:val="none"/>
          <w:lang w:val="en-US" w:eastAsia="zh-CN"/>
        </w:rPr>
        <w:fldChar w:fldCharType="end"/>
      </w:r>
      <w:r>
        <w:rPr>
          <w:rFonts w:hint="eastAsia" w:ascii="宋体" w:hAnsi="宋体" w:eastAsia="宋体" w:cs="宋体"/>
          <w:b w:val="0"/>
          <w:bCs/>
          <w:color w:val="auto"/>
          <w:sz w:val="24"/>
          <w:szCs w:val="24"/>
          <w:highlight w:val="none"/>
          <w:lang w:val="en-US" w:eastAsia="zh-CN"/>
        </w:rPr>
        <w:t>）列入严重违法失信企业名单；</w:t>
      </w:r>
    </w:p>
    <w:p w14:paraId="18DDDC92">
      <w:pPr>
        <w:tabs>
          <w:tab w:val="left" w:pos="360"/>
        </w:tabs>
        <w:topLinePunct/>
        <w:spacing w:line="360" w:lineRule="auto"/>
        <w:ind w:firstLine="480" w:firstLineChars="200"/>
        <w:rPr>
          <w:rFonts w:hint="eastAsia" w:ascii="宋体" w:hAnsi="宋体" w:eastAsia="宋体" w:cs="宋体"/>
          <w:color w:val="auto"/>
          <w:sz w:val="24"/>
          <w:szCs w:val="22"/>
          <w:highlight w:val="none"/>
          <w:lang w:eastAsia="zh-CN"/>
        </w:rPr>
      </w:pPr>
      <w:r>
        <w:rPr>
          <w:rFonts w:hint="eastAsia" w:ascii="宋体" w:hAnsi="宋体" w:eastAsia="宋体" w:cs="宋体"/>
          <w:b w:val="0"/>
          <w:bCs/>
          <w:color w:val="auto"/>
          <w:sz w:val="24"/>
          <w:szCs w:val="24"/>
          <w:highlight w:val="none"/>
          <w:lang w:val="en-US" w:eastAsia="zh-CN"/>
        </w:rPr>
        <w:t>3.7供应商及法定代表人通过“中国裁判文书网”网站（http://wenshu.court.gov.cn）查询近三年内（2023年1月1日至响应文件递交截止时间）无行贿犯罪记录。（</w:t>
      </w:r>
      <w:r>
        <w:rPr>
          <w:rFonts w:hint="eastAsia" w:ascii="宋体" w:hAnsi="宋体" w:eastAsia="宋体" w:cs="宋体"/>
          <w:color w:val="auto"/>
          <w:sz w:val="24"/>
          <w:szCs w:val="22"/>
          <w:highlight w:val="none"/>
          <w:lang w:eastAsia="zh-CN"/>
        </w:rPr>
        <w:t>操作流程：进“中国裁判文书网”，点击进入“高级检索”，在“全文检索”中输入单位全称，在“案由”选项中点选“贪污贿赂”子目中的“行贿罪”子目，选择后进行检索；）</w:t>
      </w:r>
    </w:p>
    <w:p w14:paraId="645048FD">
      <w:pPr>
        <w:tabs>
          <w:tab w:val="left" w:pos="360"/>
        </w:tabs>
        <w:topLinePunct/>
        <w:spacing w:line="360" w:lineRule="auto"/>
        <w:ind w:firstLine="480" w:firstLineChars="200"/>
        <w:rPr>
          <w:rFonts w:hint="default"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3.8本项目不允许联合体投标；</w:t>
      </w:r>
    </w:p>
    <w:p w14:paraId="1A2C0B3E">
      <w:pPr>
        <w:tabs>
          <w:tab w:val="left" w:pos="360"/>
        </w:tabs>
        <w:topLinePunct/>
        <w:spacing w:line="360" w:lineRule="auto"/>
        <w:ind w:firstLine="480" w:firstLineChars="200"/>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3.9供应商不得违反《商务部环境保护部工业和信息化部关于印发《企业绿色采购指南(试行)》的通知》的相关要求。</w:t>
      </w:r>
    </w:p>
    <w:p w14:paraId="072B5314">
      <w:pPr>
        <w:tabs>
          <w:tab w:val="left" w:pos="360"/>
        </w:tabs>
        <w:topLinePunct/>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3.10依据中招联合平台出具的围串标分析结果，经评标委员会仔细甄别，若投标文件存在同一IP或同一硬件特征码或同一上传硬件信息等情形则视为围串标情形，招标人将存在围串标情形的单位否决其投标。</w:t>
      </w:r>
    </w:p>
    <w:p w14:paraId="3033202B">
      <w:pPr>
        <w:tabs>
          <w:tab w:val="left" w:pos="360"/>
        </w:tabs>
        <w:topLinePunct/>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3.11【关于围标、串标行为的认定与处理规定】:</w:t>
      </w:r>
    </w:p>
    <w:p w14:paraId="0569AA9A">
      <w:pPr>
        <w:tabs>
          <w:tab w:val="left" w:pos="360"/>
        </w:tabs>
        <w:topLinePunct/>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3.11.1视为围、串标。在开、评标过程中，经确认存在列下列围标、串标行为的，相关投标人的投标将被作否决投标处理，并直接列入“蒙通养护”黑名单，为期两年。</w:t>
      </w:r>
    </w:p>
    <w:p w14:paraId="49F07469">
      <w:pPr>
        <w:tabs>
          <w:tab w:val="left" w:pos="360"/>
        </w:tabs>
        <w:topLinePunct/>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3.11.2视为围、串标的具体情形如下：</w:t>
      </w:r>
    </w:p>
    <w:p w14:paraId="3BB42F8C">
      <w:pPr>
        <w:numPr>
          <w:ilvl w:val="0"/>
          <w:numId w:val="1"/>
        </w:numPr>
        <w:tabs>
          <w:tab w:val="left" w:pos="360"/>
        </w:tabs>
        <w:topLinePunct/>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不同投标人的投标文件由同一电子设备编制、修改、加密或上传的；</w:t>
      </w:r>
    </w:p>
    <w:p w14:paraId="35D16626">
      <w:pPr>
        <w:numPr>
          <w:ilvl w:val="0"/>
          <w:numId w:val="1"/>
        </w:numPr>
        <w:tabs>
          <w:tab w:val="left" w:pos="360"/>
        </w:tabs>
        <w:topLinePunct/>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不同投标人的投标文件电子文档记录的网卡（MAC）地址、中央处理器（CPU）序列号或硬盘序列号等硬件信息相同的；</w:t>
      </w:r>
    </w:p>
    <w:p w14:paraId="0839D44F">
      <w:pPr>
        <w:numPr>
          <w:ilvl w:val="0"/>
          <w:numId w:val="1"/>
        </w:numPr>
        <w:tabs>
          <w:tab w:val="left" w:pos="360"/>
        </w:tabs>
        <w:topLinePunct/>
        <w:spacing w:line="360" w:lineRule="auto"/>
        <w:ind w:firstLine="480" w:firstLineChars="200"/>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不同投标人的投标文件（包括电子资料、电子签章）相互混装的；</w:t>
      </w:r>
    </w:p>
    <w:p w14:paraId="2BBEBFD9">
      <w:pPr>
        <w:numPr>
          <w:ilvl w:val="0"/>
          <w:numId w:val="1"/>
        </w:numPr>
        <w:tabs>
          <w:tab w:val="left" w:pos="360"/>
        </w:tabs>
        <w:topLinePunct/>
        <w:spacing w:line="360" w:lineRule="auto"/>
        <w:ind w:firstLine="480" w:firstLineChars="200"/>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法律法规规定的其他串通投标行为。</w:t>
      </w:r>
    </w:p>
    <w:p w14:paraId="38B4B927">
      <w:pPr>
        <w:tabs>
          <w:tab w:val="left" w:pos="360"/>
        </w:tabs>
        <w:topLinePunct/>
        <w:spacing w:line="360" w:lineRule="auto"/>
        <w:ind w:left="479" w:leftChars="228" w:firstLine="0" w:firstLineChars="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3.11.3疑似围、 串标。对于疑似围标、串标行为，将提交评审委员会后拟否决投标处理。3.11.4疑似围、 串标具体情形如下：</w:t>
      </w:r>
    </w:p>
    <w:p w14:paraId="0CDE63DC">
      <w:pPr>
        <w:numPr>
          <w:ilvl w:val="0"/>
          <w:numId w:val="2"/>
        </w:numPr>
        <w:tabs>
          <w:tab w:val="left" w:pos="360"/>
        </w:tabs>
        <w:topLinePunct/>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工商注册信息（地址、邮箱、联系电话等）一致；</w:t>
      </w:r>
    </w:p>
    <w:p w14:paraId="33085DA9">
      <w:pPr>
        <w:numPr>
          <w:ilvl w:val="0"/>
          <w:numId w:val="2"/>
        </w:numPr>
        <w:tabs>
          <w:tab w:val="left" w:pos="360"/>
        </w:tabs>
        <w:topLinePunct/>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法人、股东、监事等公司主要人员存在重复；</w:t>
      </w:r>
    </w:p>
    <w:p w14:paraId="4C06A32C">
      <w:pPr>
        <w:numPr>
          <w:ilvl w:val="0"/>
          <w:numId w:val="2"/>
        </w:numPr>
        <w:tabs>
          <w:tab w:val="left" w:pos="360"/>
        </w:tabs>
        <w:topLinePunct/>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不同投标人的投标文件格式、字体、排版、技术方案内容高度一致；</w:t>
      </w:r>
    </w:p>
    <w:p w14:paraId="49687771">
      <w:pPr>
        <w:numPr>
          <w:ilvl w:val="0"/>
          <w:numId w:val="2"/>
        </w:numPr>
        <w:tabs>
          <w:tab w:val="left" w:pos="360"/>
        </w:tabs>
        <w:topLinePunct/>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投标保证金采用保函缴纳时开具保函的机构相同且保函号码异常连续；</w:t>
      </w:r>
    </w:p>
    <w:p w14:paraId="2D2CA0DA">
      <w:pPr>
        <w:numPr>
          <w:ilvl w:val="0"/>
          <w:numId w:val="2"/>
        </w:numPr>
        <w:tabs>
          <w:tab w:val="left" w:pos="360"/>
        </w:tabs>
        <w:topLinePunct/>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不同投标人提供的信誉查询截图中显示网站登陆手机号一致；</w:t>
      </w:r>
    </w:p>
    <w:p w14:paraId="13165A21">
      <w:pPr>
        <w:numPr>
          <w:ilvl w:val="0"/>
          <w:numId w:val="2"/>
        </w:numPr>
        <w:tabs>
          <w:tab w:val="left" w:pos="360"/>
        </w:tabs>
        <w:topLinePunct/>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报价呈规律性差异；</w:t>
      </w:r>
    </w:p>
    <w:p w14:paraId="548CD8DC">
      <w:pPr>
        <w:numPr>
          <w:ilvl w:val="0"/>
          <w:numId w:val="2"/>
        </w:numPr>
        <w:tabs>
          <w:tab w:val="left" w:pos="360"/>
        </w:tabs>
        <w:topLinePunct/>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投标文件为同一作者；</w:t>
      </w:r>
    </w:p>
    <w:p w14:paraId="2F61AEBC">
      <w:pPr>
        <w:numPr>
          <w:ilvl w:val="0"/>
          <w:numId w:val="2"/>
        </w:numPr>
        <w:tabs>
          <w:tab w:val="left" w:pos="360"/>
        </w:tabs>
        <w:topLinePunct/>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其他疑似围、串标情形。</w:t>
      </w:r>
    </w:p>
    <w:p w14:paraId="0C449DCE">
      <w:pPr>
        <w:numPr>
          <w:ilvl w:val="0"/>
          <w:numId w:val="0"/>
        </w:numPr>
        <w:tabs>
          <w:tab w:val="left" w:pos="360"/>
          <w:tab w:val="left" w:pos="630"/>
        </w:tabs>
        <w:topLinePunct/>
        <w:spacing w:line="360" w:lineRule="auto"/>
        <w:ind w:firstLine="480" w:firstLineChars="200"/>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ab/>
      </w:r>
      <w:r>
        <w:rPr>
          <w:rFonts w:hint="eastAsia" w:ascii="宋体" w:hAnsi="宋体" w:eastAsia="宋体" w:cs="宋体"/>
          <w:b w:val="0"/>
          <w:bCs/>
          <w:color w:val="auto"/>
          <w:sz w:val="24"/>
          <w:szCs w:val="24"/>
          <w:highlight w:val="none"/>
          <w:lang w:val="en-US" w:eastAsia="zh-CN"/>
        </w:rPr>
        <w:t>3.11.5依据《招标人主体责任履行指引》第十五条要求，招标人将在招标文件中对上述投标文件异常一致、投标活动异常关联的情形做具体要求，在评标过程中或评标结束后允许投标人向评标委员会、招标人作出解释说明。若评标委员会、招标人经核查发现投标人确实存在串通投标弄虚作假等违法行为的，将按照法律法规规定进行处理。</w:t>
      </w:r>
    </w:p>
    <w:p w14:paraId="749E1931">
      <w:pPr>
        <w:spacing w:line="240" w:lineRule="auto"/>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4.报名方式及采购文件的获取</w:t>
      </w:r>
    </w:p>
    <w:p w14:paraId="2381C775">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4.</w:t>
      </w:r>
      <w:r>
        <w:rPr>
          <w:rFonts w:hint="eastAsia" w:ascii="宋体" w:hAnsi="宋体" w:eastAsia="宋体" w:cs="宋体"/>
          <w:color w:val="auto"/>
          <w:kern w:val="0"/>
          <w:sz w:val="24"/>
          <w:highlight w:val="none"/>
        </w:rPr>
        <w:t>1、获取时间：</w:t>
      </w:r>
      <w:r>
        <w:rPr>
          <w:rFonts w:hint="eastAsia" w:ascii="宋体" w:hAnsi="宋体" w:eastAsia="宋体" w:cs="宋体"/>
          <w:color w:val="auto"/>
          <w:kern w:val="0"/>
          <w:sz w:val="24"/>
          <w:highlight w:val="none"/>
        </w:rPr>
        <w:t>202</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lang w:val="en-US" w:eastAsia="zh-CN"/>
        </w:rPr>
        <w:t>07</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lang w:val="en-US" w:eastAsia="zh-CN"/>
        </w:rPr>
        <w:t>03</w:t>
      </w:r>
      <w:r>
        <w:rPr>
          <w:rFonts w:hint="eastAsia" w:ascii="宋体" w:hAnsi="宋体" w:eastAsia="宋体" w:cs="宋体"/>
          <w:color w:val="auto"/>
          <w:kern w:val="0"/>
          <w:sz w:val="24"/>
          <w:highlight w:val="none"/>
        </w:rPr>
        <w:t>日至202</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lang w:val="en-US" w:eastAsia="zh-CN"/>
        </w:rPr>
        <w:t>07</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lang w:val="en-US" w:eastAsia="zh-CN"/>
        </w:rPr>
        <w:t>05</w:t>
      </w:r>
      <w:r>
        <w:rPr>
          <w:rFonts w:hint="eastAsia" w:ascii="宋体" w:hAnsi="宋体" w:eastAsia="宋体" w:cs="宋体"/>
          <w:color w:val="auto"/>
          <w:kern w:val="0"/>
          <w:sz w:val="24"/>
          <w:highlight w:val="none"/>
        </w:rPr>
        <w:t>日</w:t>
      </w:r>
      <w:r>
        <w:rPr>
          <w:rFonts w:hint="eastAsia" w:ascii="宋体" w:hAnsi="宋体" w:eastAsia="宋体" w:cs="宋体"/>
          <w:color w:val="auto"/>
          <w:kern w:val="0"/>
          <w:sz w:val="24"/>
          <w:highlight w:val="none"/>
        </w:rPr>
        <w:t>，上午9:00-12:00，下午2:00-5:00（北京时间）。</w:t>
      </w:r>
    </w:p>
    <w:p w14:paraId="40DA57B9">
      <w:pPr>
        <w:keepNext w:val="0"/>
        <w:keepLines w:val="0"/>
        <w:pageBreakBefore w:val="0"/>
        <w:widowControl w:val="0"/>
        <w:kinsoku/>
        <w:wordWrap w:val="0"/>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4.</w:t>
      </w:r>
      <w:r>
        <w:rPr>
          <w:rFonts w:hint="eastAsia" w:ascii="宋体" w:hAnsi="宋体" w:eastAsia="宋体" w:cs="宋体"/>
          <w:color w:val="auto"/>
          <w:kern w:val="0"/>
          <w:sz w:val="24"/>
          <w:highlight w:val="none"/>
        </w:rPr>
        <w:t>2、获取方式：凡有意参与本项目的潜在供应商，请登录中招联合招标采购平台（www.365trade.com.cn）获取文件（已在该平台注册过的供应商请直接登录平台上传资料，未在该平台注册的供应商请先注册，平台注册为一次性免费注册,注册成功后，可以及时参与平台上所有发布的招标项目）。</w:t>
      </w:r>
    </w:p>
    <w:p w14:paraId="42B3E5F0">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4.</w:t>
      </w:r>
      <w:r>
        <w:rPr>
          <w:rFonts w:hint="eastAsia" w:ascii="宋体" w:hAnsi="宋体" w:eastAsia="宋体" w:cs="宋体"/>
          <w:color w:val="auto"/>
          <w:kern w:val="0"/>
          <w:sz w:val="24"/>
          <w:highlight w:val="none"/>
        </w:rPr>
        <w:t>3、平台</w:t>
      </w:r>
      <w:r>
        <w:rPr>
          <w:rFonts w:hint="eastAsia" w:ascii="宋体" w:hAnsi="宋体" w:cs="宋体"/>
          <w:color w:val="auto"/>
          <w:kern w:val="0"/>
          <w:sz w:val="24"/>
          <w:highlight w:val="none"/>
          <w:lang w:val="en-US" w:eastAsia="zh-CN"/>
        </w:rPr>
        <w:t>下载</w:t>
      </w:r>
      <w:r>
        <w:rPr>
          <w:rFonts w:hint="eastAsia" w:ascii="宋体" w:hAnsi="宋体" w:eastAsia="宋体" w:cs="宋体"/>
          <w:color w:val="auto"/>
          <w:kern w:val="0"/>
          <w:sz w:val="24"/>
          <w:highlight w:val="none"/>
        </w:rPr>
        <w:t>费</w:t>
      </w:r>
      <w:r>
        <w:rPr>
          <w:rFonts w:hint="eastAsia" w:ascii="宋体" w:hAnsi="宋体" w:eastAsia="宋体" w:cs="宋体"/>
          <w:color w:val="auto"/>
          <w:kern w:val="0"/>
          <w:sz w:val="24"/>
          <w:highlight w:val="none"/>
          <w:lang w:val="en-US" w:eastAsia="zh-CN"/>
        </w:rPr>
        <w:t>根据平台规定支付</w:t>
      </w:r>
      <w:r>
        <w:rPr>
          <w:rFonts w:hint="eastAsia" w:ascii="宋体" w:hAnsi="宋体" w:eastAsia="宋体" w:cs="宋体"/>
          <w:color w:val="auto"/>
          <w:kern w:val="0"/>
          <w:sz w:val="24"/>
          <w:highlight w:val="none"/>
        </w:rPr>
        <w:t>。</w:t>
      </w:r>
    </w:p>
    <w:p w14:paraId="3D2D61B3">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4.</w:t>
      </w:r>
      <w:r>
        <w:rPr>
          <w:rFonts w:hint="eastAsia" w:ascii="宋体" w:hAnsi="宋体" w:eastAsia="宋体" w:cs="宋体"/>
          <w:color w:val="auto"/>
          <w:kern w:val="0"/>
          <w:sz w:val="24"/>
          <w:highlight w:val="none"/>
        </w:rPr>
        <w:t>4、潜在供应商须通过平台填写“购标申请”，并上传公告要求提供的资料，资料全部粘贴到一个word上并转成PDF格式上传，请务必在标书售卖截止时间前登录中招联合招标采购平台（www.365trade.com.cn），进入“我的购物车”界面，选择招标项目进行采购文件购买操作，否则将无法获取电子版采购文件。</w:t>
      </w:r>
    </w:p>
    <w:p w14:paraId="73CEEEA0">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4.</w:t>
      </w:r>
      <w:r>
        <w:rPr>
          <w:rFonts w:hint="eastAsia" w:ascii="宋体" w:hAnsi="宋体" w:eastAsia="宋体" w:cs="宋体"/>
          <w:color w:val="auto"/>
          <w:kern w:val="0"/>
          <w:sz w:val="24"/>
          <w:highlight w:val="none"/>
        </w:rPr>
        <w:t>5、平台服务费发票由平台公司出具，供应商需要发票的，可通过“发票管理”下载平台服务费电子发票。</w:t>
      </w:r>
    </w:p>
    <w:p w14:paraId="1EB05E9B">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4.</w:t>
      </w:r>
      <w:r>
        <w:rPr>
          <w:rFonts w:hint="eastAsia" w:ascii="宋体" w:hAnsi="宋体" w:eastAsia="宋体" w:cs="宋体"/>
          <w:color w:val="auto"/>
          <w:kern w:val="0"/>
          <w:sz w:val="24"/>
          <w:highlight w:val="none"/>
        </w:rPr>
        <w:t>6、供应商完成费用支付后供应商即报名成功，获得下载采购文件的权限。未在报名截止前支付采购文件费用的供应商无法获得下载采购文件权限，且不具备参与本项目投标的资格。</w:t>
      </w:r>
    </w:p>
    <w:p w14:paraId="33322A31">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4.</w:t>
      </w:r>
      <w:r>
        <w:rPr>
          <w:rFonts w:hint="eastAsia" w:ascii="宋体" w:hAnsi="宋体" w:eastAsia="宋体" w:cs="宋体"/>
          <w:color w:val="auto"/>
          <w:kern w:val="0"/>
          <w:sz w:val="24"/>
          <w:highlight w:val="none"/>
        </w:rPr>
        <w:t>7、供应商针对供应商注册、报名、CA证书办理、网上应答操作等相关业务的咨询，请直接拨打中招联合招标采购平台咨询电话为：</w:t>
      </w:r>
      <w:r>
        <w:rPr>
          <w:rFonts w:hint="eastAsia" w:ascii="宋体" w:hAnsi="宋体" w:eastAsia="宋体" w:cs="宋体"/>
          <w:color w:val="auto"/>
          <w:kern w:val="0"/>
          <w:sz w:val="24"/>
          <w:highlight w:val="none"/>
          <w:lang w:eastAsia="zh-CN"/>
        </w:rPr>
        <w:t>400-903-3175</w:t>
      </w:r>
      <w:r>
        <w:rPr>
          <w:rFonts w:hint="eastAsia" w:ascii="宋体" w:hAnsi="宋体" w:eastAsia="宋体" w:cs="宋体"/>
          <w:color w:val="auto"/>
          <w:kern w:val="0"/>
          <w:sz w:val="24"/>
          <w:highlight w:val="none"/>
        </w:rPr>
        <w:t>；平台将确保下载者的购买信息在开标前对平台公司有关工作人员保密；如下载者主动与平台公司工作人员联系咨询事宜，则视为下载者主动放弃信息保密的权利，平台公司将不承担任何责任。</w:t>
      </w:r>
    </w:p>
    <w:p w14:paraId="777B6693">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4.</w:t>
      </w:r>
      <w:r>
        <w:rPr>
          <w:rFonts w:hint="eastAsia" w:ascii="宋体" w:hAnsi="宋体" w:eastAsia="宋体" w:cs="宋体"/>
          <w:color w:val="auto"/>
          <w:kern w:val="0"/>
          <w:sz w:val="24"/>
          <w:highlight w:val="none"/>
        </w:rPr>
        <w:t>8、供应商必须在制作电子投标文件之前完成CA证书的办理，并使用CA证书进行加密后才能投标；否则将无法正常投标。CA证书具体办理流程参见中招联合招标采购平台账户中“北京CA申请”“CA申请帮助”“CA办理指南”查看，也可拨打中招联合招标采购平台统一服务热线</w:t>
      </w:r>
      <w:r>
        <w:rPr>
          <w:rFonts w:hint="eastAsia" w:ascii="宋体" w:hAnsi="宋体" w:eastAsia="宋体" w:cs="宋体"/>
          <w:color w:val="auto"/>
          <w:kern w:val="0"/>
          <w:sz w:val="24"/>
          <w:highlight w:val="none"/>
          <w:lang w:eastAsia="zh-CN"/>
        </w:rPr>
        <w:t>400-903-3175</w:t>
      </w:r>
      <w:r>
        <w:rPr>
          <w:rFonts w:hint="eastAsia" w:ascii="宋体" w:hAnsi="宋体" w:eastAsia="宋体" w:cs="宋体"/>
          <w:color w:val="auto"/>
          <w:kern w:val="0"/>
          <w:sz w:val="24"/>
          <w:highlight w:val="none"/>
        </w:rPr>
        <w:t>进行咨询。</w:t>
      </w:r>
    </w:p>
    <w:p w14:paraId="6697F0A3">
      <w:pPr>
        <w:snapToGrid w:val="0"/>
        <w:spacing w:line="360" w:lineRule="auto"/>
        <w:ind w:firstLine="482" w:firstLineChars="200"/>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注：企业信息如有变更须具有发证机构出具的有效企业信息变更说明。供应商应对所提供的真实性、有效性负责，并确保所提供的资料均在有效期内，采购人及采购代理机构不保证已购买采购文件的潜在供应商均通过资格审查。</w:t>
      </w:r>
    </w:p>
    <w:p w14:paraId="4D009AAB">
      <w:pPr>
        <w:spacing w:line="240" w:lineRule="auto"/>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5.响应文件的递交及相关事宜</w:t>
      </w:r>
    </w:p>
    <w:p w14:paraId="134CB633">
      <w:pPr>
        <w:spacing w:line="360" w:lineRule="auto"/>
        <w:ind w:firstLine="477" w:firstLineChars="199"/>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5.1投标文件的上传/递交截止时间（投标截止时间，下同）</w:t>
      </w:r>
      <w:r>
        <w:rPr>
          <w:rFonts w:hint="eastAsia" w:ascii="宋体" w:hAnsi="宋体" w:eastAsia="宋体" w:cs="宋体"/>
          <w:color w:val="auto"/>
          <w:sz w:val="24"/>
          <w:szCs w:val="24"/>
          <w:highlight w:val="none"/>
          <w:lang w:eastAsia="zh-CN"/>
        </w:rPr>
        <w:t>2026年</w:t>
      </w:r>
      <w:r>
        <w:rPr>
          <w:rFonts w:hint="eastAsia" w:ascii="宋体" w:hAnsi="宋体" w:eastAsia="宋体" w:cs="宋体"/>
          <w:color w:val="auto"/>
          <w:sz w:val="24"/>
          <w:szCs w:val="24"/>
          <w:highlight w:val="none"/>
          <w:lang w:val="en-US" w:eastAsia="zh-CN"/>
        </w:rPr>
        <w:t>07</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07</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lang w:val="en-US" w:eastAsia="zh-CN"/>
        </w:rPr>
        <w:t>09</w:t>
      </w:r>
      <w:r>
        <w:rPr>
          <w:rFonts w:hint="eastAsia" w:ascii="宋体" w:hAnsi="宋体" w:eastAsia="宋体" w:cs="宋体"/>
          <w:color w:val="auto"/>
          <w:sz w:val="24"/>
          <w:szCs w:val="24"/>
          <w:highlight w:val="none"/>
          <w:lang w:eastAsia="zh-CN"/>
        </w:rPr>
        <w:t>时30</w:t>
      </w:r>
      <w:r>
        <w:rPr>
          <w:rFonts w:hint="eastAsia" w:ascii="宋体" w:hAnsi="宋体" w:eastAsia="宋体" w:cs="宋体"/>
          <w:color w:val="auto"/>
          <w:sz w:val="24"/>
          <w:szCs w:val="24"/>
          <w:highlight w:val="none"/>
          <w:lang w:eastAsia="zh-CN"/>
        </w:rPr>
        <w:t>分（北京时间）。</w:t>
      </w:r>
    </w:p>
    <w:p w14:paraId="345FCEAB">
      <w:pPr>
        <w:keepNext w:val="0"/>
        <w:keepLines w:val="0"/>
        <w:pageBreakBefore w:val="0"/>
        <w:widowControl w:val="0"/>
        <w:kinsoku/>
        <w:wordWrap w:val="0"/>
        <w:overflowPunct/>
        <w:topLinePunct w:val="0"/>
        <w:autoSpaceDE/>
        <w:autoSpaceDN/>
        <w:bidi w:val="0"/>
        <w:adjustRightInd/>
        <w:snapToGrid/>
        <w:spacing w:line="360" w:lineRule="auto"/>
        <w:ind w:firstLine="477" w:firstLineChars="199"/>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5.2加密电子响应文件为“中招联合招标采购平台(www.365trade.com.cn/)”网站提供的中招联合电子招投标平台投标文件制作工具制作生成的加密版响应文件。加密的电子响应文件（*.zfile格式）须在投标截止时间前通过“中招联合招标采购平台 (www.365trade.com.cn/）”上传递交。</w:t>
      </w:r>
      <w:r>
        <w:rPr>
          <w:rFonts w:hint="eastAsia" w:ascii="宋体" w:hAnsi="宋体" w:eastAsia="宋体" w:cs="宋体"/>
          <w:b/>
          <w:bCs/>
          <w:color w:val="auto"/>
          <w:sz w:val="24"/>
          <w:szCs w:val="24"/>
          <w:highlight w:val="none"/>
          <w:u w:val="single"/>
          <w:lang w:val="en-US" w:eastAsia="zh-CN"/>
        </w:rPr>
        <w:t>同时供应商在投标截止时间后向采购代理机构邮寄一份已装订纸质版响应文件（要求必须加盖公章及签字，内容与上传系统一致，密封包装，顺丰快递邮寄。邮寄地址：内蒙古自治区呼和浩特市赛罕区如意开发区讨号板北街吉美大厦8层811室；联系人及电话：孟先生、15326042127）</w:t>
      </w:r>
      <w:r>
        <w:rPr>
          <w:rFonts w:hint="eastAsia" w:ascii="宋体" w:hAnsi="宋体" w:eastAsia="宋体" w:cs="宋体"/>
          <w:b/>
          <w:bCs/>
          <w:color w:val="auto"/>
          <w:sz w:val="24"/>
          <w:szCs w:val="24"/>
          <w:highlight w:val="none"/>
          <w:u w:val="none"/>
          <w:lang w:val="en-US" w:eastAsia="zh-CN"/>
        </w:rPr>
        <w:t>。</w:t>
      </w:r>
    </w:p>
    <w:p w14:paraId="50E294EA">
      <w:pPr>
        <w:spacing w:line="360" w:lineRule="auto"/>
        <w:ind w:firstLine="477" w:firstLineChars="199"/>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5.3本项目采用“远程不见面”开标方式，远程开标大厅网址为www.365trade.com.cn，采购人无需到现场参加开标会议，无需到达现场提交原件资料。供应商应当在投标截止时间前，登录远程开标大厅，在线准时参加开标活动并使用CA证书进行投标文件解密等。</w:t>
      </w:r>
    </w:p>
    <w:p w14:paraId="38C13E46">
      <w:pPr>
        <w:spacing w:line="360" w:lineRule="auto"/>
        <w:ind w:firstLine="477" w:firstLineChars="199"/>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5.4不见面服务的具体事宜向中招联合招标采购平台统一服务热线400-903-3175进行咨询。</w:t>
      </w:r>
    </w:p>
    <w:p w14:paraId="6FCD19D8">
      <w:pPr>
        <w:spacing w:line="360" w:lineRule="auto"/>
        <w:ind w:firstLine="477" w:firstLineChars="199"/>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5.5 逾期上传的或者未上传的响应文件，采购人不予受理。</w:t>
      </w:r>
    </w:p>
    <w:p w14:paraId="0DD110FE">
      <w:pPr>
        <w:bidi w:val="0"/>
        <w:rPr>
          <w:rFonts w:hint="eastAsia" w:ascii="宋体" w:hAnsi="宋体" w:eastAsia="宋体" w:cs="宋体"/>
          <w:b/>
          <w:bCs/>
          <w:color w:val="auto"/>
          <w:sz w:val="28"/>
          <w:szCs w:val="24"/>
          <w:highlight w:val="none"/>
          <w:lang w:val="en-US" w:eastAsia="zh-CN"/>
        </w:rPr>
      </w:pPr>
      <w:r>
        <w:rPr>
          <w:rFonts w:hint="eastAsia" w:ascii="宋体" w:hAnsi="宋体" w:eastAsia="宋体" w:cs="宋体"/>
          <w:b/>
          <w:bCs/>
          <w:color w:val="auto"/>
          <w:sz w:val="28"/>
          <w:szCs w:val="24"/>
          <w:highlight w:val="none"/>
          <w:lang w:val="en-US" w:eastAsia="zh-CN"/>
        </w:rPr>
        <w:t>6.开标时间及地点</w:t>
      </w:r>
    </w:p>
    <w:p w14:paraId="3B48E02B">
      <w:pPr>
        <w:spacing w:line="360" w:lineRule="auto"/>
        <w:ind w:firstLine="477" w:firstLineChars="199"/>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开标时间：2026年07月07日09时30分。</w:t>
      </w:r>
    </w:p>
    <w:p w14:paraId="6A21D0DD">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本项目采用“远程不见面”开标方式，远程开标大厅网址为www.365trade.com.cn，供应商无需到现场参加开标会议，无需到达现场提交原件资料。供应商应当在投标截止时间前，登录远程开标大厅，在线准时参加开标活动并使用CA证书进行投标文件解密等。</w:t>
      </w:r>
    </w:p>
    <w:p w14:paraId="3462A5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30" w:lineRule="atLeast"/>
        <w:ind w:right="0"/>
        <w:jc w:val="left"/>
        <w:textAlignment w:val="baseline"/>
        <w:rPr>
          <w:rFonts w:hint="default" w:ascii="宋体" w:hAnsi="宋体" w:eastAsia="宋体" w:cs="宋体"/>
          <w:b/>
          <w:bCs/>
          <w:color w:val="auto"/>
          <w:kern w:val="2"/>
          <w:sz w:val="28"/>
          <w:szCs w:val="24"/>
          <w:highlight w:val="none"/>
          <w:lang w:val="en-US" w:eastAsia="zh-CN" w:bidi="ar-SA"/>
        </w:rPr>
      </w:pPr>
      <w:r>
        <w:rPr>
          <w:rFonts w:hint="eastAsia" w:ascii="宋体" w:hAnsi="宋体" w:cs="宋体"/>
          <w:b/>
          <w:bCs/>
          <w:color w:val="auto"/>
          <w:kern w:val="2"/>
          <w:sz w:val="28"/>
          <w:szCs w:val="24"/>
          <w:highlight w:val="none"/>
          <w:lang w:val="en-US" w:eastAsia="zh-CN" w:bidi="ar-SA"/>
        </w:rPr>
        <w:t>7.</w:t>
      </w:r>
      <w:r>
        <w:rPr>
          <w:rFonts w:hint="eastAsia" w:ascii="宋体" w:hAnsi="宋体" w:eastAsia="宋体" w:cs="宋体"/>
          <w:b/>
          <w:bCs/>
          <w:color w:val="auto"/>
          <w:kern w:val="2"/>
          <w:sz w:val="28"/>
          <w:szCs w:val="24"/>
          <w:highlight w:val="none"/>
          <w:lang w:val="en-US" w:eastAsia="zh-CN" w:bidi="ar-SA"/>
        </w:rPr>
        <w:t>投标文件的制作</w:t>
      </w:r>
    </w:p>
    <w:p w14:paraId="6B1CE5B5">
      <w:pPr>
        <w:spacing w:line="360" w:lineRule="auto"/>
        <w:ind w:firstLine="477" w:firstLineChars="199"/>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7.1、供应商通过“环境检测”下载并安装检测工具；</w:t>
      </w:r>
    </w:p>
    <w:p w14:paraId="25AFEC80">
      <w:pPr>
        <w:spacing w:line="360" w:lineRule="auto"/>
        <w:ind w:firstLine="477" w:firstLineChars="199"/>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7.2、安装完成后启动检测工具，逐一安装检测工具中的插件；</w:t>
      </w:r>
    </w:p>
    <w:p w14:paraId="7B612CE2">
      <w:pPr>
        <w:spacing w:line="360" w:lineRule="auto"/>
        <w:ind w:firstLine="477" w:firstLineChars="199"/>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7.3、打开从中招联合招标采购平台上下载的后缀名为.zzlh的电子采购文件，按提示进行电子投标文件的制作；</w:t>
      </w:r>
    </w:p>
    <w:p w14:paraId="6998EA11">
      <w:pPr>
        <w:spacing w:line="360" w:lineRule="auto"/>
        <w:ind w:firstLine="477" w:firstLineChars="199"/>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7.4、使用CA对制作好的电子投标文件进行加密并导出加密电子响应文件。</w:t>
      </w:r>
    </w:p>
    <w:p w14:paraId="24E8747C">
      <w:pPr>
        <w:spacing w:line="360" w:lineRule="auto"/>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8. 发布公告的媒介</w:t>
      </w:r>
    </w:p>
    <w:p w14:paraId="6554A5A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本次询比采购公告同时在以下网站上发布：</w:t>
      </w:r>
    </w:p>
    <w:p w14:paraId="202D002B">
      <w:pPr>
        <w:spacing w:line="360" w:lineRule="auto"/>
        <w:ind w:firstLine="477" w:firstLineChars="19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中国招标投标公共服务平台（www.cebpubservice.com）；</w:t>
      </w:r>
    </w:p>
    <w:p w14:paraId="7EFDAA6F">
      <w:pPr>
        <w:spacing w:line="360" w:lineRule="auto"/>
        <w:ind w:firstLine="477" w:firstLineChars="199"/>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内蒙古招标投标公共服务平台（</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HYPERLINK "http://www.nmgztb.com.cn"</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www.nmgztb.com.cn</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p>
    <w:p w14:paraId="51BC8443">
      <w:pPr>
        <w:spacing w:line="360" w:lineRule="auto"/>
        <w:ind w:firstLine="477" w:firstLineChars="199"/>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内蒙古自治区企业阳光采购服务平台</w:t>
      </w:r>
      <w:r>
        <w:rPr>
          <w:rFonts w:hint="eastAsia" w:ascii="宋体" w:hAnsi="宋体" w:eastAsia="宋体" w:cs="宋体"/>
          <w:color w:val="auto"/>
          <w:sz w:val="24"/>
          <w:szCs w:val="24"/>
          <w:highlight w:val="none"/>
        </w:rPr>
        <w:t>（https://nmgygcg.ejy365.com）</w:t>
      </w:r>
      <w:r>
        <w:rPr>
          <w:rFonts w:hint="eastAsia" w:ascii="宋体" w:hAnsi="宋体" w:cs="宋体"/>
          <w:color w:val="auto"/>
          <w:sz w:val="24"/>
          <w:szCs w:val="24"/>
          <w:highlight w:val="none"/>
          <w:lang w:eastAsia="zh-CN"/>
        </w:rPr>
        <w:t>；</w:t>
      </w:r>
    </w:p>
    <w:p w14:paraId="461EC8D0">
      <w:pPr>
        <w:spacing w:line="360" w:lineRule="auto"/>
        <w:ind w:firstLine="477" w:firstLineChars="19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中招联合招标采购平台</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www.365trade.com.cn</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w:t>
      </w:r>
    </w:p>
    <w:p w14:paraId="6EEB84F9">
      <w:pPr>
        <w:spacing w:line="480" w:lineRule="auto"/>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9. 联系方式</w:t>
      </w:r>
    </w:p>
    <w:p w14:paraId="190851C3">
      <w:pPr>
        <w:spacing w:line="360" w:lineRule="auto"/>
        <w:ind w:firstLine="477" w:firstLineChars="199"/>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监督机构：</w:t>
      </w:r>
      <w:r>
        <w:rPr>
          <w:rFonts w:hint="eastAsia" w:ascii="宋体" w:hAnsi="宋体" w:eastAsia="宋体" w:cs="宋体"/>
          <w:color w:val="auto"/>
          <w:sz w:val="24"/>
          <w:szCs w:val="24"/>
          <w:highlight w:val="none"/>
          <w:lang w:eastAsia="zh-CN"/>
        </w:rPr>
        <w:t>内蒙古交通集团蒙通养护有限责任公司工程分公司市场开发部</w:t>
      </w:r>
    </w:p>
    <w:p w14:paraId="6B9BC860">
      <w:pPr>
        <w:spacing w:line="360" w:lineRule="auto"/>
        <w:ind w:firstLine="477" w:firstLineChars="199"/>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电话：0471-3382970</w:t>
      </w:r>
    </w:p>
    <w:p w14:paraId="5A153A66">
      <w:pPr>
        <w:spacing w:line="360" w:lineRule="auto"/>
        <w:ind w:firstLine="477" w:firstLineChars="199"/>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内蒙古交通集团蒙通养护有限责任公司工程分公司</w:t>
      </w:r>
    </w:p>
    <w:p w14:paraId="3FE57862">
      <w:pPr>
        <w:spacing w:line="360" w:lineRule="auto"/>
        <w:ind w:firstLine="477" w:firstLineChars="199"/>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lang w:eastAsia="zh-CN"/>
        </w:rPr>
        <w:t>内蒙古自治区呼和浩特市新城区成吉思汗大街金茂中心商业楼4号楼C座</w:t>
      </w:r>
    </w:p>
    <w:p w14:paraId="375B4B1E">
      <w:pPr>
        <w:spacing w:line="360" w:lineRule="auto"/>
        <w:ind w:firstLine="477" w:firstLineChars="199"/>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lang w:eastAsia="zh-CN"/>
        </w:rPr>
        <w:t>0471-3123885</w:t>
      </w:r>
    </w:p>
    <w:p w14:paraId="0C1447F6">
      <w:pPr>
        <w:spacing w:line="360" w:lineRule="auto"/>
        <w:ind w:firstLine="477" w:firstLineChars="199"/>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eastAsia="zh-CN"/>
        </w:rPr>
        <w:t>张先生</w:t>
      </w:r>
    </w:p>
    <w:p w14:paraId="25A74692">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代理</w:t>
      </w:r>
      <w:r>
        <w:rPr>
          <w:rFonts w:hint="eastAsia" w:ascii="宋体" w:hAnsi="宋体" w:eastAsia="宋体" w:cs="宋体"/>
          <w:color w:val="auto"/>
          <w:sz w:val="24"/>
          <w:highlight w:val="none"/>
          <w:lang w:val="en-US" w:eastAsia="zh-CN"/>
        </w:rPr>
        <w:t>机构</w:t>
      </w:r>
      <w:r>
        <w:rPr>
          <w:rFonts w:hint="eastAsia" w:ascii="宋体" w:hAnsi="宋体" w:eastAsia="宋体" w:cs="宋体"/>
          <w:color w:val="auto"/>
          <w:sz w:val="24"/>
          <w:highlight w:val="none"/>
        </w:rPr>
        <w:t>：</w:t>
      </w:r>
      <w:r>
        <w:rPr>
          <w:rFonts w:hint="eastAsia" w:ascii="宋体" w:hAnsi="宋体" w:eastAsia="宋体" w:cs="宋体"/>
          <w:b/>
          <w:color w:val="auto"/>
          <w:sz w:val="24"/>
          <w:highlight w:val="none"/>
          <w:u w:val="single"/>
          <w:lang w:eastAsia="zh-CN"/>
        </w:rPr>
        <w:t>瑞和安惠项目管理集团有限公司</w:t>
      </w:r>
    </w:p>
    <w:p w14:paraId="7B4D6FCA">
      <w:pPr>
        <w:spacing w:line="360" w:lineRule="auto"/>
        <w:ind w:firstLine="480" w:firstLineChars="200"/>
        <w:rPr>
          <w:rFonts w:hint="eastAsia" w:ascii="宋体" w:hAnsi="宋体" w:eastAsia="宋体" w:cs="宋体"/>
          <w:b/>
          <w:bCs/>
          <w:color w:val="auto"/>
          <w:sz w:val="24"/>
          <w:highlight w:val="none"/>
          <w:u w:val="single"/>
          <w:lang w:eastAsia="zh-CN"/>
        </w:rPr>
      </w:pPr>
      <w:r>
        <w:rPr>
          <w:rFonts w:hint="eastAsia" w:ascii="宋体" w:hAnsi="宋体" w:eastAsia="宋体" w:cs="宋体"/>
          <w:color w:val="auto"/>
          <w:sz w:val="24"/>
          <w:highlight w:val="none"/>
        </w:rPr>
        <w:t>地址：</w:t>
      </w:r>
      <w:r>
        <w:rPr>
          <w:rFonts w:hint="eastAsia" w:ascii="宋体" w:hAnsi="宋体" w:eastAsia="宋体" w:cs="宋体"/>
          <w:b/>
          <w:bCs/>
          <w:color w:val="auto"/>
          <w:sz w:val="24"/>
          <w:szCs w:val="24"/>
          <w:highlight w:val="none"/>
          <w:u w:val="single"/>
          <w:lang w:val="en-US" w:eastAsia="zh-CN"/>
        </w:rPr>
        <w:t>石家庄市建设南大街269号河北师大科技园综合楼B座11层</w:t>
      </w:r>
    </w:p>
    <w:p w14:paraId="2364E984">
      <w:pPr>
        <w:spacing w:line="360" w:lineRule="auto"/>
        <w:ind w:firstLine="480" w:firstLineChars="200"/>
        <w:rPr>
          <w:rFonts w:hint="default" w:ascii="宋体" w:hAnsi="宋体" w:eastAsia="宋体" w:cs="宋体"/>
          <w:b/>
          <w:bCs/>
          <w:color w:val="auto"/>
          <w:sz w:val="24"/>
          <w:highlight w:val="none"/>
          <w:lang w:val="en-US" w:eastAsia="zh-CN"/>
        </w:rPr>
      </w:pPr>
      <w:r>
        <w:rPr>
          <w:rFonts w:hint="eastAsia" w:ascii="宋体" w:hAnsi="宋体" w:eastAsia="宋体" w:cs="宋体"/>
          <w:color w:val="auto"/>
          <w:sz w:val="24"/>
          <w:highlight w:val="none"/>
        </w:rPr>
        <w:t>电话</w:t>
      </w:r>
      <w:r>
        <w:rPr>
          <w:rFonts w:hint="eastAsia" w:ascii="宋体" w:hAnsi="宋体" w:eastAsia="宋体" w:cs="宋体"/>
          <w:b/>
          <w:bCs/>
          <w:color w:val="auto"/>
          <w:sz w:val="24"/>
          <w:highlight w:val="none"/>
          <w:u w:val="none"/>
        </w:rPr>
        <w:t>：</w:t>
      </w:r>
      <w:r>
        <w:rPr>
          <w:rFonts w:hint="eastAsia" w:ascii="宋体" w:hAnsi="宋体" w:eastAsia="宋体" w:cs="宋体"/>
          <w:b/>
          <w:bCs/>
          <w:color w:val="auto"/>
          <w:sz w:val="24"/>
          <w:highlight w:val="none"/>
          <w:u w:val="single"/>
          <w:lang w:val="en-US" w:eastAsia="zh-CN"/>
        </w:rPr>
        <w:t>15326042127</w:t>
      </w:r>
    </w:p>
    <w:p w14:paraId="145B40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auto"/>
          <w:sz w:val="24"/>
          <w:highlight w:val="none"/>
          <w:u w:val="single"/>
          <w:lang w:val="en-US" w:eastAsia="zh-CN"/>
        </w:rPr>
      </w:pPr>
      <w:r>
        <w:rPr>
          <w:rFonts w:hint="eastAsia" w:ascii="宋体" w:hAnsi="宋体" w:eastAsia="宋体" w:cs="宋体"/>
          <w:color w:val="auto"/>
          <w:sz w:val="24"/>
          <w:highlight w:val="none"/>
          <w:lang w:val="en-US" w:eastAsia="zh-CN"/>
        </w:rPr>
        <w:t>联系人：</w:t>
      </w:r>
      <w:r>
        <w:rPr>
          <w:rFonts w:hint="eastAsia" w:ascii="宋体" w:hAnsi="宋体" w:eastAsia="宋体" w:cs="宋体"/>
          <w:b/>
          <w:bCs/>
          <w:color w:val="auto"/>
          <w:sz w:val="24"/>
          <w:highlight w:val="none"/>
          <w:u w:val="single"/>
          <w:lang w:val="en-US" w:eastAsia="zh-CN"/>
        </w:rPr>
        <w:t>孟先生</w:t>
      </w:r>
    </w:p>
    <w:p w14:paraId="2325566B">
      <w:pPr>
        <w:ind w:firstLine="480" w:firstLineChars="200"/>
        <w:rPr>
          <w:color w:val="auto"/>
        </w:rPr>
      </w:pPr>
      <w:r>
        <w:rPr>
          <w:rFonts w:hint="eastAsia" w:ascii="宋体" w:hAnsi="宋体" w:eastAsia="宋体" w:cs="宋体"/>
          <w:b w:val="0"/>
          <w:bCs w:val="0"/>
          <w:color w:val="auto"/>
          <w:sz w:val="24"/>
          <w:highlight w:val="none"/>
          <w:u w:val="none"/>
          <w:lang w:val="en-US" w:eastAsia="zh-CN"/>
        </w:rPr>
        <w:t xml:space="preserve">电子邮箱：rhahnm@126.com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45A770"/>
    <w:multiLevelType w:val="singleLevel"/>
    <w:tmpl w:val="D945A770"/>
    <w:lvl w:ilvl="0" w:tentative="0">
      <w:start w:val="1"/>
      <w:numFmt w:val="chineseCounting"/>
      <w:suff w:val="nothing"/>
      <w:lvlText w:val="（%1）"/>
      <w:lvlJc w:val="left"/>
      <w:rPr>
        <w:rFonts w:hint="eastAsia"/>
      </w:rPr>
    </w:lvl>
  </w:abstractNum>
  <w:abstractNum w:abstractNumId="1">
    <w:nsid w:val="3FC07B27"/>
    <w:multiLevelType w:val="singleLevel"/>
    <w:tmpl w:val="3FC07B27"/>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391D2D"/>
    <w:rsid w:val="5C391D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Tahoma" w:hAnsi="Tahoma" w:cs="Tahoma"/>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4</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2026-07-02T02:37:00Z</dcterms:created>
  <dc:creator>丁贝</dc:creator>
  <cp:lastModifiedBy>丁贝</cp:lastModifiedBy>
  <cp:lastPrinted>2026-07-02T02:37:32Z</cp:lastPrinted>
  <dcterms:modified xsi:type="dcterms:W3CDTF">2026-07-02T02:44:21Z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807689AB2ED541F78FB1705CB74831AA_11</vt:lpwstr>
  </property>
  <property fmtid="{D5CDD505-2E9C-101B-9397-08002B2CF9AE}" pid="4" name="KSOTemplateDocerSaveRecord">
    <vt:lpwstr>eyJoZGlkIjoiMDIwNTc2MzliODg3MzczMzU4ODlmOGI0MTI3NjRmNjYiLCJ1c2VySWQiOiIxMTIzNjg1OTEyIn0=</vt:lpwstr>
  </property>
</Properties>
</file>