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73A63">
      <w:pPr>
        <w:spacing w:line="432" w:lineRule="auto"/>
        <w:jc w:val="center"/>
        <w:outlineLvl w:val="0"/>
        <w:rPr>
          <w:rFonts w:ascii="黑体" w:eastAsia="黑体"/>
          <w:b/>
          <w:sz w:val="44"/>
          <w:szCs w:val="22"/>
          <w:highlight w:val="none"/>
        </w:rPr>
      </w:pPr>
      <w:r>
        <w:rPr>
          <w:rFonts w:hint="eastAsia" w:ascii="黑体" w:eastAsia="黑体"/>
          <w:b/>
          <w:sz w:val="44"/>
          <w:szCs w:val="22"/>
          <w:highlight w:val="none"/>
        </w:rPr>
        <w:t>采购（</w:t>
      </w:r>
      <w:r>
        <w:rPr>
          <w:rFonts w:hint="eastAsia" w:ascii="黑体" w:eastAsia="黑体"/>
          <w:b/>
          <w:sz w:val="44"/>
          <w:highlight w:val="none"/>
        </w:rPr>
        <w:t>技术及服务</w:t>
      </w:r>
      <w:r>
        <w:rPr>
          <w:rFonts w:hint="eastAsia" w:ascii="黑体" w:eastAsia="黑体"/>
          <w:b/>
          <w:sz w:val="44"/>
          <w:szCs w:val="22"/>
          <w:highlight w:val="none"/>
        </w:rPr>
        <w:t>）需求</w:t>
      </w:r>
    </w:p>
    <w:p w14:paraId="1926DD3A">
      <w:pPr>
        <w:pStyle w:val="2"/>
        <w:spacing w:line="360" w:lineRule="auto"/>
        <w:ind w:firstLine="482" w:firstLineChars="200"/>
        <w:outlineLvl w:val="0"/>
        <w:rPr>
          <w:rFonts w:cs="宋体"/>
          <w:szCs w:val="24"/>
          <w:highlight w:val="none"/>
        </w:rPr>
      </w:pPr>
      <w:bookmarkStart w:id="0" w:name="_Toc10917"/>
      <w:bookmarkStart w:id="1" w:name="_Toc18683"/>
      <w:r>
        <w:rPr>
          <w:rFonts w:hint="eastAsia" w:hAnsi="Times New Roman"/>
          <w:kern w:val="2"/>
          <w:szCs w:val="24"/>
          <w:highlight w:val="none"/>
        </w:rPr>
        <w:t>一、</w:t>
      </w:r>
      <w:r>
        <w:rPr>
          <w:rFonts w:hint="eastAsia" w:cs="宋体"/>
          <w:spacing w:val="-3"/>
          <w:szCs w:val="24"/>
          <w:highlight w:val="none"/>
        </w:rPr>
        <w:t>采购标的需实现的功能或者目标</w:t>
      </w:r>
      <w:bookmarkEnd w:id="0"/>
      <w:bookmarkEnd w:id="1"/>
    </w:p>
    <w:p w14:paraId="733B03B0">
      <w:pPr>
        <w:pStyle w:val="2"/>
        <w:spacing w:line="360" w:lineRule="auto"/>
        <w:ind w:firstLine="472" w:firstLineChars="200"/>
        <w:jc w:val="both"/>
        <w:rPr>
          <w:rFonts w:cs="宋体"/>
          <w:b w:val="0"/>
          <w:bCs w:val="0"/>
          <w:szCs w:val="24"/>
          <w:highlight w:val="none"/>
        </w:rPr>
      </w:pPr>
      <w:r>
        <w:rPr>
          <w:rFonts w:hint="eastAsia" w:cs="宋体"/>
          <w:b w:val="0"/>
          <w:bCs w:val="0"/>
          <w:spacing w:val="-2"/>
          <w:szCs w:val="24"/>
          <w:highlight w:val="none"/>
        </w:rPr>
        <w:t>采购气相色谱仪 - 液相色谱联用设备一台，主要用于储能领域各类样品中挥发性有机物、小分子气体、易挥发有机组分、气态降解产物及微量气态杂质的分离与定性定量检测；电解液组分、难挥发有机物质、高分子助剂、液态降解产物及微量液态杂质的精准分析检测。设备整体服务于电化学储能、物理储能、氢储能及储能系统、节能技术相关研究，可完成储能材料介质成分解析、副产物溯源甄别、材料老化机理探究、热失效特征物质表征以及储能体系安全性能评价等科研工作。</w:t>
      </w:r>
    </w:p>
    <w:p w14:paraId="7F9BF504">
      <w:pPr>
        <w:spacing w:line="360" w:lineRule="auto"/>
        <w:ind w:firstLine="482" w:firstLineChars="200"/>
        <w:jc w:val="left"/>
        <w:rPr>
          <w:rFonts w:ascii="宋体" w:hAnsi="宋体" w:cs="宋体"/>
          <w:b/>
          <w:bCs/>
          <w:sz w:val="24"/>
          <w:szCs w:val="24"/>
          <w:highlight w:val="none"/>
          <w:lang w:val="en-GB"/>
        </w:rPr>
      </w:pPr>
      <w:r>
        <w:rPr>
          <w:rFonts w:hint="eastAsia" w:ascii="宋体" w:hAnsi="宋体" w:cs="宋体"/>
          <w:b/>
          <w:bCs/>
          <w:sz w:val="24"/>
          <w:szCs w:val="24"/>
          <w:highlight w:val="none"/>
        </w:rPr>
        <w:t>二、</w:t>
      </w:r>
      <w:r>
        <w:rPr>
          <w:rFonts w:hint="eastAsia" w:ascii="宋体" w:hAnsi="宋体" w:cs="宋体"/>
          <w:b/>
          <w:bCs/>
          <w:sz w:val="24"/>
          <w:szCs w:val="24"/>
          <w:highlight w:val="none"/>
          <w:lang w:val="en-GB"/>
        </w:rPr>
        <w:t>需执行的相关政策合规要求、执行标准和规范要求</w:t>
      </w:r>
    </w:p>
    <w:p w14:paraId="663769FA">
      <w:pPr>
        <w:spacing w:line="360" w:lineRule="auto"/>
        <w:ind w:firstLine="480" w:firstLineChars="200"/>
        <w:jc w:val="left"/>
        <w:rPr>
          <w:rFonts w:ascii="宋体" w:hAnsi="宋体" w:cs="宋体"/>
          <w:sz w:val="24"/>
          <w:szCs w:val="24"/>
          <w:highlight w:val="none"/>
          <w:lang w:val="en-GB"/>
        </w:rPr>
      </w:pPr>
      <w:r>
        <w:rPr>
          <w:rFonts w:hint="eastAsia" w:ascii="宋体" w:hAnsi="宋体" w:cs="宋体"/>
          <w:sz w:val="24"/>
          <w:szCs w:val="24"/>
          <w:highlight w:val="none"/>
          <w:lang w:val="en-GB"/>
        </w:rPr>
        <w:t>气相色谱仪 - 液相色谱联用设备的设计制造、计量性能、电气安全、环境适应性及实验室通用规范，须严格符合GB/T 17530 系列、GB/T 27417分析仪器通用技术要求；同时遵循储能行业相关检测标准，包括但不限于GB/T 30835锂离子电池电解液有机物分析、GB/T 42306储能电池挥发性有机物检测、NB/T 10366储能介质杂质分析规范。设备各项性能及检测方法需满足储能电解液、有机组分、挥发性气体、降解产物及微量杂质的定性定量检测试验要求，符合高校科研实验室仪器使用、质量控制及安全管理相关规范。</w:t>
      </w:r>
    </w:p>
    <w:p w14:paraId="04CFAA88">
      <w:pPr>
        <w:spacing w:line="360" w:lineRule="auto"/>
        <w:ind w:firstLine="482" w:firstLineChars="200"/>
        <w:jc w:val="left"/>
        <w:rPr>
          <w:rFonts w:ascii="宋体" w:hAnsi="宋体" w:cs="宋体"/>
          <w:b/>
          <w:bCs/>
          <w:sz w:val="24"/>
          <w:szCs w:val="24"/>
          <w:highlight w:val="none"/>
          <w:lang w:val="en-GB"/>
        </w:rPr>
      </w:pPr>
      <w:r>
        <w:rPr>
          <w:rFonts w:hint="eastAsia" w:ascii="宋体" w:hAnsi="宋体" w:cs="宋体"/>
          <w:b/>
          <w:bCs/>
          <w:sz w:val="24"/>
          <w:szCs w:val="24"/>
          <w:highlight w:val="none"/>
        </w:rPr>
        <w:t>三、</w:t>
      </w:r>
      <w:r>
        <w:rPr>
          <w:rFonts w:hint="eastAsia" w:ascii="宋体" w:hAnsi="宋体" w:cs="宋体"/>
          <w:b/>
          <w:bCs/>
          <w:sz w:val="24"/>
          <w:szCs w:val="24"/>
          <w:highlight w:val="none"/>
          <w:lang w:val="en-GB"/>
        </w:rPr>
        <w:t>项目技术/服务要求（技术参数)</w:t>
      </w:r>
    </w:p>
    <w:p w14:paraId="1D037CCA">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1.气相色谱：进样口和检测器使用电子气路控制</w:t>
      </w:r>
    </w:p>
    <w:p w14:paraId="1DB4F090">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2.★进样口最小压力设定值和控制精度：≤0.001 psi</w:t>
      </w:r>
    </w:p>
    <w:p w14:paraId="5E6446D9">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3.可设定压力范围：0-150psi.</w:t>
      </w:r>
    </w:p>
    <w:p w14:paraId="05AAE7EF">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4.操作界面采用可拆卸的平板智能触控屏，可显示仪器参数、编辑方法、智能维护、维护预警</w:t>
      </w:r>
    </w:p>
    <w:p w14:paraId="3DF550B6">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5.★可扩展支持3个检测器同时工作，温度和气路单独控制。</w:t>
      </w:r>
    </w:p>
    <w:p w14:paraId="379611A7">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6.★操作温度范围：高于环境温度+4℃ 至450℃</w:t>
      </w:r>
    </w:p>
    <w:p w14:paraId="57B164CE">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7.最大升温速度：不低于120℃/min,</w:t>
      </w:r>
    </w:p>
    <w:p w14:paraId="6B98E013">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8.降温速度：从450℃降到50℃≤4min</w:t>
      </w:r>
    </w:p>
    <w:p w14:paraId="6C5F1032">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9.最大升温阶数：不低于32阶</w:t>
      </w:r>
    </w:p>
    <w:p w14:paraId="7E3A475D">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10.进样口电子压力传感器精密度：&lt;±0.05 psi，漂移：&lt; ±0.1 psi / 6个月</w:t>
      </w:r>
    </w:p>
    <w:p w14:paraId="0E07DF53">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11.★流量设定范围：至少包含N2:5-1200ml/min；H2 or He:5-1500ml/min；Ar/CH4:5-1000ml/min</w:t>
      </w:r>
    </w:p>
    <w:p w14:paraId="47E11BE9">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12.氢火焰离子化检测器（FID）：具有熄火检测和准备连锁功能</w:t>
      </w:r>
    </w:p>
    <w:p w14:paraId="52E8F78B">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13.宽线性动态范围：&gt;107（±10%）</w:t>
      </w:r>
    </w:p>
    <w:p w14:paraId="304F432D">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14.★ 数据采集频率：不小于900 Hz</w:t>
      </w:r>
    </w:p>
    <w:p w14:paraId="28B5CBAE">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15.检测器温度范围: 涵盖100ºC ～450ºC</w:t>
      </w:r>
    </w:p>
    <w:p w14:paraId="259A1CC5">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16.★ 最小检出限：&lt; 1.2 pg C/s （C13）</w:t>
      </w:r>
    </w:p>
    <w:p w14:paraId="799293F4">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17.电子捕获检测器ECD：最高操作温度：不低于450℃</w:t>
      </w:r>
    </w:p>
    <w:p w14:paraId="026FC708">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18.线性动态范围：线性动态范围：&gt; 104</w:t>
      </w:r>
    </w:p>
    <w:p w14:paraId="5DB0F10A">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19.最低检出限：&lt; 5 fg林丹（γ- 六氯环己烷）</w:t>
      </w:r>
    </w:p>
    <w:p w14:paraId="6C098F60">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20.气相色谱自动进样器：样品瓶位数（含洗针位）：不少于150位。</w:t>
      </w:r>
    </w:p>
    <w:p w14:paraId="0E8A5155">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21.★可在100ms内快速进样</w:t>
      </w:r>
    </w:p>
    <w:p w14:paraId="23019A89">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22.支持三明治进样 </w:t>
      </w:r>
    </w:p>
    <w:p w14:paraId="33A6A26D">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23.★进样重复性&lt; 0.1% RSD</w:t>
      </w:r>
    </w:p>
    <w:p w14:paraId="21767D15">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24.在本机不同进样口或者不同机的进样口之间移动自动进样器不需要重新配置</w:t>
      </w:r>
    </w:p>
    <w:p w14:paraId="66E1A42B">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25.液相色谱：四元低压混合，4溶剂通道，</w:t>
      </w:r>
    </w:p>
    <w:p w14:paraId="0B1557C0">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26.液相色谱泵结构：水平对置双柱塞设计</w:t>
      </w:r>
    </w:p>
    <w:p w14:paraId="180850F0">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27.高速活塞缩回：≤ 65毫秒</w:t>
      </w:r>
    </w:p>
    <w:p w14:paraId="1D304739">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28.工作压力范围：涵盖0-6,100 psi / 0-420 bar（全流速范围）</w:t>
      </w:r>
    </w:p>
    <w:p w14:paraId="4BF46A79">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29.★压缩补偿：全自动连续压缩补偿技术</w:t>
      </w:r>
    </w:p>
    <w:p w14:paraId="2D88EA43">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30.流速范围：涵盖0.01--10.0mL/min</w:t>
      </w:r>
    </w:p>
    <w:p w14:paraId="2E78DDBD">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 xml:space="preserve">31.流速精确度：≤0.075% RSD </w:t>
      </w:r>
    </w:p>
    <w:p w14:paraId="39ED8495">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32.流速准确度：± 1% （流速设置为：1 mL/min）</w:t>
      </w:r>
    </w:p>
    <w:p w14:paraId="4D7F8053">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 xml:space="preserve">33.保留时间重现性：&lt;0.075% RSD </w:t>
      </w:r>
    </w:p>
    <w:p w14:paraId="02B47114">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34.★梯度曲线：≥ 20条</w:t>
      </w:r>
    </w:p>
    <w:p w14:paraId="64FAE31B">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35.液相色谱自动进样器样品位数：不少于100位2ml样品瓶标准盘</w:t>
      </w:r>
    </w:p>
    <w:p w14:paraId="71452AE9">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36.耐受压力：涵盖0-10,000 psi</w:t>
      </w:r>
    </w:p>
    <w:p w14:paraId="5F9CEBD8">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37.进样针规格可扩展：100 µL;250 µL;500 µL和1000µL</w:t>
      </w:r>
    </w:p>
    <w:p w14:paraId="2AA39AAF">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38.最快进样循环：&lt;8秒</w:t>
      </w:r>
    </w:p>
    <w:p w14:paraId="519C575E">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39.紫外/可见检测器：采用双光源，双光束</w:t>
      </w:r>
    </w:p>
    <w:p w14:paraId="60D0EAE4">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40.★波长范围：涵盖190-700nm</w:t>
      </w:r>
    </w:p>
    <w:p w14:paraId="560BBF01">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41.灵敏度范围：涵盖0.0005-3.000AUFS</w:t>
      </w:r>
    </w:p>
    <w:p w14:paraId="44EBA91F">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42.噪声：&lt;7.5×10-6AU</w:t>
      </w:r>
    </w:p>
    <w:p w14:paraId="3F4FBAAC">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43.漂移：&lt;1×10-4Au/h</w:t>
      </w:r>
    </w:p>
    <w:p w14:paraId="216D44E9">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 xml:space="preserve">44.流通池体积：≤2.4 µL </w:t>
      </w:r>
    </w:p>
    <w:p w14:paraId="578FAEC1">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45.双柱温箱：一个集成式柱温箱（15cm色谱柱专用）以及一个独立的半导体制冷柱温箱（30cm色谱柱专用）</w:t>
      </w:r>
    </w:p>
    <w:p w14:paraId="5F638B68">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46.集成柱温箱温度范围：涵盖 室温+5- 60℃（1℃增量）</w:t>
      </w:r>
    </w:p>
    <w:p w14:paraId="2E39F8CC">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47.独立柱温箱温度范围：涵盖5- 90 ℃（1℃增量）</w:t>
      </w:r>
    </w:p>
    <w:p w14:paraId="4D622628">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48.软件控制：工作站软件可同时控制气相色谱和液相色谱仪，并进行数据采集和处理。</w:t>
      </w:r>
    </w:p>
    <w:p w14:paraId="551907F2">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49.软件界面：方法编辑可自动完成，并立即反应在状态讯息中。</w:t>
      </w:r>
    </w:p>
    <w:p w14:paraId="5228E045">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50.软件报告的编辑和排版：结果可以有单个报告和综合报告。报告的版式可以编排。</w:t>
      </w:r>
    </w:p>
    <w:p w14:paraId="1FBC5437">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51.软件操作向导和在线帮助，自带简易指南帮助操作者快速掌握软件使用。</w:t>
      </w:r>
    </w:p>
    <w:p w14:paraId="21CF455C">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52.配置</w:t>
      </w:r>
    </w:p>
    <w:p w14:paraId="5E7B0B76">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a )气相色谱仪主机，1套</w:t>
      </w:r>
    </w:p>
    <w:p w14:paraId="18F8A994">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b )气相色谱液体自动进样器150位，1套</w:t>
      </w:r>
    </w:p>
    <w:p w14:paraId="1DB614DE">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c )氢火焰离子化检测器（FID），1套</w:t>
      </w:r>
    </w:p>
    <w:p w14:paraId="54AEA9F3">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d )电子捕获检测器（ECD），1套</w:t>
      </w:r>
    </w:p>
    <w:p w14:paraId="5A65262C">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e )液相色谱四元梯度泵（带4通道在线脱气机）1套</w:t>
      </w:r>
    </w:p>
    <w:p w14:paraId="391C2E66">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f )液相色谱自动进样器，1套</w:t>
      </w:r>
    </w:p>
    <w:p w14:paraId="46F48A74">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g )集成式柱温箱，1套</w:t>
      </w:r>
    </w:p>
    <w:p w14:paraId="682127BF">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h )半导体制冷大体积柱温箱，1套</w:t>
      </w:r>
    </w:p>
    <w:p w14:paraId="32D5E1F1">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i )紫外可见光检测器（UV-Vis），1套</w:t>
      </w:r>
    </w:p>
    <w:p w14:paraId="670EFCF1">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j )5%苯基/二甲基聚硅氧烷毛细管色谱柱1根</w:t>
      </w:r>
    </w:p>
    <w:p w14:paraId="7C5F2A2A">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k )安装工具包1套</w:t>
      </w:r>
    </w:p>
    <w:p w14:paraId="26714BBA">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l )气相色谱耗材包（包含但不限于进样针、衬管、隔垫、密封垫、O型圈）1套</w:t>
      </w:r>
    </w:p>
    <w:p w14:paraId="4BCE7011">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m )气体捕集阱</w:t>
      </w:r>
    </w:p>
    <w:p w14:paraId="53A4950A">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n )流动相溶剂瓶1L，4个</w:t>
      </w:r>
    </w:p>
    <w:p w14:paraId="5A9E0551">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o )流动相溶剂瓶500mL，2个</w:t>
      </w:r>
    </w:p>
    <w:p w14:paraId="69FD7C5D">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p )C18色谱柱，1根</w:t>
      </w:r>
    </w:p>
    <w:p w14:paraId="330C3947">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q )PEEK两通连接器1套</w:t>
      </w:r>
    </w:p>
    <w:p w14:paraId="531ABCEE">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r )螺母卡套10个</w:t>
      </w:r>
    </w:p>
    <w:p w14:paraId="321D6229">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s )2ml进样瓶、瓶盖、瓶垫，200个</w:t>
      </w:r>
    </w:p>
    <w:p w14:paraId="5BE5EEED">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t )色谱工作站软件，1套</w:t>
      </w:r>
    </w:p>
    <w:p w14:paraId="4525CD08">
      <w:pPr>
        <w:spacing w:line="360" w:lineRule="auto"/>
        <w:ind w:firstLine="482" w:firstLineChars="200"/>
        <w:jc w:val="left"/>
        <w:rPr>
          <w:rFonts w:ascii="宋体" w:hAnsi="宋体" w:cs="宋体"/>
          <w:b/>
          <w:bCs/>
          <w:sz w:val="24"/>
          <w:szCs w:val="24"/>
          <w:highlight w:val="none"/>
        </w:rPr>
      </w:pPr>
      <w:r>
        <w:rPr>
          <w:rFonts w:hint="eastAsia" w:ascii="宋体" w:hAnsi="宋体" w:cs="宋体"/>
          <w:b/>
          <w:bCs/>
          <w:sz w:val="24"/>
          <w:szCs w:val="24"/>
          <w:highlight w:val="none"/>
        </w:rPr>
        <w:t>注：带“★”项为关键指标</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任何负偏离将导致响应文件无效；不</w:t>
      </w:r>
      <w:r>
        <w:rPr>
          <w:rFonts w:hint="eastAsia" w:ascii="宋体" w:hAnsi="宋体" w:cs="宋体"/>
          <w:b/>
          <w:bCs/>
          <w:sz w:val="24"/>
          <w:szCs w:val="24"/>
          <w:highlight w:val="none"/>
        </w:rPr>
        <w:t>带“★”项为</w:t>
      </w:r>
      <w:r>
        <w:rPr>
          <w:rFonts w:hint="eastAsia" w:ascii="宋体" w:hAnsi="宋体" w:cs="宋体"/>
          <w:b/>
          <w:bCs/>
          <w:sz w:val="24"/>
          <w:szCs w:val="24"/>
          <w:highlight w:val="none"/>
          <w:lang w:val="en-US" w:eastAsia="zh-CN"/>
        </w:rPr>
        <w:t>一般</w:t>
      </w:r>
      <w:r>
        <w:rPr>
          <w:rFonts w:hint="eastAsia" w:ascii="宋体" w:hAnsi="宋体" w:cs="宋体"/>
          <w:b/>
          <w:bCs/>
          <w:sz w:val="24"/>
          <w:szCs w:val="24"/>
          <w:highlight w:val="none"/>
        </w:rPr>
        <w:t>指标</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超过5项负偏离将导致响应文件无效</w:t>
      </w:r>
      <w:r>
        <w:rPr>
          <w:rFonts w:hint="eastAsia" w:ascii="宋体" w:hAnsi="宋体" w:cs="宋体"/>
          <w:b/>
          <w:bCs/>
          <w:sz w:val="24"/>
          <w:szCs w:val="24"/>
          <w:highlight w:val="none"/>
        </w:rPr>
        <w:t>。</w:t>
      </w:r>
    </w:p>
    <w:p w14:paraId="3C595731">
      <w:pPr>
        <w:spacing w:line="360" w:lineRule="auto"/>
        <w:ind w:firstLine="482" w:firstLineChars="200"/>
        <w:jc w:val="left"/>
        <w:rPr>
          <w:rFonts w:ascii="宋体" w:hAnsi="宋体" w:cs="宋体"/>
          <w:b/>
          <w:bCs/>
          <w:sz w:val="24"/>
          <w:szCs w:val="24"/>
          <w:highlight w:val="none"/>
        </w:rPr>
      </w:pPr>
      <w:r>
        <w:rPr>
          <w:rFonts w:hint="eastAsia" w:ascii="宋体" w:hAnsi="宋体" w:cs="宋体"/>
          <w:b/>
          <w:bCs/>
          <w:sz w:val="24"/>
          <w:szCs w:val="24"/>
          <w:highlight w:val="none"/>
        </w:rPr>
        <w:t>六、项目实施要求</w:t>
      </w:r>
    </w:p>
    <w:p w14:paraId="2ABF60E5">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rPr>
        <w:tab/>
      </w:r>
      <w:r>
        <w:rPr>
          <w:rFonts w:hint="eastAsia" w:ascii="宋体" w:hAnsi="宋体" w:cs="宋体"/>
          <w:sz w:val="24"/>
          <w:szCs w:val="24"/>
          <w:highlight w:val="none"/>
        </w:rPr>
        <w:t>供应商必须提供仪器的现场安装、调试服务，确保仪器各项指标达到投标书指标要求的技术性能，并同时在现场对用户进行操作使用、日常维护等培训。</w:t>
      </w:r>
    </w:p>
    <w:p w14:paraId="5D5EE36E">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rPr>
        <w:tab/>
      </w:r>
      <w:r>
        <w:rPr>
          <w:rFonts w:hint="eastAsia" w:ascii="宋体" w:hAnsi="宋体" w:cs="宋体"/>
          <w:sz w:val="24"/>
          <w:szCs w:val="24"/>
          <w:highlight w:val="none"/>
        </w:rPr>
        <w:t>仪器在调试验收合格后，仪器整机保修期为验收合格之日起12个月或到货后18个月，以先到者计。保修期内，所有服务及配件全部免费，保修期外，仪器终身维修。</w:t>
      </w:r>
    </w:p>
    <w:p w14:paraId="5FB67AC3">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rPr>
        <w:tab/>
      </w:r>
      <w:r>
        <w:rPr>
          <w:rFonts w:hint="eastAsia" w:ascii="宋体" w:hAnsi="宋体" w:cs="宋体"/>
          <w:sz w:val="24"/>
          <w:szCs w:val="24"/>
          <w:highlight w:val="none"/>
        </w:rPr>
        <w:t>投标方应具有可靠的供货实力及售后服务能力，在中国境内有高素质的专业维修队伍，能够及时响应并处理仪器使用过程中出现的各类问题。</w:t>
      </w:r>
    </w:p>
    <w:p w14:paraId="65969D7B">
      <w:pPr>
        <w:spacing w:line="360" w:lineRule="auto"/>
        <w:ind w:firstLine="482" w:firstLineChars="200"/>
        <w:jc w:val="left"/>
        <w:rPr>
          <w:rFonts w:ascii="宋体" w:hAnsi="宋体" w:cs="宋体"/>
          <w:b/>
          <w:bCs/>
          <w:sz w:val="24"/>
          <w:szCs w:val="24"/>
          <w:highlight w:val="none"/>
        </w:rPr>
      </w:pPr>
      <w:r>
        <w:rPr>
          <w:rFonts w:hint="eastAsia" w:ascii="宋体" w:hAnsi="宋体" w:cs="宋体"/>
          <w:b/>
          <w:bCs/>
          <w:sz w:val="24"/>
          <w:szCs w:val="24"/>
          <w:highlight w:val="none"/>
        </w:rPr>
        <w:t>七、验收方式</w:t>
      </w:r>
    </w:p>
    <w:p w14:paraId="416E5C37">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rPr>
        <w:tab/>
      </w:r>
      <w:r>
        <w:rPr>
          <w:rFonts w:hint="eastAsia" w:ascii="宋体" w:hAnsi="宋体" w:cs="宋体"/>
          <w:sz w:val="24"/>
          <w:szCs w:val="24"/>
          <w:highlight w:val="none"/>
        </w:rPr>
        <w:t>仪器现场安装、调试后，双方共同组织对仪器按招标指标进行性能和方法验收，供货方提供校准标准样品</w:t>
      </w:r>
    </w:p>
    <w:p w14:paraId="630313C0">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rPr>
        <w:tab/>
      </w:r>
      <w:r>
        <w:rPr>
          <w:rFonts w:hint="eastAsia" w:ascii="宋体" w:hAnsi="宋体" w:cs="宋体"/>
          <w:sz w:val="24"/>
          <w:szCs w:val="24"/>
          <w:highlight w:val="none"/>
        </w:rPr>
        <w:t>开机验收标准如下:</w:t>
      </w:r>
    </w:p>
    <w:p w14:paraId="41534EA7">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rPr>
        <w:tab/>
      </w:r>
      <w:r>
        <w:rPr>
          <w:rFonts w:hint="eastAsia" w:ascii="宋体" w:hAnsi="宋体" w:cs="宋体"/>
          <w:sz w:val="24"/>
          <w:szCs w:val="24"/>
          <w:highlight w:val="none"/>
        </w:rPr>
        <w:t>开箱检查所有配件是否齐全。</w:t>
      </w:r>
    </w:p>
    <w:p w14:paraId="7ED5F501">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rPr>
        <w:tab/>
      </w:r>
      <w:r>
        <w:rPr>
          <w:rFonts w:hint="eastAsia" w:ascii="宋体" w:hAnsi="宋体" w:cs="宋体"/>
          <w:sz w:val="24"/>
          <w:szCs w:val="24"/>
          <w:highlight w:val="none"/>
        </w:rPr>
        <w:t>仪器连接起来，是否正常工作。</w:t>
      </w:r>
    </w:p>
    <w:p w14:paraId="69FB2057">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rPr>
        <w:tab/>
      </w:r>
      <w:r>
        <w:rPr>
          <w:rFonts w:hint="eastAsia" w:ascii="宋体" w:hAnsi="宋体" w:cs="宋体"/>
          <w:sz w:val="24"/>
          <w:szCs w:val="24"/>
          <w:highlight w:val="none"/>
        </w:rPr>
        <w:t>仪器培训人员是否将该仪器的原理及操作给用户讲清楚。</w:t>
      </w:r>
    </w:p>
    <w:p w14:paraId="68650DDE">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z w:val="24"/>
          <w:szCs w:val="24"/>
          <w:highlight w:val="none"/>
        </w:rPr>
        <w:tab/>
      </w:r>
      <w:r>
        <w:rPr>
          <w:rFonts w:hint="eastAsia" w:ascii="宋体" w:hAnsi="宋体" w:cs="宋体"/>
          <w:sz w:val="24"/>
          <w:szCs w:val="24"/>
          <w:highlight w:val="none"/>
        </w:rPr>
        <w:t>按照本采购需求技术要求，现场测试验证，仪器各项指标是否达到投标书指标要求的技术性能。</w:t>
      </w:r>
    </w:p>
    <w:p w14:paraId="3DA1A108">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5)</w:t>
      </w:r>
      <w:r>
        <w:rPr>
          <w:rFonts w:hint="eastAsia" w:ascii="宋体" w:hAnsi="宋体" w:cs="宋体"/>
          <w:sz w:val="24"/>
          <w:szCs w:val="24"/>
          <w:highlight w:val="none"/>
        </w:rPr>
        <w:tab/>
      </w:r>
      <w:r>
        <w:rPr>
          <w:rFonts w:hint="eastAsia" w:ascii="宋体" w:hAnsi="宋体" w:cs="宋体"/>
          <w:sz w:val="24"/>
          <w:szCs w:val="24"/>
          <w:highlight w:val="none"/>
        </w:rPr>
        <w:t>仪器安装调试完成，经甲方验收确认合格后，由甲方在调试报上签字，仪器的安装调试工作方可完成。</w:t>
      </w:r>
    </w:p>
    <w:p w14:paraId="78F8644E">
      <w:pPr>
        <w:spacing w:line="360" w:lineRule="auto"/>
        <w:ind w:firstLine="482" w:firstLineChars="200"/>
        <w:jc w:val="left"/>
        <w:rPr>
          <w:rFonts w:ascii="宋体" w:hAnsi="宋体" w:cs="宋体"/>
          <w:b/>
          <w:bCs/>
          <w:sz w:val="24"/>
          <w:szCs w:val="24"/>
          <w:highlight w:val="none"/>
        </w:rPr>
      </w:pPr>
      <w:r>
        <w:rPr>
          <w:rFonts w:hint="eastAsia" w:ascii="宋体" w:hAnsi="宋体" w:cs="宋体"/>
          <w:b/>
          <w:bCs/>
          <w:sz w:val="24"/>
          <w:szCs w:val="24"/>
          <w:highlight w:val="none"/>
        </w:rPr>
        <w:t>八、其他技术、服务相关要求。</w:t>
      </w:r>
    </w:p>
    <w:p w14:paraId="21BD4614">
      <w:pPr>
        <w:spacing w:line="360" w:lineRule="auto"/>
        <w:ind w:firstLine="480" w:firstLineChars="200"/>
        <w:jc w:val="left"/>
        <w:rPr>
          <w:rFonts w:ascii="宋体" w:hAnsi="宋体" w:cs="宋体"/>
          <w:sz w:val="24"/>
          <w:szCs w:val="24"/>
          <w:highlight w:val="none"/>
          <w:lang w:val="en-GB"/>
        </w:rPr>
      </w:pPr>
      <w:r>
        <w:rPr>
          <w:rFonts w:hint="eastAsia" w:ascii="宋体" w:hAnsi="宋体" w:cs="宋体"/>
          <w:sz w:val="24"/>
          <w:szCs w:val="24"/>
          <w:highlight w:val="none"/>
          <w:lang w:val="en-GB"/>
        </w:rPr>
        <w:t>1</w:t>
      </w:r>
      <w:r>
        <w:rPr>
          <w:rFonts w:hint="eastAsia" w:ascii="宋体" w:hAnsi="宋体" w:cs="宋体"/>
          <w:sz w:val="24"/>
          <w:szCs w:val="24"/>
          <w:highlight w:val="none"/>
          <w:lang w:val="en-GB"/>
        </w:rPr>
        <w:tab/>
      </w:r>
      <w:r>
        <w:rPr>
          <w:rFonts w:hint="eastAsia" w:ascii="宋体" w:hAnsi="宋体" w:cs="宋体"/>
          <w:sz w:val="24"/>
          <w:szCs w:val="24"/>
          <w:highlight w:val="none"/>
          <w:lang w:val="en-GB"/>
        </w:rPr>
        <w:t>供应商在国内必须设有分析仪器培训，免费为用户提供仪器的基本原理、操作、日常维护及基础分析仪器理论课程，并为用户不少于两人的国内免费培训。</w:t>
      </w:r>
    </w:p>
    <w:p w14:paraId="4FB8DF78">
      <w:pPr>
        <w:spacing w:line="360" w:lineRule="auto"/>
        <w:ind w:firstLine="480" w:firstLineChars="200"/>
        <w:jc w:val="left"/>
        <w:rPr>
          <w:rFonts w:ascii="宋体" w:hAnsi="宋体" w:cs="宋体"/>
          <w:sz w:val="24"/>
          <w:szCs w:val="24"/>
          <w:highlight w:val="none"/>
          <w:lang w:val="en-GB"/>
        </w:rPr>
      </w:pPr>
      <w:r>
        <w:rPr>
          <w:rFonts w:hint="eastAsia" w:ascii="宋体" w:hAnsi="宋体" w:cs="宋体"/>
          <w:sz w:val="24"/>
          <w:szCs w:val="24"/>
          <w:highlight w:val="none"/>
          <w:lang w:val="en-GB"/>
        </w:rPr>
        <w:t>2</w:t>
      </w:r>
      <w:r>
        <w:rPr>
          <w:rFonts w:hint="eastAsia" w:ascii="宋体" w:hAnsi="宋体" w:cs="宋体"/>
          <w:sz w:val="24"/>
          <w:szCs w:val="24"/>
          <w:highlight w:val="none"/>
          <w:lang w:val="en-GB"/>
        </w:rPr>
        <w:tab/>
      </w:r>
      <w:r>
        <w:rPr>
          <w:rFonts w:hint="eastAsia" w:ascii="宋体" w:hAnsi="宋体" w:cs="宋体"/>
          <w:sz w:val="24"/>
          <w:szCs w:val="24"/>
          <w:highlight w:val="none"/>
          <w:lang w:val="en-GB"/>
        </w:rPr>
        <w:t>在接到用户维修请求后，应能在24小时内做出快速响应，并在72小时内到达现场。</w:t>
      </w:r>
    </w:p>
    <w:p w14:paraId="07308D18">
      <w:pPr>
        <w:spacing w:line="360" w:lineRule="auto"/>
        <w:ind w:firstLine="480" w:firstLineChars="200"/>
        <w:jc w:val="left"/>
        <w:rPr>
          <w:rFonts w:ascii="宋体" w:hAnsi="宋体" w:cs="宋体"/>
          <w:sz w:val="24"/>
          <w:szCs w:val="24"/>
          <w:highlight w:val="none"/>
          <w:lang w:val="en-GB"/>
        </w:rPr>
      </w:pPr>
      <w:r>
        <w:rPr>
          <w:rFonts w:hint="eastAsia" w:ascii="宋体" w:hAnsi="宋体" w:cs="宋体"/>
          <w:sz w:val="24"/>
          <w:szCs w:val="24"/>
          <w:highlight w:val="none"/>
          <w:lang w:val="en-GB"/>
        </w:rPr>
        <w:t>3</w:t>
      </w:r>
      <w:r>
        <w:rPr>
          <w:rFonts w:hint="eastAsia" w:ascii="宋体" w:hAnsi="宋体" w:cs="宋体"/>
          <w:sz w:val="24"/>
          <w:szCs w:val="24"/>
          <w:highlight w:val="none"/>
          <w:lang w:val="en-GB"/>
        </w:rPr>
        <w:tab/>
      </w:r>
      <w:r>
        <w:rPr>
          <w:rFonts w:hint="eastAsia" w:ascii="宋体" w:hAnsi="宋体" w:cs="宋体"/>
          <w:sz w:val="24"/>
          <w:szCs w:val="24"/>
          <w:highlight w:val="none"/>
          <w:lang w:val="en-GB"/>
        </w:rPr>
        <w:t>供应商保证能更及时地为用户提供备品备件。</w:t>
      </w:r>
    </w:p>
    <w:p w14:paraId="4E7D471D">
      <w:pPr>
        <w:spacing w:line="360" w:lineRule="auto"/>
        <w:ind w:firstLine="480" w:firstLineChars="200"/>
        <w:jc w:val="left"/>
        <w:rPr>
          <w:rFonts w:ascii="宋体" w:hAnsi="宋体" w:cs="宋体"/>
          <w:sz w:val="24"/>
          <w:szCs w:val="24"/>
          <w:highlight w:val="none"/>
          <w:lang w:val="en-GB"/>
        </w:rPr>
      </w:pPr>
      <w:r>
        <w:rPr>
          <w:rFonts w:hint="eastAsia" w:ascii="宋体" w:hAnsi="宋体" w:cs="宋体"/>
          <w:sz w:val="24"/>
          <w:szCs w:val="24"/>
          <w:highlight w:val="none"/>
          <w:lang w:val="en-GB"/>
        </w:rPr>
        <w:t>4</w:t>
      </w:r>
      <w:r>
        <w:rPr>
          <w:rFonts w:hint="eastAsia" w:ascii="宋体" w:hAnsi="宋体" w:cs="宋体"/>
          <w:sz w:val="24"/>
          <w:szCs w:val="24"/>
          <w:highlight w:val="none"/>
          <w:lang w:val="en-GB"/>
        </w:rPr>
        <w:tab/>
      </w:r>
      <w:r>
        <w:rPr>
          <w:rFonts w:hint="eastAsia" w:ascii="宋体" w:hAnsi="宋体" w:cs="宋体"/>
          <w:sz w:val="24"/>
          <w:szCs w:val="24"/>
          <w:highlight w:val="none"/>
          <w:lang w:val="en-GB"/>
        </w:rPr>
        <w:t>供应商提供为用户提供免费的电话咨询及技术服务。</w:t>
      </w:r>
    </w:p>
    <w:p w14:paraId="1F16D08D">
      <w:pPr>
        <w:spacing w:line="360" w:lineRule="auto"/>
        <w:ind w:firstLine="480" w:firstLineChars="200"/>
        <w:jc w:val="left"/>
        <w:rPr>
          <w:rFonts w:ascii="宋体" w:hAnsi="宋体" w:cs="宋体"/>
          <w:sz w:val="24"/>
          <w:szCs w:val="24"/>
          <w:highlight w:val="none"/>
          <w:lang w:val="en-GB"/>
        </w:rPr>
      </w:pPr>
      <w:r>
        <w:rPr>
          <w:rFonts w:hint="eastAsia" w:ascii="宋体" w:hAnsi="宋体" w:cs="宋体"/>
          <w:sz w:val="24"/>
          <w:szCs w:val="24"/>
          <w:highlight w:val="none"/>
          <w:lang w:val="en-GB"/>
        </w:rPr>
        <w:t>5  供应商提供的报价产品须为上市成熟型号产品。</w:t>
      </w:r>
    </w:p>
    <w:p w14:paraId="13874DD8">
      <w:r>
        <w:rPr>
          <w:rFonts w:hint="eastAsia" w:ascii="宋体"/>
          <w:b/>
          <w:sz w:val="24"/>
          <w:szCs w:val="24"/>
          <w:highlight w:val="none"/>
          <w:lang w:val="en-GB"/>
        </w:rPr>
        <w:t>注：上述</w:t>
      </w:r>
      <w:r>
        <w:rPr>
          <w:rFonts w:hint="eastAsia" w:ascii="宋体"/>
          <w:b/>
          <w:sz w:val="24"/>
          <w:szCs w:val="24"/>
          <w:highlight w:val="none"/>
          <w:lang w:val="en-US" w:eastAsia="zh-CN"/>
        </w:rPr>
        <w:t>除</w:t>
      </w:r>
      <w:r>
        <w:rPr>
          <w:rFonts w:hint="eastAsia" w:ascii="宋体"/>
          <w:b/>
          <w:sz w:val="24"/>
          <w:szCs w:val="24"/>
          <w:highlight w:val="none"/>
          <w:lang w:val="en-GB" w:eastAsia="zh-CN"/>
        </w:rPr>
        <w:t>“</w:t>
      </w:r>
      <w:r>
        <w:rPr>
          <w:rFonts w:hint="eastAsia" w:ascii="宋体" w:hAnsi="宋体" w:cs="宋体"/>
          <w:b/>
          <w:bCs/>
          <w:sz w:val="24"/>
          <w:szCs w:val="24"/>
          <w:highlight w:val="none"/>
        </w:rPr>
        <w:t>三、</w:t>
      </w:r>
      <w:r>
        <w:rPr>
          <w:rFonts w:hint="eastAsia" w:ascii="宋体" w:hAnsi="宋体" w:cs="宋体"/>
          <w:b/>
          <w:bCs/>
          <w:sz w:val="24"/>
          <w:szCs w:val="24"/>
          <w:highlight w:val="none"/>
          <w:lang w:val="en-GB"/>
        </w:rPr>
        <w:t>项目技术/服务要求（技术参数)</w:t>
      </w:r>
      <w:r>
        <w:rPr>
          <w:rFonts w:hint="eastAsia" w:ascii="宋体"/>
          <w:b/>
          <w:sz w:val="24"/>
          <w:szCs w:val="24"/>
          <w:highlight w:val="none"/>
          <w:lang w:val="en-GB" w:eastAsia="zh-CN"/>
        </w:rPr>
        <w:t>”</w:t>
      </w:r>
      <w:r>
        <w:rPr>
          <w:rFonts w:hint="eastAsia" w:ascii="宋体"/>
          <w:b/>
          <w:sz w:val="24"/>
          <w:szCs w:val="24"/>
          <w:highlight w:val="none"/>
          <w:lang w:val="en-US" w:eastAsia="zh-CN"/>
        </w:rPr>
        <w:t>以外</w:t>
      </w:r>
      <w:r>
        <w:rPr>
          <w:rFonts w:hint="eastAsia" w:ascii="宋体"/>
          <w:b/>
          <w:sz w:val="24"/>
          <w:szCs w:val="24"/>
          <w:highlight w:val="none"/>
          <w:lang w:val="en-GB"/>
        </w:rPr>
        <w:t>为最低</w:t>
      </w:r>
      <w:r>
        <w:rPr>
          <w:rFonts w:hint="eastAsia" w:ascii="宋体"/>
          <w:b/>
          <w:sz w:val="24"/>
          <w:szCs w:val="24"/>
          <w:highlight w:val="none"/>
        </w:rPr>
        <w:t>要求，</w:t>
      </w:r>
      <w:r>
        <w:rPr>
          <w:rFonts w:hint="eastAsia" w:ascii="宋体"/>
          <w:b/>
          <w:sz w:val="24"/>
          <w:szCs w:val="24"/>
          <w:highlight w:val="none"/>
          <w:lang w:val="en-GB"/>
        </w:rPr>
        <w:t>供应商必须逐条响应</w:t>
      </w:r>
      <w:r>
        <w:rPr>
          <w:rFonts w:hint="eastAsia" w:ascii="宋体"/>
          <w:b/>
          <w:sz w:val="24"/>
          <w:szCs w:val="24"/>
          <w:highlight w:val="none"/>
        </w:rPr>
        <w:t>全部满足，否则报价文件无效</w:t>
      </w:r>
      <w:r>
        <w:rPr>
          <w:rFonts w:hint="eastAsia" w:ascii="宋体"/>
          <w:b/>
          <w:sz w:val="24"/>
          <w:szCs w:val="24"/>
          <w:highlight w:val="none"/>
          <w:lang w:val="en-GB"/>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7F7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widowControl/>
      <w:jc w:val="left"/>
    </w:pPr>
    <w:rPr>
      <w:rFonts w:ascii="宋体" w:hAnsi="宋体"/>
      <w:b/>
      <w:bCs/>
      <w:sz w:val="24"/>
    </w:rPr>
  </w:style>
  <w:style w:type="paragraph" w:styleId="3">
    <w:name w:val="Intense Quote"/>
    <w:basedOn w:val="1"/>
    <w:next w:val="1"/>
    <w:qFormat/>
    <w:uiPriority w:val="99"/>
    <w:pPr>
      <w:widowControl/>
      <w:wordWrap w:val="0"/>
      <w:spacing w:before="360" w:after="360"/>
      <w:ind w:left="950" w:right="950"/>
      <w:jc w:val="center"/>
    </w:pPr>
    <w:rPr>
      <w:i/>
      <w:iCs/>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2026-07-03T02:27:39Z</dcterms:created>
  <dc:creator>LJYGCG</dc:creator>
  <cp:lastModifiedBy>陈旭楠</cp:lastModifiedBy>
  <dcterms:modified xsi:type="dcterms:W3CDTF">2026-07-03T02:27:58Z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KSOTemplateDocerSaveRecord">
    <vt:lpwstr>eyJoZGlkIjoiYzdjYmI1NjliMmE3NDI0NGNlMDQ0ZDI2N2M0YzAzMzEiLCJ1c2VySWQiOiI0NDkxNDI0OTQifQ==</vt:lpwstr>
  </property>
  <property fmtid="{D5CDD505-2E9C-101B-9397-08002B2CF9AE}" pid="4" name="ICV">
    <vt:lpwstr>0B5B2879B55241F3B0D2902F5FFC1179_12</vt:lpwstr>
  </property>
</Properties>
</file>