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CA525">
      <w:pPr>
        <w:autoSpaceDE w:val="0"/>
        <w:autoSpaceDN w:val="0"/>
        <w:adjustRightInd w:val="0"/>
        <w:spacing w:line="276" w:lineRule="auto"/>
        <w:ind w:left="357" w:leftChars="170" w:right="-23" w:rightChars="-11"/>
        <w:jc w:val="center"/>
        <w:rPr>
          <w:rFonts w:ascii="宋体" w:hAnsi="宋体" w:eastAsia="宋体" w:cs="宋体"/>
          <w:b/>
          <w:bCs/>
          <w:color w:val="auto"/>
          <w:kern w:val="0"/>
          <w:sz w:val="60"/>
          <w:szCs w:val="60"/>
          <w:highlight w:val="none"/>
          <w:lang w:val="zh-CN"/>
        </w:rPr>
      </w:pPr>
      <w:r>
        <w:rPr>
          <w:rFonts w:hint="eastAsia" w:ascii="宋体" w:hAnsi="宋体" w:eastAsia="宋体" w:cs="宋体"/>
          <w:b/>
          <w:bCs/>
          <w:color w:val="auto"/>
          <w:kern w:val="0"/>
          <w:sz w:val="60"/>
          <w:szCs w:val="60"/>
          <w:highlight w:val="none"/>
          <w:lang w:val="zh-CN"/>
        </w:rPr>
        <w:t>东莞市水务环境投资控股集团管网有限公司2026年防撞缓冲车采购项目（第四次招标）</w:t>
      </w:r>
    </w:p>
    <w:p w14:paraId="251673B2">
      <w:pPr>
        <w:autoSpaceDE w:val="0"/>
        <w:autoSpaceDN w:val="0"/>
        <w:adjustRightInd w:val="0"/>
        <w:spacing w:line="276" w:lineRule="auto"/>
        <w:ind w:left="357" w:leftChars="170" w:right="-23" w:rightChars="-11"/>
        <w:jc w:val="center"/>
        <w:rPr>
          <w:rFonts w:ascii="宋体" w:hAnsi="宋体" w:eastAsia="宋体" w:cs="宋体"/>
          <w:b/>
          <w:bCs/>
          <w:color w:val="auto"/>
          <w:kern w:val="0"/>
          <w:sz w:val="44"/>
          <w:szCs w:val="44"/>
          <w:highlight w:val="none"/>
          <w:lang w:val="zh-CN"/>
        </w:rPr>
      </w:pPr>
    </w:p>
    <w:p w14:paraId="746A424F">
      <w:pPr>
        <w:autoSpaceDE w:val="0"/>
        <w:autoSpaceDN w:val="0"/>
        <w:adjustRightInd w:val="0"/>
        <w:ind w:right="-23" w:rightChars="-11"/>
        <w:jc w:val="left"/>
        <w:rPr>
          <w:rFonts w:ascii="宋体" w:hAnsi="宋体" w:eastAsia="宋体" w:cs="宋体"/>
          <w:b/>
          <w:bCs/>
          <w:color w:val="auto"/>
          <w:sz w:val="44"/>
          <w:szCs w:val="44"/>
          <w:highlight w:val="none"/>
          <w:lang w:val="zh-CN"/>
        </w:rPr>
      </w:pPr>
    </w:p>
    <w:p w14:paraId="4F1E19E8">
      <w:pPr>
        <w:autoSpaceDE w:val="0"/>
        <w:autoSpaceDN w:val="0"/>
        <w:adjustRightInd w:val="0"/>
        <w:ind w:right="-23" w:rightChars="-11"/>
        <w:jc w:val="center"/>
        <w:rPr>
          <w:rFonts w:hint="eastAsia" w:ascii="宋体" w:hAnsi="宋体" w:eastAsia="宋体" w:cs="Times New Roman"/>
          <w:b/>
          <w:bCs/>
          <w:color w:val="auto"/>
          <w:sz w:val="72"/>
          <w:szCs w:val="72"/>
          <w:highlight w:val="none"/>
          <w:lang w:val="en-US" w:eastAsia="zh-CN"/>
        </w:rPr>
      </w:pPr>
    </w:p>
    <w:p w14:paraId="1799398E">
      <w:pPr>
        <w:autoSpaceDE w:val="0"/>
        <w:autoSpaceDN w:val="0"/>
        <w:adjustRightInd w:val="0"/>
        <w:ind w:right="-23" w:rightChars="-11"/>
        <w:jc w:val="center"/>
        <w:rPr>
          <w:rFonts w:ascii="宋体" w:hAnsi="宋体" w:eastAsia="宋体" w:cs="Times New Roman"/>
          <w:b/>
          <w:bCs/>
          <w:color w:val="auto"/>
          <w:sz w:val="72"/>
          <w:szCs w:val="72"/>
          <w:highlight w:val="none"/>
          <w:lang w:val="zh-CN"/>
        </w:rPr>
      </w:pPr>
      <w:r>
        <w:rPr>
          <w:rFonts w:hint="eastAsia" w:ascii="宋体" w:hAnsi="宋体" w:eastAsia="宋体" w:cs="Times New Roman"/>
          <w:b/>
          <w:bCs/>
          <w:color w:val="auto"/>
          <w:sz w:val="72"/>
          <w:szCs w:val="72"/>
          <w:highlight w:val="none"/>
          <w:lang w:val="zh-CN"/>
        </w:rPr>
        <w:t>招</w:t>
      </w:r>
      <w:r>
        <w:rPr>
          <w:rFonts w:hint="eastAsia" w:ascii="宋体" w:hAnsi="宋体" w:eastAsia="宋体" w:cs="Times New Roman"/>
          <w:b/>
          <w:bCs/>
          <w:color w:val="auto"/>
          <w:sz w:val="72"/>
          <w:szCs w:val="72"/>
          <w:highlight w:val="none"/>
        </w:rPr>
        <w:t xml:space="preserve"> </w:t>
      </w:r>
      <w:r>
        <w:rPr>
          <w:rFonts w:hint="eastAsia" w:ascii="宋体" w:hAnsi="宋体" w:eastAsia="宋体" w:cs="Times New Roman"/>
          <w:b/>
          <w:bCs/>
          <w:color w:val="auto"/>
          <w:sz w:val="72"/>
          <w:szCs w:val="72"/>
          <w:highlight w:val="none"/>
          <w:lang w:val="zh-CN"/>
        </w:rPr>
        <w:t>标</w:t>
      </w:r>
      <w:r>
        <w:rPr>
          <w:rFonts w:hint="eastAsia" w:ascii="宋体" w:hAnsi="宋体" w:eastAsia="宋体" w:cs="Times New Roman"/>
          <w:b/>
          <w:bCs/>
          <w:color w:val="auto"/>
          <w:sz w:val="72"/>
          <w:szCs w:val="72"/>
          <w:highlight w:val="none"/>
        </w:rPr>
        <w:t xml:space="preserve"> </w:t>
      </w:r>
      <w:r>
        <w:rPr>
          <w:rFonts w:hint="eastAsia" w:ascii="宋体" w:hAnsi="宋体" w:eastAsia="宋体" w:cs="Times New Roman"/>
          <w:b/>
          <w:bCs/>
          <w:color w:val="auto"/>
          <w:sz w:val="72"/>
          <w:szCs w:val="72"/>
          <w:highlight w:val="none"/>
          <w:lang w:val="zh-CN"/>
        </w:rPr>
        <w:t>文</w:t>
      </w:r>
      <w:r>
        <w:rPr>
          <w:rFonts w:hint="eastAsia" w:ascii="宋体" w:hAnsi="宋体" w:eastAsia="宋体" w:cs="Times New Roman"/>
          <w:b/>
          <w:bCs/>
          <w:color w:val="auto"/>
          <w:sz w:val="72"/>
          <w:szCs w:val="72"/>
          <w:highlight w:val="none"/>
        </w:rPr>
        <w:t xml:space="preserve"> </w:t>
      </w:r>
      <w:r>
        <w:rPr>
          <w:rFonts w:hint="eastAsia" w:ascii="宋体" w:hAnsi="宋体" w:eastAsia="宋体" w:cs="Times New Roman"/>
          <w:b/>
          <w:bCs/>
          <w:color w:val="auto"/>
          <w:sz w:val="72"/>
          <w:szCs w:val="72"/>
          <w:highlight w:val="none"/>
          <w:lang w:val="zh-CN"/>
        </w:rPr>
        <w:t>件</w:t>
      </w:r>
    </w:p>
    <w:p w14:paraId="0932E1CE">
      <w:pPr>
        <w:autoSpaceDE w:val="0"/>
        <w:autoSpaceDN w:val="0"/>
        <w:adjustRightInd w:val="0"/>
        <w:ind w:right="-23" w:rightChars="-11"/>
        <w:jc w:val="center"/>
        <w:rPr>
          <w:rFonts w:ascii="宋体" w:hAnsi="宋体" w:eastAsia="宋体" w:cs="宋体"/>
          <w:b/>
          <w:bCs/>
          <w:color w:val="auto"/>
          <w:sz w:val="32"/>
          <w:szCs w:val="32"/>
          <w:highlight w:val="none"/>
          <w:lang w:val="zh-CN"/>
        </w:rPr>
      </w:pPr>
    </w:p>
    <w:p w14:paraId="7B0EC948">
      <w:pPr>
        <w:autoSpaceDE w:val="0"/>
        <w:autoSpaceDN w:val="0"/>
        <w:adjustRightInd w:val="0"/>
        <w:ind w:right="-23" w:rightChars="-11"/>
        <w:jc w:val="left"/>
        <w:rPr>
          <w:rFonts w:ascii="宋体" w:hAnsi="宋体" w:eastAsia="宋体" w:cs="宋体"/>
          <w:b/>
          <w:bCs/>
          <w:color w:val="auto"/>
          <w:sz w:val="32"/>
          <w:szCs w:val="32"/>
          <w:highlight w:val="none"/>
          <w:u w:val="single"/>
          <w:lang w:val="zh-CN"/>
        </w:rPr>
      </w:pPr>
    </w:p>
    <w:p w14:paraId="5D3C7B8C">
      <w:pPr>
        <w:tabs>
          <w:tab w:val="left" w:pos="9240"/>
        </w:tabs>
        <w:autoSpaceDE w:val="0"/>
        <w:autoSpaceDN w:val="0"/>
        <w:adjustRightInd w:val="0"/>
        <w:spacing w:line="700" w:lineRule="exact"/>
        <w:ind w:right="-23" w:rightChars="-11"/>
        <w:jc w:val="left"/>
        <w:rPr>
          <w:rFonts w:ascii="宋体" w:hAnsi="宋体" w:eastAsia="宋体" w:cs="宋体"/>
          <w:b/>
          <w:bCs/>
          <w:color w:val="auto"/>
          <w:sz w:val="32"/>
          <w:szCs w:val="32"/>
          <w:highlight w:val="none"/>
          <w:lang w:val="zh-CN"/>
        </w:rPr>
      </w:pPr>
    </w:p>
    <w:p w14:paraId="1E1DEAFF">
      <w:pPr>
        <w:autoSpaceDE w:val="0"/>
        <w:autoSpaceDN w:val="0"/>
        <w:adjustRightInd w:val="0"/>
        <w:spacing w:line="480" w:lineRule="auto"/>
        <w:ind w:left="1842" w:leftChars="877" w:firstLine="19" w:firstLineChars="6"/>
        <w:jc w:val="left"/>
        <w:rPr>
          <w:rFonts w:hint="eastAsia" w:ascii="宋体" w:hAnsi="宋体" w:eastAsia="宋体" w:cs="Times New Roman"/>
          <w:b/>
          <w:bCs/>
          <w:color w:val="auto"/>
          <w:sz w:val="32"/>
          <w:szCs w:val="32"/>
          <w:highlight w:val="none"/>
          <w:lang w:val="zh-CN" w:eastAsia="zh-CN"/>
        </w:rPr>
      </w:pPr>
      <w:r>
        <w:rPr>
          <w:rFonts w:hint="eastAsia" w:ascii="宋体" w:hAnsi="宋体" w:eastAsia="宋体" w:cs="Times New Roman"/>
          <w:b/>
          <w:bCs/>
          <w:color w:val="auto"/>
          <w:sz w:val="32"/>
          <w:szCs w:val="32"/>
          <w:highlight w:val="none"/>
          <w:lang w:val="zh-CN"/>
        </w:rPr>
        <w:t>招</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标</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编</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号：TC269400L</w:t>
      </w:r>
      <w:r>
        <w:rPr>
          <w:rFonts w:hint="eastAsia" w:ascii="宋体" w:hAnsi="宋体" w:eastAsia="宋体" w:cs="Times New Roman"/>
          <w:b/>
          <w:bCs/>
          <w:color w:val="auto"/>
          <w:sz w:val="32"/>
          <w:szCs w:val="32"/>
          <w:highlight w:val="none"/>
          <w:lang w:val="en-US" w:eastAsia="zh-CN"/>
        </w:rPr>
        <w:t xml:space="preserve"> </w:t>
      </w:r>
    </w:p>
    <w:p w14:paraId="2E131DF9">
      <w:pPr>
        <w:autoSpaceDE w:val="0"/>
        <w:autoSpaceDN w:val="0"/>
        <w:adjustRightInd w:val="0"/>
        <w:spacing w:line="480" w:lineRule="auto"/>
        <w:ind w:left="1842" w:leftChars="877" w:firstLine="19" w:firstLineChars="6"/>
        <w:jc w:val="left"/>
        <w:rPr>
          <w:rFonts w:ascii="宋体" w:hAnsi="宋体" w:eastAsia="宋体" w:cs="Times New Roman"/>
          <w:b/>
          <w:bCs/>
          <w:color w:val="auto"/>
          <w:sz w:val="32"/>
          <w:szCs w:val="32"/>
          <w:highlight w:val="none"/>
          <w:lang w:val="zh-CN"/>
        </w:rPr>
      </w:pPr>
      <w:r>
        <w:rPr>
          <w:rFonts w:hint="eastAsia" w:ascii="宋体" w:hAnsi="宋体" w:eastAsia="宋体" w:cs="Times New Roman"/>
          <w:b/>
          <w:bCs/>
          <w:color w:val="auto"/>
          <w:sz w:val="32"/>
          <w:szCs w:val="32"/>
          <w:highlight w:val="none"/>
          <w:lang w:val="zh-CN"/>
        </w:rPr>
        <w:t>招</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标</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人：东莞市水务环境投资控股集团管网有限公司</w:t>
      </w:r>
    </w:p>
    <w:p w14:paraId="15BD0F26">
      <w:pPr>
        <w:autoSpaceDE w:val="0"/>
        <w:autoSpaceDN w:val="0"/>
        <w:adjustRightInd w:val="0"/>
        <w:spacing w:line="480" w:lineRule="auto"/>
        <w:ind w:left="1842" w:leftChars="877" w:right="0" w:rightChars="0" w:firstLine="19" w:firstLineChars="6"/>
        <w:jc w:val="left"/>
        <w:rPr>
          <w:rFonts w:ascii="宋体" w:hAnsi="宋体" w:eastAsia="宋体" w:cs="Times New Roman"/>
          <w:b/>
          <w:bCs/>
          <w:color w:val="auto"/>
          <w:kern w:val="0"/>
          <w:sz w:val="32"/>
          <w:szCs w:val="32"/>
          <w:highlight w:val="none"/>
          <w:lang w:val="zh-CN"/>
        </w:rPr>
      </w:pPr>
      <w:r>
        <w:rPr>
          <w:rFonts w:hint="eastAsia" w:ascii="宋体" w:hAnsi="宋体" w:eastAsia="宋体" w:cs="Times New Roman"/>
          <w:b/>
          <w:bCs/>
          <w:color w:val="auto"/>
          <w:sz w:val="32"/>
          <w:szCs w:val="32"/>
          <w:highlight w:val="none"/>
          <w:lang w:val="zh-CN"/>
        </w:rPr>
        <w:t>招标代理机构：中招国际招标有限公司</w:t>
      </w:r>
      <w:r>
        <w:rPr>
          <w:rFonts w:hint="eastAsia" w:ascii="宋体" w:hAnsi="宋体" w:eastAsia="宋体" w:cs="宋体"/>
          <w:b/>
          <w:bCs/>
          <w:color w:val="auto"/>
          <w:sz w:val="32"/>
          <w:szCs w:val="32"/>
          <w:highlight w:val="none"/>
          <w:lang w:val="en-US" w:eastAsia="zh-CN"/>
        </w:rPr>
        <w:t xml:space="preserve"> </w:t>
      </w:r>
    </w:p>
    <w:p w14:paraId="3D09E0B0">
      <w:pPr>
        <w:autoSpaceDE w:val="0"/>
        <w:autoSpaceDN w:val="0"/>
        <w:adjustRightInd w:val="0"/>
        <w:ind w:right="-23" w:rightChars="-11"/>
        <w:jc w:val="center"/>
        <w:rPr>
          <w:rFonts w:ascii="宋体" w:hAnsi="宋体" w:eastAsia="宋体" w:cs="Times New Roman"/>
          <w:b/>
          <w:bCs/>
          <w:color w:val="auto"/>
          <w:kern w:val="0"/>
          <w:sz w:val="84"/>
          <w:szCs w:val="84"/>
          <w:highlight w:val="none"/>
          <w:lang w:val="zh-CN"/>
        </w:rPr>
      </w:pPr>
    </w:p>
    <w:p w14:paraId="3224E2F9">
      <w:pPr>
        <w:autoSpaceDE w:val="0"/>
        <w:autoSpaceDN w:val="0"/>
        <w:adjustRightInd w:val="0"/>
        <w:spacing w:line="360" w:lineRule="auto"/>
        <w:ind w:left="357" w:leftChars="170" w:right="-23" w:rightChars="-11" w:firstLine="321" w:firstLineChars="10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en-US" w:eastAsia="zh-CN"/>
        </w:rPr>
        <w:t>2026</w:t>
      </w:r>
      <w:r>
        <w:rPr>
          <w:rFonts w:hint="eastAsia" w:ascii="宋体" w:hAnsi="宋体" w:eastAsia="宋体" w:cs="宋体"/>
          <w:b/>
          <w:bCs/>
          <w:color w:val="auto"/>
          <w:sz w:val="32"/>
          <w:szCs w:val="32"/>
          <w:highlight w:val="none"/>
          <w:lang w:val="zh-CN"/>
        </w:rPr>
        <w:t>年</w:t>
      </w:r>
      <w:r>
        <w:rPr>
          <w:rFonts w:hint="eastAsia" w:ascii="宋体" w:hAnsi="宋体" w:eastAsia="宋体" w:cs="宋体"/>
          <w:b/>
          <w:bCs/>
          <w:color w:val="auto"/>
          <w:sz w:val="32"/>
          <w:szCs w:val="32"/>
          <w:highlight w:val="none"/>
          <w:lang w:val="en-US" w:eastAsia="zh-CN"/>
        </w:rPr>
        <w:t>07月02</w:t>
      </w:r>
      <w:r>
        <w:rPr>
          <w:rFonts w:hint="eastAsia" w:ascii="宋体" w:hAnsi="宋体" w:eastAsia="宋体" w:cs="宋体"/>
          <w:b/>
          <w:bCs/>
          <w:color w:val="auto"/>
          <w:sz w:val="32"/>
          <w:szCs w:val="32"/>
          <w:highlight w:val="none"/>
          <w:lang w:val="zh-CN"/>
        </w:rPr>
        <w:t>日</w:t>
      </w:r>
    </w:p>
    <w:p w14:paraId="4F26F128">
      <w:pPr>
        <w:rPr>
          <w:color w:val="auto"/>
          <w:highlight w:val="none"/>
        </w:rPr>
      </w:pPr>
      <w:r>
        <w:rPr>
          <w:rFonts w:hint="eastAsia" w:ascii="宋体" w:hAnsi="宋体" w:eastAsia="宋体" w:cs="宋体"/>
          <w:b/>
          <w:bCs/>
          <w:color w:val="auto"/>
          <w:sz w:val="32"/>
          <w:szCs w:val="32"/>
          <w:highlight w:val="none"/>
          <w:lang w:val="zh-CN"/>
        </w:rPr>
        <w:br w:type="page"/>
      </w:r>
    </w:p>
    <w:sdt>
      <w:sdtPr>
        <w:rPr>
          <w:rFonts w:ascii="宋体" w:hAnsi="宋体" w:eastAsia="宋体" w:cstheme="minorBidi"/>
          <w:color w:val="auto"/>
          <w:kern w:val="2"/>
          <w:sz w:val="21"/>
          <w:szCs w:val="22"/>
          <w:highlight w:val="none"/>
          <w:lang w:val="en-US" w:eastAsia="zh-CN" w:bidi="ar-SA"/>
        </w:rPr>
        <w:id w:val="147464870"/>
        <w15:color w:val="DBDBDB"/>
        <w:docPartObj>
          <w:docPartGallery w:val="Table of Contents"/>
          <w:docPartUnique/>
        </w:docPartObj>
      </w:sdtPr>
      <w:sdtEndPr>
        <w:rPr>
          <w:rFonts w:ascii="宋体" w:hAnsi="宋体" w:eastAsia="宋体" w:cstheme="minorBidi"/>
          <w:color w:val="auto"/>
          <w:kern w:val="2"/>
          <w:sz w:val="21"/>
          <w:szCs w:val="22"/>
          <w:highlight w:val="none"/>
          <w:lang w:val="en-US" w:eastAsia="zh-CN" w:bidi="ar-SA"/>
        </w:rPr>
      </w:sdtEndPr>
      <w:sdtContent>
        <w:p w14:paraId="0C2A924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b/>
              <w:bCs/>
              <w:color w:val="auto"/>
              <w:sz w:val="28"/>
              <w:szCs w:val="28"/>
              <w:highlight w:val="none"/>
            </w:rPr>
          </w:pPr>
          <w:r>
            <w:rPr>
              <w:rFonts w:ascii="宋体" w:hAnsi="宋体" w:eastAsia="宋体"/>
              <w:b/>
              <w:bCs/>
              <w:color w:val="auto"/>
              <w:sz w:val="28"/>
              <w:szCs w:val="28"/>
              <w:highlight w:val="none"/>
            </w:rPr>
            <w:t>目</w:t>
          </w:r>
          <w:r>
            <w:rPr>
              <w:rFonts w:hint="eastAsia" w:ascii="宋体" w:hAnsi="宋体" w:eastAsia="宋体"/>
              <w:b/>
              <w:bCs/>
              <w:color w:val="auto"/>
              <w:sz w:val="28"/>
              <w:szCs w:val="28"/>
              <w:highlight w:val="none"/>
              <w:lang w:val="en-US" w:eastAsia="zh-CN"/>
            </w:rPr>
            <w:t xml:space="preserve">    </w:t>
          </w:r>
          <w:r>
            <w:rPr>
              <w:rFonts w:ascii="宋体" w:hAnsi="宋体" w:eastAsia="宋体"/>
              <w:b/>
              <w:bCs/>
              <w:color w:val="auto"/>
              <w:sz w:val="28"/>
              <w:szCs w:val="28"/>
              <w:highlight w:val="none"/>
            </w:rPr>
            <w:t>录</w:t>
          </w:r>
        </w:p>
        <w:p w14:paraId="1CDF9C21">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color w:val="auto"/>
              <w:highlight w:val="none"/>
            </w:rPr>
            <w:fldChar w:fldCharType="begin"/>
          </w:r>
          <w:r>
            <w:rPr>
              <w:color w:val="auto"/>
              <w:highlight w:val="none"/>
            </w:rPr>
            <w:instrText xml:space="preserve">TOC \o "1-3" \h \u </w:instrText>
          </w:r>
          <w:r>
            <w:rPr>
              <w:color w:val="auto"/>
              <w:highlight w:val="none"/>
            </w:rPr>
            <w:fldChar w:fldCharType="separate"/>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_Toc3798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w:t>
          </w:r>
          <w:r>
            <w:rPr>
              <w:rFonts w:hint="eastAsia" w:ascii="宋体" w:hAnsi="宋体" w:eastAsia="宋体" w:cs="宋体"/>
              <w:b/>
              <w:bCs/>
              <w:color w:val="auto"/>
              <w:kern w:val="44"/>
              <w:szCs w:val="32"/>
              <w:highlight w:val="none"/>
              <w:lang w:val="en-US" w:eastAsia="zh-CN"/>
            </w:rPr>
            <w:t>一</w:t>
          </w:r>
          <w:r>
            <w:rPr>
              <w:rFonts w:hint="eastAsia" w:ascii="宋体" w:hAnsi="宋体" w:eastAsia="宋体" w:cs="宋体"/>
              <w:b/>
              <w:bCs/>
              <w:color w:val="auto"/>
              <w:kern w:val="44"/>
              <w:szCs w:val="32"/>
              <w:highlight w:val="none"/>
              <w:lang w:val="zh-CN"/>
            </w:rPr>
            <w:t>篇</w:t>
          </w:r>
          <w:r>
            <w:rPr>
              <w:rFonts w:hint="eastAsia" w:ascii="宋体" w:hAnsi="宋体" w:eastAsia="宋体" w:cs="宋体"/>
              <w:b/>
              <w:bCs/>
              <w:color w:val="auto"/>
              <w:kern w:val="44"/>
              <w:szCs w:val="32"/>
              <w:highlight w:val="none"/>
            </w:rPr>
            <w:t xml:space="preserve"> </w:t>
          </w:r>
          <w:r>
            <w:rPr>
              <w:rFonts w:hint="eastAsia" w:ascii="宋体" w:hAnsi="宋体" w:eastAsia="宋体" w:cs="宋体"/>
              <w:b/>
              <w:bCs/>
              <w:color w:val="auto"/>
              <w:kern w:val="44"/>
              <w:szCs w:val="32"/>
              <w:highlight w:val="none"/>
              <w:lang w:val="en-US" w:eastAsia="zh-CN"/>
            </w:rPr>
            <w:t>招标公告</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_Toc3798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4</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3282A6C6">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_Toc13533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第二篇</w:t>
          </w:r>
          <w:r>
            <w:rPr>
              <w:rFonts w:hint="eastAsia" w:ascii="宋体" w:hAnsi="宋体" w:eastAsia="宋体" w:cs="宋体"/>
              <w:b/>
              <w:bCs/>
              <w:color w:val="auto"/>
              <w:kern w:val="44"/>
              <w:szCs w:val="32"/>
              <w:highlight w:val="none"/>
            </w:rPr>
            <w:t xml:space="preserve"> </w:t>
          </w:r>
          <w:r>
            <w:rPr>
              <w:rFonts w:hint="eastAsia" w:ascii="宋体" w:hAnsi="宋体" w:eastAsia="宋体" w:cs="宋体"/>
              <w:b/>
              <w:bCs/>
              <w:color w:val="auto"/>
              <w:kern w:val="44"/>
              <w:szCs w:val="32"/>
              <w:highlight w:val="none"/>
              <w:lang w:val="zh-CN"/>
            </w:rPr>
            <w:t>投标人须知</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_Toc13533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6</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24AB23B2">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_Toc18164 </w:instrText>
          </w:r>
          <w:r>
            <w:rPr>
              <w:rFonts w:hint="eastAsia" w:ascii="宋体" w:hAnsi="宋体" w:eastAsia="宋体" w:cs="宋体"/>
              <w:color w:val="auto"/>
              <w:highlight w:val="none"/>
            </w:rPr>
            <w:fldChar w:fldCharType="separate"/>
          </w:r>
          <w:r>
            <w:rPr>
              <w:rFonts w:hint="eastAsia" w:ascii="宋体" w:hAnsi="宋体" w:eastAsia="宋体" w:cs="宋体"/>
              <w:bCs/>
              <w:color w:val="auto"/>
              <w:kern w:val="44"/>
              <w:szCs w:val="21"/>
              <w:highlight w:val="none"/>
              <w:lang w:val="zh-CN"/>
            </w:rPr>
            <w:t>一、总则</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_Toc18164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9542C7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_Toc17369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 资金来源</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_Toc17369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5C10B5E">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_Toc13464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 合格的投标人</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_Toc13464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F00B723">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_Toc26948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3 合格的货物</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_Toc26948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704FB73">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_Toc16122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4 其它说明</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_Toc16122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9800E52">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_Toc2394 </w:instrText>
          </w:r>
          <w:r>
            <w:rPr>
              <w:rFonts w:hint="eastAsia" w:ascii="宋体" w:hAnsi="宋体" w:eastAsia="宋体" w:cs="宋体"/>
              <w:color w:val="auto"/>
              <w:highlight w:val="none"/>
            </w:rPr>
            <w:fldChar w:fldCharType="separate"/>
          </w:r>
          <w:r>
            <w:rPr>
              <w:rFonts w:hint="eastAsia" w:ascii="宋体" w:hAnsi="宋体" w:eastAsia="宋体" w:cs="宋体"/>
              <w:bCs/>
              <w:color w:val="auto"/>
              <w:kern w:val="44"/>
              <w:szCs w:val="21"/>
              <w:highlight w:val="none"/>
              <w:lang w:val="zh-CN"/>
            </w:rPr>
            <w:t>二、招标文件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_Toc2394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5323116">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_Toc5028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5 招标文件的构成</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_Toc5028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993816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_Toc5306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6 招标文件的异议</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_Toc5306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AF405B1">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_Toc23818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7 招标文件的澄清及修改</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_Toc23818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CFB9A2B">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_Toc24335 </w:instrText>
          </w:r>
          <w:r>
            <w:rPr>
              <w:rFonts w:hint="eastAsia" w:ascii="宋体" w:hAnsi="宋体" w:eastAsia="宋体" w:cs="宋体"/>
              <w:color w:val="auto"/>
              <w:highlight w:val="none"/>
            </w:rPr>
            <w:fldChar w:fldCharType="separate"/>
          </w:r>
          <w:r>
            <w:rPr>
              <w:rFonts w:hint="eastAsia" w:ascii="宋体" w:hAnsi="宋体" w:eastAsia="宋体" w:cs="宋体"/>
              <w:bCs/>
              <w:color w:val="auto"/>
              <w:kern w:val="44"/>
              <w:szCs w:val="21"/>
              <w:highlight w:val="none"/>
              <w:lang w:val="zh-CN"/>
            </w:rPr>
            <w:t>三、投标文件的编制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_Toc24335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43DE40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_Toc20240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8 投标使用的文字及度量衡单位</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_Toc20240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136944D">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_Toc18442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9 投标文件的组成</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_Toc18442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2C6CD1F">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_Toc16534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10 投标函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_Toc16534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7C4E77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_Toc12598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11 投标报价</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_Toc12598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4B98307">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_Toc635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12 投标报价货币</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_Toc635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37C67E0">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_Toc20334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13 证明投标人的合格性和资格的声明文件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_Toc20334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FF35BE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_Toc26559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14 证明货物的合格性并符合招标文件规定的声明文件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_Toc26559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309B35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_Toc7420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15 投标保证金</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_Toc7420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32428E0">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_Toc20393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16 投标有效期</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_Toc20393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D774E5B">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_Toc6565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17 投标文件的式样和签署</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_Toc6565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095E984">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_Toc18968 </w:instrText>
          </w:r>
          <w:r>
            <w:rPr>
              <w:rFonts w:hint="eastAsia" w:ascii="宋体" w:hAnsi="宋体" w:eastAsia="宋体" w:cs="宋体"/>
              <w:color w:val="auto"/>
              <w:highlight w:val="none"/>
            </w:rPr>
            <w:fldChar w:fldCharType="separate"/>
          </w:r>
          <w:r>
            <w:rPr>
              <w:rFonts w:hint="eastAsia" w:ascii="宋体" w:hAnsi="宋体" w:eastAsia="宋体" w:cs="宋体"/>
              <w:bCs/>
              <w:color w:val="auto"/>
              <w:kern w:val="44"/>
              <w:szCs w:val="21"/>
              <w:highlight w:val="none"/>
              <w:lang w:val="zh-CN"/>
            </w:rPr>
            <w:t>四、投标文件的递交</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_Toc18968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B0E100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_Toc12342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18 投标文件的密封和标记</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_Toc12342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452BAA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_Toc28525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19 递交投标文件的截止日期</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_Toc28525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3B9DD84">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_Toc5446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20 迟交的投标文件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_Toc5446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7E64E0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_Toc4269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21 投标文件的修改和撤回</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_Toc4269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41AFF92">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_Toc20817 </w:instrText>
          </w:r>
          <w:r>
            <w:rPr>
              <w:rFonts w:hint="eastAsia" w:ascii="宋体" w:hAnsi="宋体" w:eastAsia="宋体" w:cs="宋体"/>
              <w:color w:val="auto"/>
              <w:highlight w:val="none"/>
            </w:rPr>
            <w:fldChar w:fldCharType="separate"/>
          </w:r>
          <w:r>
            <w:rPr>
              <w:rFonts w:hint="eastAsia" w:ascii="宋体" w:hAnsi="宋体" w:eastAsia="宋体" w:cs="宋体"/>
              <w:bCs/>
              <w:color w:val="auto"/>
              <w:kern w:val="44"/>
              <w:szCs w:val="21"/>
              <w:highlight w:val="none"/>
              <w:lang w:val="zh-CN"/>
            </w:rPr>
            <w:t>五、开标与评标</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_Toc20817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B8CD88E">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_Toc18892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22 开标</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_Toc18892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C5706C6">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_Toc30804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 xml:space="preserve">23 </w:t>
          </w:r>
          <w:r>
            <w:rPr>
              <w:rFonts w:hint="eastAsia" w:ascii="宋体" w:hAnsi="宋体" w:eastAsia="宋体" w:cs="宋体"/>
              <w:color w:val="auto"/>
              <w:highlight w:val="none"/>
            </w:rPr>
            <w:t>评标过程的保密性</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_Toc30804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2A6653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_Toc3908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24 评标委员会</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_Toc3908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DA703A8">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_Toc25484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25 投标文件的初审</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_Toc25484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EF85C29">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_Toc22879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26 投标文件的澄清</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_Toc22879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4789F87">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_Toc9746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27 对投标文件的比较和评价</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_Toc9746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4E7F812">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_Toc25314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28 评标原则及方法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_Toc25314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F934F4D">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_Toc31588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w:t>
          </w:r>
          <w:r>
            <w:rPr>
              <w:rFonts w:hint="eastAsia" w:ascii="宋体" w:hAnsi="宋体" w:eastAsia="宋体" w:cs="宋体"/>
              <w:color w:val="auto"/>
              <w:highlight w:val="none"/>
            </w:rPr>
            <w:t xml:space="preserve">9 </w:t>
          </w:r>
          <w:r>
            <w:rPr>
              <w:rFonts w:hint="eastAsia" w:ascii="宋体" w:hAnsi="宋体" w:eastAsia="宋体" w:cs="宋体"/>
              <w:color w:val="auto"/>
              <w:highlight w:val="none"/>
              <w:lang w:val="zh-CN"/>
            </w:rPr>
            <w:t>评标结果公示及异议、投诉</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_Toc31588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669F20E">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_Toc24057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30</w:t>
          </w:r>
          <w:r>
            <w:rPr>
              <w:rFonts w:hint="eastAsia" w:ascii="宋体" w:hAnsi="宋体" w:eastAsia="宋体" w:cs="宋体"/>
              <w:color w:val="auto"/>
              <w:highlight w:val="none"/>
              <w:lang w:val="zh-CN"/>
            </w:rPr>
            <w:t xml:space="preserve"> 真实性审查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_Toc24057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7066DC1">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_Toc10009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31</w:t>
          </w:r>
          <w:r>
            <w:rPr>
              <w:rFonts w:hint="eastAsia" w:ascii="宋体" w:hAnsi="宋体" w:eastAsia="宋体" w:cs="宋体"/>
              <w:color w:val="auto"/>
              <w:highlight w:val="none"/>
              <w:lang w:val="zh-CN"/>
            </w:rPr>
            <w:t xml:space="preserve"> 评标委员会和招标人接受或拒绝任何投标或所有投标的权利</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_Toc10009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0DC4AE4">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_Toc22929 </w:instrText>
          </w:r>
          <w:r>
            <w:rPr>
              <w:rFonts w:hint="eastAsia" w:ascii="宋体" w:hAnsi="宋体" w:eastAsia="宋体" w:cs="宋体"/>
              <w:color w:val="auto"/>
              <w:highlight w:val="none"/>
            </w:rPr>
            <w:fldChar w:fldCharType="separate"/>
          </w:r>
          <w:r>
            <w:rPr>
              <w:rFonts w:hint="eastAsia" w:ascii="宋体" w:hAnsi="宋体" w:eastAsia="宋体" w:cs="宋体"/>
              <w:bCs/>
              <w:color w:val="auto"/>
              <w:kern w:val="44"/>
              <w:szCs w:val="21"/>
              <w:highlight w:val="none"/>
              <w:lang w:val="zh-CN"/>
            </w:rPr>
            <w:t>六、授予合同</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_Toc22929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4871FA6">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_Toc14160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32</w:t>
          </w:r>
          <w:r>
            <w:rPr>
              <w:rFonts w:hint="eastAsia" w:ascii="宋体" w:hAnsi="宋体" w:eastAsia="宋体" w:cs="宋体"/>
              <w:color w:val="auto"/>
              <w:szCs w:val="21"/>
              <w:highlight w:val="none"/>
              <w:lang w:val="zh-CN"/>
            </w:rPr>
            <w:t xml:space="preserve"> 授予合同的准则</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_Toc14160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FBD963C">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_Toc8842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lang w:val="zh-CN"/>
            </w:rPr>
            <w:t>33 中标通知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_Toc8842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0634200">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_Toc26535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34</w:t>
          </w:r>
          <w:r>
            <w:rPr>
              <w:rFonts w:hint="eastAsia" w:ascii="宋体" w:hAnsi="宋体" w:eastAsia="宋体" w:cs="宋体"/>
              <w:color w:val="auto"/>
              <w:szCs w:val="21"/>
              <w:highlight w:val="none"/>
              <w:lang w:val="zh-CN"/>
            </w:rPr>
            <w:t xml:space="preserve"> 签署合同</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_Toc26535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59C0430">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_Toc1889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 xml:space="preserve">35 </w:t>
          </w:r>
          <w:r>
            <w:rPr>
              <w:rFonts w:hint="eastAsia" w:ascii="宋体" w:hAnsi="宋体" w:eastAsia="宋体" w:cs="宋体"/>
              <w:color w:val="auto"/>
              <w:szCs w:val="21"/>
              <w:highlight w:val="none"/>
              <w:lang w:val="zh-CN"/>
            </w:rPr>
            <w:t>履约担保</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_Toc1889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678CA4E">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_Toc4271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36</w:t>
          </w:r>
          <w:r>
            <w:rPr>
              <w:rFonts w:hint="eastAsia" w:ascii="宋体" w:hAnsi="宋体" w:eastAsia="宋体" w:cs="宋体"/>
              <w:color w:val="auto"/>
              <w:szCs w:val="21"/>
              <w:highlight w:val="none"/>
              <w:lang w:val="zh-CN"/>
            </w:rPr>
            <w:t xml:space="preserve"> 在合同履行中变更采购范围的权利</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_Toc4271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3152D6A">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_Toc23107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37</w:t>
          </w:r>
          <w:r>
            <w:rPr>
              <w:rFonts w:hint="eastAsia" w:ascii="宋体" w:hAnsi="宋体" w:eastAsia="宋体" w:cs="宋体"/>
              <w:color w:val="auto"/>
              <w:szCs w:val="21"/>
              <w:highlight w:val="none"/>
              <w:lang w:val="zh-CN"/>
            </w:rPr>
            <w:t xml:space="preserve"> 中标服务费</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_Toc23107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B39136E">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_Toc12346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38</w:t>
          </w:r>
          <w:r>
            <w:rPr>
              <w:rFonts w:hint="eastAsia" w:ascii="宋体" w:hAnsi="宋体" w:eastAsia="宋体" w:cs="宋体"/>
              <w:color w:val="auto"/>
              <w:szCs w:val="21"/>
              <w:highlight w:val="none"/>
              <w:lang w:val="zh-CN"/>
            </w:rPr>
            <w:t xml:space="preserve"> 发票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_Toc12346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4C9CEBC">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_Toc11437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39 招标相关补充约定</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_Toc11437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0B0E156">
          <w:pPr>
            <w:pStyle w:val="20"/>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_Toc14591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40 本次招标活动的最终解释权归招标代理机构及招标人所有。</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_Toc14591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D94D14C">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_Toc22779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第三篇 用户需求书</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_Toc22779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26</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2382AC8A">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_Toc3166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第四篇 合同条款格式</w:t>
          </w:r>
          <w:r>
            <w:rPr>
              <w:rFonts w:hint="eastAsia" w:ascii="宋体" w:hAnsi="宋体" w:eastAsia="宋体" w:cs="宋体"/>
              <w:b/>
              <w:bCs/>
              <w:color w:val="auto"/>
              <w:highlight w:val="none"/>
            </w:rPr>
            <w:tab/>
          </w:r>
          <w:r>
            <w:rPr>
              <w:rFonts w:hint="eastAsia" w:ascii="宋体" w:hAnsi="宋体" w:eastAsia="宋体" w:cs="宋体"/>
              <w:b/>
              <w:bCs/>
              <w:color w:val="auto"/>
              <w:highlight w:val="none"/>
              <w:lang w:val="en-US" w:eastAsia="zh-CN"/>
            </w:rPr>
            <w:t>38</w:t>
          </w:r>
          <w:r>
            <w:rPr>
              <w:rFonts w:hint="eastAsia" w:ascii="宋体" w:hAnsi="宋体" w:eastAsia="宋体" w:cs="宋体"/>
              <w:b/>
              <w:bCs/>
              <w:color w:val="auto"/>
              <w:highlight w:val="none"/>
            </w:rPr>
            <w:fldChar w:fldCharType="end"/>
          </w:r>
        </w:p>
        <w:p w14:paraId="3CD3C542">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_Toc20895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szCs w:val="32"/>
              <w:highlight w:val="none"/>
              <w:lang w:val="zh-CN"/>
            </w:rPr>
            <w:t>第五篇 相关保函格式</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_Toc20895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59</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2A0BFDE5">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_Toc14839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第六篇 投标文件格式</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_Toc14839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63</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1470DEE7">
          <w:pPr>
            <w:pStyle w:val="27"/>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_Toc3113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附件一：评标工作大纲</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_Toc3113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116</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43825557">
          <w:pPr>
            <w:rPr>
              <w:color w:val="auto"/>
              <w:highlight w:val="none"/>
            </w:rPr>
          </w:pPr>
          <w:r>
            <w:rPr>
              <w:color w:val="auto"/>
              <w:highlight w:val="none"/>
            </w:rPr>
            <w:fldChar w:fldCharType="end"/>
          </w:r>
        </w:p>
      </w:sdtContent>
    </w:sdt>
    <w:p w14:paraId="34C6CA65">
      <w:pPr>
        <w:rPr>
          <w:color w:val="auto"/>
          <w:highlight w:val="none"/>
        </w:rPr>
      </w:pPr>
      <w:r>
        <w:rPr>
          <w:color w:val="auto"/>
          <w:highlight w:val="none"/>
        </w:rPr>
        <w:br w:type="page"/>
      </w:r>
    </w:p>
    <w:p w14:paraId="20886CA7">
      <w:pPr>
        <w:pageBreakBefore/>
        <w:tabs>
          <w:tab w:val="left" w:pos="1080"/>
        </w:tabs>
        <w:autoSpaceDE w:val="0"/>
        <w:autoSpaceDN w:val="0"/>
        <w:adjustRightInd w:val="0"/>
        <w:spacing w:line="360" w:lineRule="auto"/>
        <w:ind w:left="-167" w:leftChars="-100" w:hanging="43"/>
        <w:jc w:val="center"/>
        <w:outlineLvl w:val="0"/>
        <w:rPr>
          <w:rFonts w:hint="default" w:ascii="宋体" w:hAnsi="宋体" w:eastAsia="宋体" w:cs="宋体"/>
          <w:b/>
          <w:bCs/>
          <w:color w:val="auto"/>
          <w:kern w:val="44"/>
          <w:sz w:val="32"/>
          <w:szCs w:val="32"/>
          <w:highlight w:val="none"/>
          <w:lang w:val="en-US" w:eastAsia="zh-CN"/>
        </w:rPr>
      </w:pPr>
      <w:bookmarkStart w:id="0" w:name="_Toc3798"/>
      <w:r>
        <w:rPr>
          <w:rFonts w:hint="eastAsia" w:ascii="宋体" w:hAnsi="宋体" w:eastAsia="宋体" w:cs="宋体"/>
          <w:b/>
          <w:bCs/>
          <w:color w:val="auto"/>
          <w:kern w:val="44"/>
          <w:sz w:val="32"/>
          <w:szCs w:val="32"/>
          <w:highlight w:val="none"/>
          <w:lang w:val="zh-CN"/>
        </w:rPr>
        <w:t>第</w:t>
      </w:r>
      <w:r>
        <w:rPr>
          <w:rFonts w:hint="eastAsia" w:ascii="宋体" w:hAnsi="宋体" w:eastAsia="宋体" w:cs="宋体"/>
          <w:b/>
          <w:bCs/>
          <w:color w:val="auto"/>
          <w:kern w:val="44"/>
          <w:sz w:val="32"/>
          <w:szCs w:val="32"/>
          <w:highlight w:val="none"/>
          <w:lang w:val="en-US" w:eastAsia="zh-CN"/>
        </w:rPr>
        <w:t>一</w:t>
      </w:r>
      <w:r>
        <w:rPr>
          <w:rFonts w:hint="eastAsia" w:ascii="宋体" w:hAnsi="宋体" w:eastAsia="宋体" w:cs="宋体"/>
          <w:b/>
          <w:bCs/>
          <w:color w:val="auto"/>
          <w:kern w:val="44"/>
          <w:sz w:val="32"/>
          <w:szCs w:val="32"/>
          <w:highlight w:val="none"/>
          <w:lang w:val="zh-CN"/>
        </w:rPr>
        <w:t>篇</w:t>
      </w:r>
      <w:r>
        <w:rPr>
          <w:rFonts w:ascii="宋体" w:hAnsi="宋体" w:eastAsia="宋体" w:cs="宋体"/>
          <w:b/>
          <w:bCs/>
          <w:color w:val="auto"/>
          <w:kern w:val="44"/>
          <w:sz w:val="32"/>
          <w:szCs w:val="32"/>
          <w:highlight w:val="none"/>
        </w:rPr>
        <w:t xml:space="preserve"> </w:t>
      </w:r>
      <w:r>
        <w:rPr>
          <w:rFonts w:hint="eastAsia" w:ascii="宋体" w:hAnsi="宋体" w:eastAsia="宋体" w:cs="宋体"/>
          <w:b/>
          <w:bCs/>
          <w:color w:val="auto"/>
          <w:kern w:val="44"/>
          <w:sz w:val="32"/>
          <w:szCs w:val="32"/>
          <w:highlight w:val="none"/>
          <w:lang w:val="en-US" w:eastAsia="zh-CN"/>
        </w:rPr>
        <w:t>招标公告</w:t>
      </w:r>
      <w:bookmarkEnd w:id="0"/>
    </w:p>
    <w:p w14:paraId="0DBF40EB">
      <w:pPr>
        <w:rPr>
          <w:color w:val="auto"/>
          <w:highlight w:val="none"/>
        </w:rPr>
      </w:pPr>
    </w:p>
    <w:p w14:paraId="38589339">
      <w:pPr>
        <w:autoSpaceDE w:val="0"/>
        <w:autoSpaceDN w:val="0"/>
        <w:adjustRightInd w:val="0"/>
        <w:snapToGrid w:val="0"/>
        <w:spacing w:line="360" w:lineRule="auto"/>
        <w:ind w:right="-34" w:firstLine="420" w:firstLineChars="200"/>
        <w:rPr>
          <w:rFonts w:ascii="宋体" w:hAnsi="宋体" w:eastAsia="宋体" w:cs="Times New Roman"/>
          <w:color w:val="auto"/>
          <w:szCs w:val="21"/>
          <w:highlight w:val="none"/>
          <w:lang w:val="zh-CN"/>
        </w:rPr>
      </w:pPr>
      <w:r>
        <w:rPr>
          <w:rFonts w:hint="eastAsia" w:ascii="宋体" w:hAnsi="宋体" w:eastAsia="宋体" w:cs="Times New Roman"/>
          <w:color w:val="auto"/>
          <w:kern w:val="0"/>
          <w:szCs w:val="21"/>
          <w:highlight w:val="none"/>
          <w:lang w:val="en-US" w:eastAsia="zh-CN"/>
        </w:rPr>
        <w:t>中招国际招标有限公司</w:t>
      </w:r>
      <w:r>
        <w:rPr>
          <w:rFonts w:ascii="宋体" w:hAnsi="宋体" w:eastAsia="宋体" w:cs="Times New Roman"/>
          <w:color w:val="auto"/>
          <w:szCs w:val="21"/>
          <w:highlight w:val="none"/>
          <w:lang w:val="zh-CN"/>
        </w:rPr>
        <w:t>（以下简称“招标代理机构”）受</w:t>
      </w:r>
      <w:r>
        <w:rPr>
          <w:rFonts w:hint="eastAsia" w:ascii="宋体" w:hAnsi="宋体" w:eastAsia="宋体" w:cs="Times New Roman"/>
          <w:color w:val="auto"/>
          <w:kern w:val="0"/>
          <w:szCs w:val="21"/>
          <w:highlight w:val="none"/>
          <w:lang w:eastAsia="zh-CN"/>
        </w:rPr>
        <w:t>东莞市水务环境投资控股集团管网有限公司</w:t>
      </w:r>
      <w:r>
        <w:rPr>
          <w:rFonts w:ascii="宋体" w:hAnsi="宋体" w:eastAsia="宋体" w:cs="Times New Roman"/>
          <w:color w:val="auto"/>
          <w:szCs w:val="21"/>
          <w:highlight w:val="none"/>
          <w:lang w:val="zh-CN"/>
        </w:rPr>
        <w:t>（以下简称“招标人”）的委托，对</w:t>
      </w:r>
      <w:bookmarkStart w:id="1" w:name="_Hlk41903390"/>
      <w:r>
        <w:rPr>
          <w:rFonts w:hint="eastAsia" w:ascii="宋体" w:hAnsi="宋体" w:eastAsia="宋体" w:cs="Times New Roman"/>
          <w:color w:val="auto"/>
          <w:kern w:val="0"/>
          <w:szCs w:val="21"/>
          <w:highlight w:val="none"/>
          <w:lang w:eastAsia="zh-CN"/>
        </w:rPr>
        <w:t>东莞市水务环境投资控股集团管网有限公司2026年防撞缓冲车采购项目（第四次招标）</w:t>
      </w:r>
      <w:r>
        <w:rPr>
          <w:rFonts w:ascii="宋体" w:hAnsi="宋体" w:eastAsia="宋体" w:cs="Times New Roman"/>
          <w:color w:val="auto"/>
          <w:szCs w:val="21"/>
          <w:highlight w:val="none"/>
          <w:lang w:val="zh-CN"/>
        </w:rPr>
        <w:t>(招标编号：</w:t>
      </w:r>
      <w:r>
        <w:rPr>
          <w:rFonts w:hint="eastAsia" w:ascii="宋体" w:hAnsi="宋体" w:eastAsia="宋体" w:cs="Times New Roman"/>
          <w:color w:val="auto"/>
          <w:szCs w:val="21"/>
          <w:highlight w:val="none"/>
          <w:lang w:val="en-US" w:eastAsia="zh-CN"/>
        </w:rPr>
        <w:t>TC269400L</w:t>
      </w:r>
      <w:r>
        <w:rPr>
          <w:rFonts w:ascii="宋体" w:hAnsi="宋体" w:eastAsia="宋体" w:cs="Times New Roman"/>
          <w:color w:val="auto"/>
          <w:szCs w:val="21"/>
          <w:highlight w:val="none"/>
          <w:lang w:val="zh-CN"/>
        </w:rPr>
        <w:t>)</w:t>
      </w:r>
      <w:bookmarkEnd w:id="1"/>
      <w:r>
        <w:rPr>
          <w:rFonts w:ascii="宋体" w:hAnsi="宋体" w:eastAsia="宋体" w:cs="Times New Roman"/>
          <w:color w:val="auto"/>
          <w:szCs w:val="21"/>
          <w:highlight w:val="none"/>
          <w:lang w:val="zh-CN"/>
        </w:rPr>
        <w:t>进行国内公开招标，</w:t>
      </w:r>
      <w:r>
        <w:rPr>
          <w:rFonts w:hint="eastAsia" w:ascii="宋体" w:hAnsi="宋体" w:eastAsia="宋体" w:cs="Times New Roman"/>
          <w:bCs/>
          <w:color w:val="auto"/>
          <w:kern w:val="0"/>
          <w:szCs w:val="21"/>
          <w:highlight w:val="none"/>
        </w:rPr>
        <w:t>详情请参见本招标文件</w:t>
      </w:r>
      <w:r>
        <w:rPr>
          <w:rFonts w:ascii="宋体" w:hAnsi="宋体" w:eastAsia="宋体" w:cs="Times New Roman"/>
          <w:bCs/>
          <w:color w:val="auto"/>
          <w:kern w:val="0"/>
          <w:szCs w:val="21"/>
          <w:highlight w:val="none"/>
        </w:rPr>
        <w:t>。</w:t>
      </w:r>
      <w:r>
        <w:rPr>
          <w:rFonts w:hint="eastAsia" w:ascii="宋体" w:hAnsi="宋体" w:eastAsia="宋体" w:cs="Times New Roman"/>
          <w:color w:val="auto"/>
          <w:kern w:val="0"/>
          <w:szCs w:val="21"/>
          <w:highlight w:val="none"/>
        </w:rPr>
        <w:t>欢迎符合条件的合格投标人参加投标，</w:t>
      </w:r>
      <w:r>
        <w:rPr>
          <w:rFonts w:hint="eastAsia" w:ascii="宋体" w:hAnsi="宋体" w:eastAsia="宋体" w:cs="Times New Roman"/>
          <w:bCs/>
          <w:color w:val="auto"/>
          <w:kern w:val="0"/>
          <w:szCs w:val="21"/>
          <w:highlight w:val="none"/>
        </w:rPr>
        <w:t>有关事项如下：</w:t>
      </w:r>
    </w:p>
    <w:p w14:paraId="65892A30">
      <w:pPr>
        <w:autoSpaceDE w:val="0"/>
        <w:autoSpaceDN w:val="0"/>
        <w:adjustRightInd w:val="0"/>
        <w:spacing w:line="360" w:lineRule="auto"/>
        <w:ind w:right="-29" w:rightChars="-14" w:firstLine="420" w:firstLineChars="200"/>
        <w:rPr>
          <w:rFonts w:ascii="宋体" w:hAnsi="宋体" w:eastAsia="宋体" w:cs="Times New Roman"/>
          <w:color w:val="auto"/>
          <w:szCs w:val="21"/>
          <w:highlight w:val="none"/>
          <w:lang w:val="zh-CN"/>
        </w:rPr>
      </w:pPr>
    </w:p>
    <w:p w14:paraId="6CB5F60E">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招标范围：</w:t>
      </w:r>
    </w:p>
    <w:tbl>
      <w:tblPr>
        <w:tblStyle w:val="36"/>
        <w:tblW w:w="10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329"/>
        <w:gridCol w:w="686"/>
        <w:gridCol w:w="754"/>
        <w:gridCol w:w="6051"/>
        <w:gridCol w:w="799"/>
      </w:tblGrid>
      <w:tr w14:paraId="30D4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5E2FF9A5">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bidi="ar"/>
              </w:rPr>
              <w:t>序号</w:t>
            </w:r>
          </w:p>
        </w:tc>
        <w:tc>
          <w:tcPr>
            <w:tcW w:w="1329" w:type="dxa"/>
            <w:tcBorders>
              <w:top w:val="single" w:color="auto" w:sz="4" w:space="0"/>
              <w:left w:val="nil"/>
              <w:bottom w:val="single" w:color="auto" w:sz="4" w:space="0"/>
              <w:right w:val="single" w:color="auto" w:sz="4" w:space="0"/>
            </w:tcBorders>
            <w:shd w:val="clear" w:color="auto" w:fill="auto"/>
            <w:vAlign w:val="center"/>
          </w:tcPr>
          <w:p w14:paraId="501F568B">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val="en-US" w:eastAsia="zh-CN"/>
              </w:rPr>
              <w:t>采购内容</w:t>
            </w:r>
          </w:p>
        </w:tc>
        <w:tc>
          <w:tcPr>
            <w:tcW w:w="686" w:type="dxa"/>
            <w:tcBorders>
              <w:top w:val="single" w:color="auto" w:sz="4" w:space="0"/>
              <w:left w:val="nil"/>
              <w:bottom w:val="single" w:color="auto" w:sz="4" w:space="0"/>
              <w:right w:val="single" w:color="auto" w:sz="4" w:space="0"/>
            </w:tcBorders>
            <w:shd w:val="clear" w:color="auto" w:fill="auto"/>
            <w:vAlign w:val="center"/>
          </w:tcPr>
          <w:p w14:paraId="0F6F380D">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lang w:bidi="ar"/>
              </w:rPr>
              <w:t>数量</w:t>
            </w:r>
          </w:p>
        </w:tc>
        <w:tc>
          <w:tcPr>
            <w:tcW w:w="754" w:type="dxa"/>
            <w:tcBorders>
              <w:top w:val="single" w:color="auto" w:sz="4" w:space="0"/>
              <w:left w:val="nil"/>
              <w:bottom w:val="single" w:color="auto" w:sz="4" w:space="0"/>
              <w:right w:val="single" w:color="auto" w:sz="4" w:space="0"/>
            </w:tcBorders>
            <w:shd w:val="clear" w:color="auto" w:fill="auto"/>
            <w:vAlign w:val="center"/>
          </w:tcPr>
          <w:p w14:paraId="1EDF8DC1">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lang w:bidi="ar"/>
              </w:rPr>
              <w:t>单位</w:t>
            </w:r>
          </w:p>
        </w:tc>
        <w:tc>
          <w:tcPr>
            <w:tcW w:w="6051" w:type="dxa"/>
            <w:tcBorders>
              <w:top w:val="single" w:color="auto" w:sz="4" w:space="0"/>
              <w:left w:val="nil"/>
              <w:bottom w:val="single" w:color="auto" w:sz="4" w:space="0"/>
              <w:right w:val="single" w:color="auto" w:sz="4" w:space="0"/>
            </w:tcBorders>
            <w:shd w:val="clear" w:color="auto" w:fill="auto"/>
            <w:vAlign w:val="center"/>
          </w:tcPr>
          <w:p w14:paraId="5AED2D43">
            <w:pPr>
              <w:widowControl/>
              <w:autoSpaceDE w:val="0"/>
              <w:autoSpaceDN w:val="0"/>
              <w:adjustRightInd w:val="0"/>
              <w:spacing w:line="240" w:lineRule="auto"/>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lang w:bidi="ar"/>
              </w:rPr>
              <w:t>供货期</w:t>
            </w:r>
          </w:p>
        </w:tc>
        <w:tc>
          <w:tcPr>
            <w:tcW w:w="799" w:type="dxa"/>
            <w:tcBorders>
              <w:top w:val="single" w:color="auto" w:sz="4" w:space="0"/>
              <w:left w:val="nil"/>
              <w:bottom w:val="single" w:color="auto" w:sz="4" w:space="0"/>
              <w:right w:val="single" w:color="auto" w:sz="4" w:space="0"/>
            </w:tcBorders>
            <w:shd w:val="clear" w:color="auto" w:fill="auto"/>
            <w:vAlign w:val="center"/>
          </w:tcPr>
          <w:p w14:paraId="1953CEF7">
            <w:pPr>
              <w:widowControl/>
              <w:autoSpaceDE w:val="0"/>
              <w:autoSpaceDN w:val="0"/>
              <w:adjustRightInd w:val="0"/>
              <w:spacing w:line="240" w:lineRule="auto"/>
              <w:jc w:val="center"/>
              <w:rPr>
                <w:rFonts w:hint="eastAsia" w:ascii="宋体" w:hAnsi="宋体" w:eastAsia="宋体" w:cs="宋体"/>
                <w:b/>
                <w:bCs/>
                <w:color w:val="auto"/>
                <w:szCs w:val="21"/>
                <w:highlight w:val="none"/>
                <w:lang w:val="en-US" w:eastAsia="zh-CN" w:bidi="ar"/>
              </w:rPr>
            </w:pPr>
            <w:r>
              <w:rPr>
                <w:rFonts w:hint="eastAsia" w:ascii="宋体" w:hAnsi="宋体" w:eastAsia="宋体" w:cs="宋体"/>
                <w:b/>
                <w:bCs/>
                <w:color w:val="auto"/>
                <w:szCs w:val="21"/>
                <w:highlight w:val="none"/>
                <w:lang w:val="en-US" w:eastAsia="zh-CN" w:bidi="ar"/>
              </w:rPr>
              <w:t>备注</w:t>
            </w:r>
          </w:p>
        </w:tc>
      </w:tr>
      <w:tr w14:paraId="3785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8" w:type="dxa"/>
            <w:tcBorders>
              <w:top w:val="single" w:color="auto" w:sz="4" w:space="0"/>
              <w:left w:val="single" w:color="auto" w:sz="4" w:space="0"/>
              <w:right w:val="single" w:color="auto" w:sz="4" w:space="0"/>
            </w:tcBorders>
            <w:shd w:val="clear" w:color="auto" w:fill="auto"/>
            <w:vAlign w:val="center"/>
          </w:tcPr>
          <w:p w14:paraId="7B5438B2">
            <w:pPr>
              <w:keepNext w:val="0"/>
              <w:keepLines w:val="0"/>
              <w:pageBreakBefore w:val="0"/>
              <w:widowControl/>
              <w:kinsoku/>
              <w:wordWrap/>
              <w:overflowPunct/>
              <w:topLinePunct w:val="0"/>
              <w:autoSpaceDE w:val="0"/>
              <w:autoSpaceDN w:val="0"/>
              <w:bidi w:val="0"/>
              <w:adjustRightInd w:val="0"/>
              <w:snapToGrid w:val="0"/>
              <w:spacing w:line="20" w:lineRule="atLeast"/>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bidi="ar"/>
              </w:rPr>
              <w:t>1</w:t>
            </w:r>
          </w:p>
        </w:tc>
        <w:tc>
          <w:tcPr>
            <w:tcW w:w="1329" w:type="dxa"/>
            <w:tcBorders>
              <w:top w:val="single" w:color="auto" w:sz="4" w:space="0"/>
              <w:left w:val="nil"/>
              <w:right w:val="single" w:color="auto" w:sz="4" w:space="0"/>
            </w:tcBorders>
            <w:shd w:val="clear" w:color="auto" w:fill="auto"/>
            <w:vAlign w:val="center"/>
          </w:tcPr>
          <w:p w14:paraId="67E6AA8E">
            <w:pPr>
              <w:keepNext w:val="0"/>
              <w:keepLines w:val="0"/>
              <w:pageBreakBefore w:val="0"/>
              <w:widowControl/>
              <w:kinsoku/>
              <w:wordWrap/>
              <w:overflowPunct/>
              <w:topLinePunct w:val="0"/>
              <w:autoSpaceDE w:val="0"/>
              <w:autoSpaceDN w:val="0"/>
              <w:bidi w:val="0"/>
              <w:adjustRightInd w:val="0"/>
              <w:snapToGrid w:val="0"/>
              <w:spacing w:line="20" w:lineRule="atLeast"/>
              <w:jc w:val="center"/>
              <w:textAlignment w:val="auto"/>
              <w:rPr>
                <w:rFonts w:hint="default" w:ascii="宋体" w:hAnsi="宋体" w:eastAsia="宋体" w:cs="宋体"/>
                <w:color w:val="auto"/>
                <w:szCs w:val="21"/>
                <w:highlight w:val="none"/>
                <w:lang w:val="en-US" w:eastAsia="zh-CN" w:bidi="ar"/>
              </w:rPr>
            </w:pPr>
            <w:r>
              <w:rPr>
                <w:rFonts w:hint="eastAsia" w:ascii="宋体" w:hAnsi="宋体" w:eastAsia="宋体" w:cs="宋体"/>
                <w:color w:val="auto"/>
                <w:szCs w:val="21"/>
                <w:highlight w:val="none"/>
                <w:lang w:val="en-US" w:eastAsia="zh-CN" w:bidi="ar"/>
              </w:rPr>
              <w:t>防撞缓冲车</w:t>
            </w:r>
          </w:p>
        </w:tc>
        <w:tc>
          <w:tcPr>
            <w:tcW w:w="686" w:type="dxa"/>
            <w:tcBorders>
              <w:top w:val="single" w:color="auto" w:sz="4" w:space="0"/>
              <w:left w:val="nil"/>
              <w:right w:val="single" w:color="auto" w:sz="4" w:space="0"/>
            </w:tcBorders>
            <w:shd w:val="clear" w:color="auto" w:fill="auto"/>
            <w:vAlign w:val="center"/>
          </w:tcPr>
          <w:p w14:paraId="36CB66D0">
            <w:pPr>
              <w:keepNext w:val="0"/>
              <w:keepLines w:val="0"/>
              <w:pageBreakBefore w:val="0"/>
              <w:widowControl/>
              <w:kinsoku/>
              <w:wordWrap/>
              <w:overflowPunct/>
              <w:topLinePunct w:val="0"/>
              <w:autoSpaceDE w:val="0"/>
              <w:autoSpaceDN w:val="0"/>
              <w:bidi w:val="0"/>
              <w:adjustRightInd w:val="0"/>
              <w:snapToGrid w:val="0"/>
              <w:spacing w:line="20" w:lineRule="atLeast"/>
              <w:jc w:val="center"/>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w:t>
            </w:r>
          </w:p>
        </w:tc>
        <w:tc>
          <w:tcPr>
            <w:tcW w:w="754" w:type="dxa"/>
            <w:tcBorders>
              <w:top w:val="single" w:color="auto" w:sz="4" w:space="0"/>
              <w:left w:val="nil"/>
              <w:bottom w:val="single" w:color="auto" w:sz="4" w:space="0"/>
              <w:right w:val="single" w:color="auto" w:sz="4" w:space="0"/>
            </w:tcBorders>
            <w:shd w:val="clear" w:color="auto" w:fill="auto"/>
            <w:vAlign w:val="center"/>
          </w:tcPr>
          <w:p w14:paraId="5B63B460">
            <w:pPr>
              <w:keepNext w:val="0"/>
              <w:keepLines w:val="0"/>
              <w:pageBreakBefore w:val="0"/>
              <w:widowControl/>
              <w:kinsoku/>
              <w:wordWrap/>
              <w:overflowPunct/>
              <w:topLinePunct w:val="0"/>
              <w:autoSpaceDE w:val="0"/>
              <w:autoSpaceDN w:val="0"/>
              <w:bidi w:val="0"/>
              <w:adjustRightInd w:val="0"/>
              <w:snapToGrid w:val="0"/>
              <w:spacing w:line="20" w:lineRule="atLeast"/>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辆</w:t>
            </w:r>
          </w:p>
        </w:tc>
        <w:tc>
          <w:tcPr>
            <w:tcW w:w="6051" w:type="dxa"/>
            <w:tcBorders>
              <w:top w:val="single" w:color="auto" w:sz="4" w:space="0"/>
              <w:left w:val="nil"/>
              <w:right w:val="single" w:color="auto" w:sz="4" w:space="0"/>
            </w:tcBorders>
            <w:shd w:val="clear" w:color="auto" w:fill="auto"/>
            <w:vAlign w:val="center"/>
          </w:tcPr>
          <w:p w14:paraId="00781B49">
            <w:pPr>
              <w:numPr>
                <w:ilvl w:val="255"/>
                <w:numId w:val="0"/>
              </w:numPr>
              <w:autoSpaceDE w:val="0"/>
              <w:autoSpaceDN w:val="0"/>
              <w:adjustRightInd w:val="0"/>
              <w:snapToGrid w:val="0"/>
              <w:spacing w:line="360" w:lineRule="auto"/>
              <w:ind w:firstLine="0" w:firstLineChars="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（1）自合同签订之日起30个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内完成供货及查验车辆（不得超过中标通知书发出之日起</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w:t>
            </w:r>
          </w:p>
          <w:p w14:paraId="21E0CBE4">
            <w:pPr>
              <w:numPr>
                <w:ilvl w:val="255"/>
                <w:numId w:val="0"/>
              </w:numPr>
              <w:autoSpaceDE w:val="0"/>
              <w:autoSpaceDN w:val="0"/>
              <w:adjustRightInd w:val="0"/>
              <w:snapToGrid w:val="0"/>
              <w:spacing w:line="360" w:lineRule="auto"/>
              <w:contextualSpacing/>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（2）车辆查验合格后20个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内完成上牌（必须为东莞市车牌）、配件安装（包括安装行车记录仪、贴膜等）和车辆交付。</w:t>
            </w:r>
          </w:p>
        </w:tc>
        <w:tc>
          <w:tcPr>
            <w:tcW w:w="799" w:type="dxa"/>
            <w:tcBorders>
              <w:top w:val="single" w:color="auto" w:sz="4" w:space="0"/>
              <w:left w:val="nil"/>
              <w:right w:val="single" w:color="auto" w:sz="4" w:space="0"/>
            </w:tcBorders>
            <w:shd w:val="clear" w:color="auto" w:fill="auto"/>
            <w:vAlign w:val="center"/>
          </w:tcPr>
          <w:p w14:paraId="1E33B8A2">
            <w:pPr>
              <w:autoSpaceDE w:val="0"/>
              <w:autoSpaceDN w:val="0"/>
              <w:adjustRightInd w:val="0"/>
              <w:spacing w:line="360" w:lineRule="auto"/>
              <w:jc w:val="center"/>
              <w:rPr>
                <w:rFonts w:hint="eastAsia" w:ascii="宋体" w:hAnsi="宋体" w:eastAsia="宋体" w:cs="宋体"/>
                <w:color w:val="auto"/>
                <w:szCs w:val="21"/>
                <w:highlight w:val="none"/>
              </w:rPr>
            </w:pPr>
          </w:p>
        </w:tc>
      </w:tr>
      <w:tr w14:paraId="50C8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7" w:type="dxa"/>
            <w:gridSpan w:val="6"/>
            <w:tcBorders>
              <w:left w:val="single" w:color="auto" w:sz="4" w:space="0"/>
              <w:bottom w:val="single" w:color="auto" w:sz="4" w:space="0"/>
              <w:right w:val="single" w:color="auto" w:sz="4" w:space="0"/>
            </w:tcBorders>
            <w:shd w:val="clear" w:color="auto" w:fill="auto"/>
            <w:vAlign w:val="center"/>
          </w:tcPr>
          <w:p w14:paraId="1A0EE119">
            <w:pPr>
              <w:autoSpaceDE w:val="0"/>
              <w:autoSpaceDN w:val="0"/>
              <w:adjustRightInd w:val="0"/>
              <w:spacing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Times New Roman"/>
                <w:color w:val="auto"/>
                <w:szCs w:val="21"/>
                <w:highlight w:val="none"/>
                <w:lang w:val="zh-CN"/>
              </w:rPr>
              <w:t>（具体内容详见：第三篇用户需求书）。</w:t>
            </w:r>
          </w:p>
        </w:tc>
      </w:tr>
    </w:tbl>
    <w:p w14:paraId="7F66189F">
      <w:pPr>
        <w:autoSpaceDE w:val="0"/>
        <w:autoSpaceDN w:val="0"/>
        <w:adjustRightInd w:val="0"/>
        <w:spacing w:line="360" w:lineRule="auto"/>
        <w:ind w:right="-29" w:rightChars="-14"/>
        <w:rPr>
          <w:rFonts w:ascii="宋体" w:hAnsi="宋体" w:eastAsia="宋体" w:cs="Times New Roman"/>
          <w:color w:val="auto"/>
          <w:szCs w:val="21"/>
          <w:highlight w:val="none"/>
          <w:lang w:val="zh-CN"/>
        </w:rPr>
      </w:pPr>
    </w:p>
    <w:p w14:paraId="0B85D2E4">
      <w:pPr>
        <w:numPr>
          <w:ilvl w:val="0"/>
          <w:numId w:val="1"/>
        </w:numPr>
        <w:autoSpaceDE w:val="0"/>
        <w:autoSpaceDN w:val="0"/>
        <w:adjustRightInd w:val="0"/>
        <w:snapToGrid w:val="0"/>
        <w:spacing w:line="360" w:lineRule="auto"/>
        <w:ind w:right="-34"/>
        <w:jc w:val="left"/>
        <w:rPr>
          <w:rFonts w:ascii="宋体" w:hAnsi="宋体" w:eastAsia="宋体" w:cs="Times New Roman"/>
          <w:b/>
          <w:color w:val="auto"/>
          <w:szCs w:val="21"/>
          <w:highlight w:val="none"/>
          <w:lang w:val="zh-CN"/>
        </w:rPr>
      </w:pPr>
      <w:r>
        <w:rPr>
          <w:rFonts w:ascii="宋体" w:hAnsi="宋体" w:eastAsia="宋体" w:cs="Times New Roman"/>
          <w:b/>
          <w:color w:val="auto"/>
          <w:szCs w:val="21"/>
          <w:highlight w:val="none"/>
          <w:lang w:val="zh-CN"/>
        </w:rPr>
        <w:t>合格投标人</w:t>
      </w:r>
      <w:r>
        <w:rPr>
          <w:rFonts w:hint="eastAsia" w:ascii="宋体" w:hAnsi="宋体" w:eastAsia="宋体" w:cs="Times New Roman"/>
          <w:b/>
          <w:color w:val="auto"/>
          <w:szCs w:val="21"/>
          <w:highlight w:val="none"/>
          <w:lang w:val="zh-CN"/>
        </w:rPr>
        <w:t>资格要求</w:t>
      </w:r>
    </w:p>
    <w:p w14:paraId="3E6D8531">
      <w:pPr>
        <w:pStyle w:val="157"/>
        <w:spacing w:line="360" w:lineRule="auto"/>
        <w:ind w:right="-29" w:rightChars="-14" w:firstLine="0" w:firstLineChars="0"/>
        <w:jc w:val="both"/>
        <w:rPr>
          <w:rFonts w:hAnsi="宋体" w:eastAsia="宋体"/>
          <w:b/>
          <w:color w:val="auto"/>
          <w:sz w:val="21"/>
          <w:szCs w:val="21"/>
          <w:highlight w:val="none"/>
          <w:lang w:val="zh-CN"/>
        </w:rPr>
      </w:pPr>
      <w:r>
        <w:rPr>
          <w:rFonts w:hint="eastAsia" w:hAnsi="宋体" w:eastAsia="宋体"/>
          <w:b/>
          <w:color w:val="auto"/>
          <w:sz w:val="21"/>
          <w:szCs w:val="21"/>
          <w:highlight w:val="none"/>
          <w:lang w:val="zh-CN"/>
        </w:rPr>
        <w:t>2</w:t>
      </w:r>
      <w:r>
        <w:rPr>
          <w:rFonts w:hAnsi="宋体" w:eastAsia="宋体"/>
          <w:b/>
          <w:color w:val="auto"/>
          <w:sz w:val="21"/>
          <w:szCs w:val="21"/>
          <w:highlight w:val="none"/>
          <w:lang w:val="zh-CN"/>
        </w:rPr>
        <w:t xml:space="preserve">.1 </w:t>
      </w:r>
      <w:r>
        <w:rPr>
          <w:rFonts w:hint="eastAsia" w:hAnsi="宋体" w:eastAsia="宋体"/>
          <w:b/>
          <w:color w:val="auto"/>
          <w:sz w:val="21"/>
          <w:szCs w:val="21"/>
          <w:highlight w:val="none"/>
          <w:lang w:val="zh-CN"/>
        </w:rPr>
        <w:t>在中华人民共和国境内登记注册、合法存续、正常经营且具有独立承担民事责任能力的法人或其他组织</w:t>
      </w:r>
      <w:r>
        <w:rPr>
          <w:rFonts w:hAnsi="宋体" w:eastAsia="宋体"/>
          <w:b/>
          <w:color w:val="auto"/>
          <w:sz w:val="21"/>
          <w:szCs w:val="21"/>
          <w:highlight w:val="none"/>
          <w:lang w:val="zh-CN"/>
        </w:rPr>
        <w:t>；</w:t>
      </w:r>
    </w:p>
    <w:p w14:paraId="4B9398EA">
      <w:pPr>
        <w:pStyle w:val="157"/>
        <w:spacing w:line="360" w:lineRule="auto"/>
        <w:ind w:right="-29" w:rightChars="-14" w:firstLine="0" w:firstLineChars="0"/>
        <w:jc w:val="both"/>
        <w:rPr>
          <w:rFonts w:hint="eastAsia" w:hAnsi="宋体" w:eastAsia="宋体"/>
          <w:b/>
          <w:color w:val="auto"/>
          <w:sz w:val="21"/>
          <w:szCs w:val="21"/>
          <w:highlight w:val="none"/>
          <w:lang w:val="en-US" w:eastAsia="zh-CN"/>
        </w:rPr>
      </w:pPr>
      <w:bookmarkStart w:id="2" w:name="_Toc25819"/>
      <w:r>
        <w:rPr>
          <w:rFonts w:hint="eastAsia" w:hAnsi="宋体" w:eastAsia="宋体"/>
          <w:b/>
          <w:color w:val="auto"/>
          <w:sz w:val="21"/>
          <w:szCs w:val="21"/>
          <w:highlight w:val="none"/>
          <w:lang w:val="zh-CN"/>
        </w:rPr>
        <w:t>2.</w:t>
      </w:r>
      <w:r>
        <w:rPr>
          <w:rFonts w:hint="eastAsia" w:hAnsi="宋体" w:eastAsia="宋体"/>
          <w:b/>
          <w:color w:val="auto"/>
          <w:sz w:val="21"/>
          <w:szCs w:val="21"/>
          <w:highlight w:val="none"/>
          <w:lang w:val="en-US" w:eastAsia="zh-CN"/>
        </w:rPr>
        <w:t>2</w:t>
      </w:r>
      <w:r>
        <w:rPr>
          <w:rFonts w:hint="eastAsia" w:hAnsi="宋体" w:eastAsia="宋体"/>
          <w:b/>
          <w:color w:val="auto"/>
          <w:sz w:val="21"/>
          <w:szCs w:val="21"/>
          <w:highlight w:val="none"/>
          <w:lang w:val="zh-CN"/>
        </w:rPr>
        <w:t xml:space="preserve"> 投标人</w:t>
      </w:r>
      <w:r>
        <w:rPr>
          <w:rFonts w:hint="eastAsia" w:hAnsi="宋体" w:eastAsia="宋体"/>
          <w:b/>
          <w:color w:val="auto"/>
          <w:sz w:val="21"/>
          <w:szCs w:val="21"/>
          <w:highlight w:val="none"/>
        </w:rPr>
        <w:t>202</w:t>
      </w:r>
      <w:r>
        <w:rPr>
          <w:rFonts w:hint="eastAsia" w:hAnsi="宋体" w:eastAsia="宋体"/>
          <w:b/>
          <w:color w:val="auto"/>
          <w:sz w:val="21"/>
          <w:szCs w:val="21"/>
          <w:highlight w:val="none"/>
          <w:lang w:val="en-US" w:eastAsia="zh-CN"/>
        </w:rPr>
        <w:t>3</w:t>
      </w:r>
      <w:r>
        <w:rPr>
          <w:rFonts w:hint="eastAsia" w:hAnsi="宋体" w:eastAsia="宋体"/>
          <w:b/>
          <w:color w:val="auto"/>
          <w:sz w:val="21"/>
          <w:szCs w:val="21"/>
          <w:highlight w:val="none"/>
          <w:lang w:val="zh-CN"/>
        </w:rPr>
        <w:t>年</w:t>
      </w:r>
      <w:r>
        <w:rPr>
          <w:rFonts w:hint="eastAsia" w:hAnsi="宋体" w:eastAsia="宋体"/>
          <w:b/>
          <w:color w:val="auto"/>
          <w:sz w:val="21"/>
          <w:szCs w:val="21"/>
          <w:highlight w:val="none"/>
        </w:rPr>
        <w:t>1</w:t>
      </w:r>
      <w:r>
        <w:rPr>
          <w:rFonts w:hint="eastAsia" w:hAnsi="宋体" w:eastAsia="宋体"/>
          <w:b/>
          <w:color w:val="auto"/>
          <w:sz w:val="21"/>
          <w:szCs w:val="21"/>
          <w:highlight w:val="none"/>
          <w:lang w:val="zh-CN"/>
        </w:rPr>
        <w:t>月</w:t>
      </w:r>
      <w:r>
        <w:rPr>
          <w:rFonts w:hint="eastAsia" w:hAnsi="宋体" w:eastAsia="宋体"/>
          <w:b/>
          <w:color w:val="auto"/>
          <w:sz w:val="21"/>
          <w:szCs w:val="21"/>
          <w:highlight w:val="none"/>
        </w:rPr>
        <w:t>1</w:t>
      </w:r>
      <w:r>
        <w:rPr>
          <w:rFonts w:hint="eastAsia" w:hAnsi="宋体" w:eastAsia="宋体"/>
          <w:b/>
          <w:color w:val="auto"/>
          <w:sz w:val="21"/>
          <w:szCs w:val="21"/>
          <w:highlight w:val="none"/>
          <w:lang w:val="zh-CN"/>
        </w:rPr>
        <w:t>日以来具有一份</w:t>
      </w:r>
      <w:r>
        <w:rPr>
          <w:rFonts w:hint="eastAsia" w:hAnsi="宋体" w:eastAsia="宋体"/>
          <w:b/>
          <w:color w:val="auto"/>
          <w:sz w:val="21"/>
          <w:szCs w:val="21"/>
          <w:highlight w:val="none"/>
        </w:rPr>
        <w:t>所投车型销售</w:t>
      </w:r>
      <w:r>
        <w:rPr>
          <w:rFonts w:hint="eastAsia" w:hAnsi="宋体" w:eastAsia="宋体"/>
          <w:b/>
          <w:color w:val="auto"/>
          <w:sz w:val="21"/>
          <w:szCs w:val="21"/>
          <w:highlight w:val="none"/>
          <w:lang w:val="zh-CN"/>
        </w:rPr>
        <w:t>业绩（合同签订日期为</w:t>
      </w:r>
      <w:r>
        <w:rPr>
          <w:rFonts w:hint="default" w:hAnsi="宋体" w:eastAsia="宋体"/>
          <w:b/>
          <w:color w:val="auto"/>
          <w:sz w:val="21"/>
          <w:szCs w:val="21"/>
          <w:highlight w:val="none"/>
          <w:lang w:val="en-US"/>
        </w:rPr>
        <w:t>202</w:t>
      </w:r>
      <w:r>
        <w:rPr>
          <w:rFonts w:hint="default" w:hAnsi="宋体" w:eastAsia="宋体"/>
          <w:b/>
          <w:color w:val="auto"/>
          <w:sz w:val="21"/>
          <w:szCs w:val="21"/>
          <w:highlight w:val="none"/>
          <w:lang w:val="en-US" w:eastAsia="zh-CN"/>
        </w:rPr>
        <w:t>3</w:t>
      </w:r>
      <w:r>
        <w:rPr>
          <w:rFonts w:hint="default" w:hAnsi="宋体" w:eastAsia="宋体"/>
          <w:b/>
          <w:color w:val="auto"/>
          <w:sz w:val="21"/>
          <w:szCs w:val="21"/>
          <w:highlight w:val="none"/>
          <w:lang w:val="en-US"/>
        </w:rPr>
        <w:t>年1月1日或以后</w:t>
      </w:r>
      <w:r>
        <w:rPr>
          <w:rFonts w:hint="eastAsia" w:hAnsi="宋体" w:eastAsia="宋体"/>
          <w:b/>
          <w:color w:val="auto"/>
          <w:sz w:val="21"/>
          <w:szCs w:val="21"/>
          <w:highlight w:val="none"/>
          <w:lang w:val="zh-CN"/>
        </w:rPr>
        <w:t>）；</w:t>
      </w:r>
    </w:p>
    <w:p w14:paraId="0795652C">
      <w:pPr>
        <w:pStyle w:val="157"/>
        <w:spacing w:line="360" w:lineRule="auto"/>
        <w:ind w:right="-29" w:rightChars="-14" w:firstLine="0" w:firstLineChars="0"/>
        <w:jc w:val="both"/>
        <w:rPr>
          <w:rFonts w:hint="eastAsia" w:hAnsi="宋体" w:eastAsia="宋体"/>
          <w:b/>
          <w:color w:val="auto"/>
          <w:sz w:val="21"/>
          <w:szCs w:val="21"/>
          <w:highlight w:val="none"/>
          <w:lang w:val="zh-CN"/>
        </w:rPr>
      </w:pPr>
      <w:r>
        <w:rPr>
          <w:rFonts w:hint="eastAsia" w:hAnsi="宋体" w:eastAsia="宋体"/>
          <w:b/>
          <w:color w:val="auto"/>
          <w:sz w:val="21"/>
          <w:szCs w:val="21"/>
          <w:highlight w:val="none"/>
          <w:lang w:val="en-US" w:eastAsia="zh-CN"/>
        </w:rPr>
        <w:t xml:space="preserve">2.3 </w:t>
      </w:r>
      <w:r>
        <w:rPr>
          <w:rFonts w:hint="eastAsia" w:hAnsi="宋体" w:eastAsia="宋体"/>
          <w:b/>
          <w:color w:val="auto"/>
          <w:sz w:val="21"/>
          <w:szCs w:val="21"/>
          <w:highlight w:val="none"/>
          <w:lang w:val="zh-CN"/>
        </w:rPr>
        <w:t>本项目不接受联合体投标。</w:t>
      </w:r>
      <w:bookmarkEnd w:id="2"/>
    </w:p>
    <w:p w14:paraId="6A4C6A3B">
      <w:pPr>
        <w:autoSpaceDE w:val="0"/>
        <w:autoSpaceDN w:val="0"/>
        <w:adjustRightInd w:val="0"/>
        <w:spacing w:line="360" w:lineRule="auto"/>
        <w:ind w:right="-29" w:rightChars="-14" w:firstLine="420" w:firstLineChars="200"/>
        <w:rPr>
          <w:rFonts w:ascii="宋体" w:hAnsi="宋体" w:eastAsia="宋体" w:cs="Times New Roman"/>
          <w:color w:val="auto"/>
          <w:szCs w:val="21"/>
          <w:highlight w:val="none"/>
          <w:lang w:val="zh-CN"/>
        </w:rPr>
      </w:pPr>
    </w:p>
    <w:p w14:paraId="00DB3E59">
      <w:pPr>
        <w:pStyle w:val="175"/>
        <w:numPr>
          <w:ilvl w:val="0"/>
          <w:numId w:val="1"/>
        </w:numPr>
        <w:spacing w:line="360" w:lineRule="auto"/>
        <w:ind w:left="426" w:right="-34" w:hanging="426" w:firstLineChars="0"/>
        <w:jc w:val="both"/>
        <w:rPr>
          <w:rFonts w:hint="eastAsia" w:ascii="宋体" w:hAnsi="宋体" w:eastAsia="宋体" w:cs="宋体"/>
          <w:color w:val="auto"/>
          <w:sz w:val="21"/>
          <w:szCs w:val="21"/>
          <w:highlight w:val="none"/>
        </w:rPr>
      </w:pPr>
      <w:r>
        <w:rPr>
          <w:rFonts w:ascii="宋体" w:hAnsi="宋体"/>
          <w:color w:val="auto"/>
          <w:szCs w:val="21"/>
          <w:highlight w:val="none"/>
          <w:lang w:val="zh-CN"/>
        </w:rPr>
        <w:t>获取招标文件</w:t>
      </w:r>
      <w:r>
        <w:rPr>
          <w:rFonts w:hint="eastAsia" w:ascii="宋体" w:hAnsi="宋体" w:cs="宋体"/>
          <w:color w:val="auto"/>
          <w:szCs w:val="21"/>
          <w:highlight w:val="none"/>
        </w:rPr>
        <w:t>方式：本项目采用“不记名网上下载”的方式获取招标文件，有意向的投标人可于本项目投标截止时间前，在本项目招标信息发布媒介【详见本招标公告第7点（除中国招标投标公共服务平台外）】下载招标文件</w:t>
      </w:r>
      <w:r>
        <w:rPr>
          <w:rFonts w:hint="eastAsia" w:ascii="宋体" w:hAnsi="宋体" w:cs="宋体"/>
          <w:color w:val="auto"/>
          <w:sz w:val="21"/>
          <w:szCs w:val="21"/>
          <w:highlight w:val="none"/>
          <w:lang w:eastAsia="zh-CN"/>
        </w:rPr>
        <w:t>。</w:t>
      </w:r>
    </w:p>
    <w:p w14:paraId="27764BE0">
      <w:pPr>
        <w:autoSpaceDE w:val="0"/>
        <w:autoSpaceDN w:val="0"/>
        <w:adjustRightInd w:val="0"/>
        <w:spacing w:line="360" w:lineRule="auto"/>
        <w:ind w:left="630" w:leftChars="100" w:right="-29" w:rightChars="-14" w:hanging="420" w:hangingChars="200"/>
        <w:rPr>
          <w:rFonts w:ascii="宋体" w:hAnsi="宋体" w:eastAsia="宋体" w:cs="Times New Roman"/>
          <w:color w:val="auto"/>
          <w:szCs w:val="21"/>
          <w:highlight w:val="none"/>
          <w:lang w:val="zh-CN"/>
        </w:rPr>
      </w:pPr>
    </w:p>
    <w:p w14:paraId="4EB4CBE1">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ascii="宋体" w:hAnsi="宋体" w:eastAsia="宋体" w:cs="Times New Roman"/>
          <w:color w:val="auto"/>
          <w:szCs w:val="21"/>
          <w:highlight w:val="none"/>
          <w:lang w:val="zh-CN"/>
        </w:rPr>
        <w:t>招标代理机构</w:t>
      </w:r>
      <w:r>
        <w:rPr>
          <w:rFonts w:hint="eastAsia" w:ascii="宋体" w:hAnsi="宋体" w:eastAsia="宋体" w:cs="Times New Roman"/>
          <w:color w:val="auto"/>
          <w:szCs w:val="21"/>
          <w:highlight w:val="none"/>
          <w:lang w:val="zh-CN"/>
        </w:rPr>
        <w:t>在递交投标文件截止时间当天通过“信用中国”网站（www.creditchina.gov.cn）查询投标人（含其不具有独立法人资格的分支机构）信用记录。招标代理机构对投标人信用记录进行甄别，对列入失信被执行人、重大税收违法失信主体、</w:t>
      </w:r>
      <w:r>
        <w:rPr>
          <w:rFonts w:hint="eastAsia" w:ascii="宋体" w:hAnsi="宋体" w:eastAsia="宋体" w:cs="Times New Roman"/>
          <w:color w:val="auto"/>
          <w:szCs w:val="21"/>
          <w:highlight w:val="none"/>
          <w:lang w:val="en-US" w:eastAsia="zh-CN"/>
        </w:rPr>
        <w:t>政府采购</w:t>
      </w:r>
      <w:r>
        <w:rPr>
          <w:rFonts w:hint="eastAsia" w:ascii="宋体" w:hAnsi="宋体" w:eastAsia="宋体" w:cs="Times New Roman"/>
          <w:color w:val="auto"/>
          <w:szCs w:val="21"/>
          <w:highlight w:val="none"/>
          <w:lang w:val="zh-CN"/>
        </w:rPr>
        <w:t>严重违法失信行为记录名单的投标人，做好相关记录（处罚期限届满的除外）</w:t>
      </w:r>
      <w:r>
        <w:rPr>
          <w:rFonts w:ascii="宋体" w:hAnsi="宋体" w:eastAsia="宋体" w:cs="Times New Roman"/>
          <w:color w:val="auto"/>
          <w:szCs w:val="21"/>
          <w:highlight w:val="none"/>
          <w:lang w:val="zh-CN"/>
        </w:rPr>
        <w:t>。</w:t>
      </w:r>
    </w:p>
    <w:p w14:paraId="0B5115D9">
      <w:pPr>
        <w:autoSpaceDE w:val="0"/>
        <w:autoSpaceDN w:val="0"/>
        <w:adjustRightInd w:val="0"/>
        <w:spacing w:line="360" w:lineRule="auto"/>
        <w:ind w:right="-29" w:rightChars="-14" w:firstLine="420"/>
        <w:rPr>
          <w:rFonts w:ascii="宋体" w:hAnsi="宋体" w:eastAsia="宋体" w:cs="Times New Roman"/>
          <w:color w:val="auto"/>
          <w:szCs w:val="21"/>
          <w:highlight w:val="none"/>
          <w:lang w:val="zh-CN"/>
        </w:rPr>
      </w:pPr>
    </w:p>
    <w:p w14:paraId="1F990CE7">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ascii="宋体" w:hAnsi="宋体" w:eastAsia="宋体" w:cs="Times New Roman"/>
          <w:color w:val="auto"/>
          <w:szCs w:val="21"/>
          <w:highlight w:val="none"/>
          <w:lang w:val="zh-CN"/>
        </w:rPr>
        <w:t>投标、开标时间及地点：</w:t>
      </w:r>
    </w:p>
    <w:p w14:paraId="5E7AC3FC">
      <w:pPr>
        <w:autoSpaceDE w:val="0"/>
        <w:autoSpaceDN w:val="0"/>
        <w:adjustRightInd w:val="0"/>
        <w:spacing w:line="360" w:lineRule="auto"/>
        <w:ind w:right="-29" w:rightChars="-14"/>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 xml:space="preserve">5.1 </w:t>
      </w:r>
      <w:r>
        <w:rPr>
          <w:rFonts w:ascii="宋体" w:hAnsi="宋体" w:eastAsia="宋体" w:cs="Times New Roman"/>
          <w:color w:val="auto"/>
          <w:szCs w:val="21"/>
          <w:highlight w:val="none"/>
          <w:lang w:val="zh-CN"/>
        </w:rPr>
        <w:t>投标文件递交时间：</w:t>
      </w:r>
      <w:r>
        <w:rPr>
          <w:rFonts w:hint="eastAsia" w:ascii="宋体" w:hAnsi="宋体" w:eastAsia="宋体" w:cs="宋体"/>
          <w:color w:val="auto"/>
          <w:szCs w:val="21"/>
          <w:highlight w:val="none"/>
          <w:u w:val="single"/>
          <w:lang w:val="en-US" w:eastAsia="zh-CN"/>
        </w:rPr>
        <w:t>2026</w:t>
      </w:r>
      <w:r>
        <w:rPr>
          <w:rFonts w:hint="eastAsia" w:ascii="宋体" w:hAnsi="宋体" w:eastAsia="宋体" w:cs="宋体"/>
          <w:bCs/>
          <w:color w:val="auto"/>
          <w:kern w:val="0"/>
          <w:szCs w:val="21"/>
          <w:highlight w:val="none"/>
        </w:rPr>
        <w:t>年</w:t>
      </w:r>
      <w:r>
        <w:rPr>
          <w:rFonts w:hint="eastAsia" w:ascii="宋体" w:hAnsi="宋体" w:eastAsia="宋体" w:cs="宋体"/>
          <w:bCs/>
          <w:color w:val="auto"/>
          <w:kern w:val="0"/>
          <w:szCs w:val="21"/>
          <w:highlight w:val="none"/>
          <w:u w:val="single"/>
          <w:lang w:val="en-US" w:eastAsia="zh-CN"/>
        </w:rPr>
        <w:t>07</w:t>
      </w:r>
      <w:r>
        <w:rPr>
          <w:rFonts w:hint="eastAsia" w:ascii="宋体" w:hAnsi="宋体" w:eastAsia="宋体" w:cs="宋体"/>
          <w:bCs/>
          <w:color w:val="auto"/>
          <w:kern w:val="0"/>
          <w:szCs w:val="21"/>
          <w:highlight w:val="none"/>
        </w:rPr>
        <w:t>月</w:t>
      </w:r>
      <w:r>
        <w:rPr>
          <w:rFonts w:hint="eastAsia" w:ascii="宋体" w:hAnsi="宋体" w:eastAsia="宋体" w:cs="宋体"/>
          <w:color w:val="auto"/>
          <w:szCs w:val="21"/>
          <w:highlight w:val="none"/>
          <w:u w:val="single"/>
          <w:lang w:val="en-US" w:eastAsia="zh-CN"/>
        </w:rPr>
        <w:t>23</w:t>
      </w:r>
      <w:bookmarkStart w:id="716" w:name="_GoBack"/>
      <w:bookmarkEnd w:id="716"/>
      <w:r>
        <w:rPr>
          <w:rFonts w:hint="eastAsia" w:ascii="宋体" w:hAnsi="宋体" w:eastAsia="宋体" w:cs="宋体"/>
          <w:bCs/>
          <w:color w:val="auto"/>
          <w:kern w:val="0"/>
          <w:szCs w:val="21"/>
          <w:highlight w:val="none"/>
        </w:rPr>
        <w:t>日</w:t>
      </w:r>
      <w:r>
        <w:rPr>
          <w:rFonts w:hint="eastAsia" w:ascii="宋体" w:hAnsi="宋体" w:eastAsia="宋体" w:cs="宋体"/>
          <w:color w:val="auto"/>
          <w:szCs w:val="21"/>
          <w:highlight w:val="none"/>
          <w:u w:val="single"/>
          <w:lang w:val="en-US" w:eastAsia="zh-CN"/>
        </w:rPr>
        <w:t>13:30</w:t>
      </w:r>
      <w:r>
        <w:rPr>
          <w:rFonts w:hint="eastAsia" w:ascii="宋体" w:hAnsi="宋体" w:eastAsia="宋体" w:cs="宋体"/>
          <w:color w:val="auto"/>
          <w:szCs w:val="21"/>
          <w:highlight w:val="none"/>
          <w:u w:val="none"/>
          <w:lang w:val="en-US" w:eastAsia="zh-CN"/>
        </w:rPr>
        <w:t>～</w:t>
      </w:r>
      <w:r>
        <w:rPr>
          <w:rFonts w:hint="eastAsia" w:ascii="宋体" w:hAnsi="宋体" w:eastAsia="宋体" w:cs="宋体"/>
          <w:color w:val="auto"/>
          <w:szCs w:val="21"/>
          <w:highlight w:val="none"/>
          <w:u w:val="single"/>
          <w:lang w:val="en-US" w:eastAsia="zh-CN"/>
        </w:rPr>
        <w:t>14:00</w:t>
      </w:r>
      <w:r>
        <w:rPr>
          <w:rFonts w:hint="eastAsia" w:ascii="宋体" w:hAnsi="宋体" w:eastAsia="宋体" w:cs="Times New Roman"/>
          <w:bCs/>
          <w:color w:val="auto"/>
          <w:kern w:val="0"/>
          <w:szCs w:val="21"/>
          <w:highlight w:val="none"/>
        </w:rPr>
        <w:t>；</w:t>
      </w:r>
    </w:p>
    <w:p w14:paraId="3157B377">
      <w:pPr>
        <w:autoSpaceDE w:val="0"/>
        <w:autoSpaceDN w:val="0"/>
        <w:adjustRightInd w:val="0"/>
        <w:spacing w:line="360" w:lineRule="auto"/>
        <w:ind w:right="-29" w:rightChars="-14"/>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 xml:space="preserve">5.2 </w:t>
      </w:r>
      <w:r>
        <w:rPr>
          <w:rFonts w:ascii="宋体" w:hAnsi="宋体" w:eastAsia="宋体" w:cs="Times New Roman"/>
          <w:color w:val="auto"/>
          <w:szCs w:val="21"/>
          <w:highlight w:val="none"/>
          <w:lang w:val="zh-CN"/>
        </w:rPr>
        <w:t>投标截止及开标时间：</w:t>
      </w:r>
      <w:r>
        <w:rPr>
          <w:rFonts w:hint="eastAsia" w:ascii="宋体" w:hAnsi="宋体" w:eastAsia="宋体" w:cs="宋体"/>
          <w:color w:val="auto"/>
          <w:szCs w:val="21"/>
          <w:highlight w:val="none"/>
          <w:u w:val="single"/>
          <w:lang w:val="en-US" w:eastAsia="zh-CN"/>
        </w:rPr>
        <w:t>2026</w:t>
      </w:r>
      <w:r>
        <w:rPr>
          <w:rFonts w:hint="eastAsia" w:ascii="宋体" w:hAnsi="宋体" w:eastAsia="宋体" w:cs="宋体"/>
          <w:bCs/>
          <w:color w:val="auto"/>
          <w:kern w:val="0"/>
          <w:szCs w:val="21"/>
          <w:highlight w:val="none"/>
        </w:rPr>
        <w:t>年</w:t>
      </w:r>
      <w:r>
        <w:rPr>
          <w:rFonts w:hint="eastAsia" w:ascii="宋体" w:hAnsi="宋体" w:eastAsia="宋体" w:cs="宋体"/>
          <w:color w:val="auto"/>
          <w:szCs w:val="21"/>
          <w:highlight w:val="none"/>
          <w:u w:val="single"/>
          <w:lang w:val="en-US" w:eastAsia="zh-CN"/>
        </w:rPr>
        <w:t>07</w:t>
      </w:r>
      <w:r>
        <w:rPr>
          <w:rFonts w:hint="eastAsia" w:ascii="宋体" w:hAnsi="宋体" w:eastAsia="宋体" w:cs="宋体"/>
          <w:bCs/>
          <w:color w:val="auto"/>
          <w:kern w:val="0"/>
          <w:szCs w:val="21"/>
          <w:highlight w:val="none"/>
        </w:rPr>
        <w:t>月</w:t>
      </w:r>
      <w:r>
        <w:rPr>
          <w:rFonts w:hint="eastAsia" w:ascii="宋体" w:hAnsi="宋体" w:eastAsia="宋体" w:cs="宋体"/>
          <w:color w:val="auto"/>
          <w:szCs w:val="21"/>
          <w:highlight w:val="none"/>
          <w:u w:val="single"/>
          <w:lang w:val="en-US" w:eastAsia="zh-CN"/>
        </w:rPr>
        <w:t>23</w:t>
      </w:r>
      <w:r>
        <w:rPr>
          <w:rFonts w:hint="eastAsia" w:ascii="宋体" w:hAnsi="宋体" w:eastAsia="宋体" w:cs="宋体"/>
          <w:bCs/>
          <w:color w:val="auto"/>
          <w:kern w:val="0"/>
          <w:szCs w:val="21"/>
          <w:highlight w:val="none"/>
        </w:rPr>
        <w:t>日</w:t>
      </w:r>
      <w:r>
        <w:rPr>
          <w:rFonts w:hint="eastAsia" w:ascii="宋体" w:hAnsi="宋体" w:eastAsia="宋体" w:cs="宋体"/>
          <w:color w:val="auto"/>
          <w:szCs w:val="21"/>
          <w:highlight w:val="none"/>
          <w:u w:val="single"/>
          <w:lang w:val="en-US" w:eastAsia="zh-CN"/>
        </w:rPr>
        <w:t>14:00</w:t>
      </w:r>
      <w:r>
        <w:rPr>
          <w:rFonts w:hint="eastAsia" w:ascii="宋体" w:hAnsi="宋体" w:eastAsia="宋体" w:cs="Times New Roman"/>
          <w:bCs/>
          <w:color w:val="auto"/>
          <w:kern w:val="0"/>
          <w:szCs w:val="21"/>
          <w:highlight w:val="none"/>
        </w:rPr>
        <w:t>；</w:t>
      </w:r>
    </w:p>
    <w:p w14:paraId="0457E4B2">
      <w:pPr>
        <w:wordWrap w:val="0"/>
        <w:autoSpaceDE w:val="0"/>
        <w:autoSpaceDN w:val="0"/>
        <w:adjustRightInd w:val="0"/>
        <w:spacing w:line="360" w:lineRule="auto"/>
        <w:ind w:right="-29" w:rightChars="-14"/>
        <w:rPr>
          <w:rFonts w:ascii="宋体" w:hAnsi="宋体" w:eastAsia="宋体" w:cs="Times New Roman"/>
          <w:color w:val="auto"/>
          <w:kern w:val="0"/>
          <w:szCs w:val="21"/>
          <w:highlight w:val="none"/>
        </w:rPr>
      </w:pPr>
      <w:r>
        <w:rPr>
          <w:rFonts w:ascii="宋体" w:hAnsi="宋体" w:eastAsia="宋体" w:cs="Times New Roman"/>
          <w:color w:val="auto"/>
          <w:szCs w:val="21"/>
          <w:highlight w:val="none"/>
          <w:lang w:val="zh-CN"/>
        </w:rPr>
        <w:t>5.3 投标及开标地点：</w:t>
      </w:r>
      <w:r>
        <w:rPr>
          <w:rFonts w:hint="eastAsia" w:ascii="宋体" w:hAnsi="宋体" w:eastAsia="宋体" w:cs="Times New Roman"/>
          <w:color w:val="auto"/>
          <w:szCs w:val="21"/>
          <w:highlight w:val="none"/>
          <w:u w:val="single"/>
          <w:lang w:val="en-US" w:eastAsia="zh-CN"/>
        </w:rPr>
        <w:t>广东省东莞市鸿福西路南城段81号东莞国际商会大厦1903</w:t>
      </w:r>
      <w:r>
        <w:rPr>
          <w:rFonts w:hint="eastAsia" w:ascii="宋体" w:hAnsi="宋体" w:eastAsia="宋体" w:cs="Times New Roman"/>
          <w:color w:val="auto"/>
          <w:kern w:val="0"/>
          <w:szCs w:val="21"/>
          <w:highlight w:val="none"/>
        </w:rPr>
        <w:t>。</w:t>
      </w:r>
    </w:p>
    <w:p w14:paraId="476CDD2E">
      <w:pPr>
        <w:autoSpaceDE w:val="0"/>
        <w:autoSpaceDN w:val="0"/>
        <w:adjustRightInd w:val="0"/>
        <w:spacing w:line="360" w:lineRule="auto"/>
        <w:ind w:right="-29" w:rightChars="-14" w:firstLine="210" w:firstLineChars="100"/>
        <w:rPr>
          <w:rFonts w:ascii="宋体" w:hAnsi="宋体" w:eastAsia="宋体" w:cs="Times New Roman"/>
          <w:color w:val="auto"/>
          <w:kern w:val="0"/>
          <w:szCs w:val="21"/>
          <w:highlight w:val="none"/>
        </w:rPr>
      </w:pPr>
    </w:p>
    <w:p w14:paraId="7A826264">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rPr>
        <w:t>招标代理机构只接受在递交投标文件截止日当天由投标人法定代表人或其授权代表于递交投标文件截止时间前亲自递交的投标文件</w:t>
      </w:r>
      <w:r>
        <w:rPr>
          <w:rFonts w:hint="eastAsia" w:ascii="宋体" w:hAnsi="宋体" w:eastAsia="宋体" w:cs="Times New Roman"/>
          <w:color w:val="auto"/>
          <w:szCs w:val="21"/>
          <w:highlight w:val="none"/>
          <w:lang w:val="zh-CN"/>
        </w:rPr>
        <w:t>。电报、传真形式的投标概不接受。</w:t>
      </w:r>
    </w:p>
    <w:p w14:paraId="70474B21">
      <w:pPr>
        <w:autoSpaceDE w:val="0"/>
        <w:autoSpaceDN w:val="0"/>
        <w:adjustRightInd w:val="0"/>
        <w:spacing w:line="360" w:lineRule="auto"/>
        <w:ind w:left="210" w:leftChars="100" w:right="-29" w:rightChars="-14"/>
        <w:rPr>
          <w:rFonts w:ascii="宋体" w:hAnsi="宋体" w:eastAsia="宋体" w:cs="Times New Roman"/>
          <w:color w:val="auto"/>
          <w:szCs w:val="21"/>
          <w:highlight w:val="none"/>
          <w:lang w:val="zh-CN"/>
        </w:rPr>
      </w:pPr>
    </w:p>
    <w:p w14:paraId="5FC7953A">
      <w:pPr>
        <w:numPr>
          <w:ilvl w:val="0"/>
          <w:numId w:val="1"/>
        </w:numPr>
        <w:wordWrap w:val="0"/>
        <w:autoSpaceDE w:val="0"/>
        <w:autoSpaceDN w:val="0"/>
        <w:adjustRightInd w:val="0"/>
        <w:snapToGrid w:val="0"/>
        <w:spacing w:line="360" w:lineRule="auto"/>
        <w:ind w:left="363" w:right="-34" w:hanging="363"/>
        <w:jc w:val="left"/>
        <w:rPr>
          <w:rFonts w:ascii="宋体" w:hAnsi="宋体" w:eastAsia="宋体" w:cs="Times New Roman"/>
          <w:color w:val="auto"/>
          <w:szCs w:val="21"/>
          <w:highlight w:val="none"/>
          <w:lang w:val="zh-CN"/>
        </w:rPr>
      </w:pPr>
      <w:r>
        <w:rPr>
          <w:rFonts w:hint="eastAsia" w:ascii="宋体" w:hAnsi="宋体" w:eastAsia="宋体" w:cs="Times New Roman"/>
          <w:bCs/>
          <w:color w:val="auto"/>
          <w:szCs w:val="21"/>
          <w:highlight w:val="none"/>
        </w:rPr>
        <w:t>本项目相关公告在以下媒介发布：全国公共资源交易平台（广东省·东莞市）（ygp.gdzwfw.gov.cn/#/441900/index）</w:t>
      </w:r>
      <w:r>
        <w:rPr>
          <w:rFonts w:hint="eastAsia" w:ascii="宋体" w:hAnsi="宋体" w:eastAsia="宋体" w:cs="Times New Roman"/>
          <w:bCs/>
          <w:color w:val="auto"/>
          <w:szCs w:val="21"/>
          <w:highlight w:val="none"/>
          <w:lang w:eastAsia="zh-CN"/>
        </w:rPr>
        <w:t>、</w:t>
      </w:r>
      <w:r>
        <w:rPr>
          <w:rFonts w:hint="eastAsia" w:ascii="宋体" w:hAnsi="宋体" w:eastAsia="宋体" w:cs="Times New Roman"/>
          <w:bCs/>
          <w:color w:val="auto"/>
          <w:szCs w:val="21"/>
          <w:highlight w:val="none"/>
        </w:rPr>
        <w:t>中国招标投标公共服务平台（www.cebpubservice.com）、东莞市水务环境投资控股集团有限公司网（www.</w:t>
      </w:r>
      <w:r>
        <w:rPr>
          <w:rFonts w:hint="eastAsia" w:ascii="宋体" w:hAnsi="宋体" w:eastAsia="宋体" w:cs="宋体"/>
          <w:bCs/>
          <w:color w:val="auto"/>
          <w:szCs w:val="21"/>
          <w:highlight w:val="none"/>
        </w:rPr>
        <w:t>dg</w:t>
      </w:r>
      <w:r>
        <w:rPr>
          <w:rFonts w:hint="eastAsia" w:ascii="宋体" w:hAnsi="宋体" w:eastAsia="宋体" w:cs="宋体"/>
          <w:bCs/>
          <w:color w:val="auto"/>
          <w:szCs w:val="21"/>
          <w:highlight w:val="none"/>
          <w:lang w:val="en-US" w:eastAsia="zh-CN"/>
        </w:rPr>
        <w:t>weg</w:t>
      </w:r>
      <w:r>
        <w:rPr>
          <w:rFonts w:hint="eastAsia" w:ascii="宋体" w:hAnsi="宋体" w:eastAsia="宋体" w:cs="Times New Roman"/>
          <w:bCs/>
          <w:color w:val="auto"/>
          <w:szCs w:val="21"/>
          <w:highlight w:val="none"/>
        </w:rPr>
        <w:t>.cn）、招标</w:t>
      </w:r>
      <w:r>
        <w:rPr>
          <w:rFonts w:hint="eastAsia" w:ascii="宋体" w:hAnsi="宋体" w:eastAsia="宋体" w:cs="Times New Roman"/>
          <w:color w:val="auto"/>
          <w:szCs w:val="21"/>
          <w:highlight w:val="none"/>
          <w:lang w:val="zh-CN"/>
        </w:rPr>
        <w:t>代理</w:t>
      </w:r>
      <w:r>
        <w:rPr>
          <w:rFonts w:hint="eastAsia" w:ascii="宋体" w:hAnsi="宋体" w:eastAsia="宋体" w:cs="Times New Roman"/>
          <w:color w:val="auto"/>
          <w:szCs w:val="21"/>
          <w:highlight w:val="none"/>
          <w:lang w:val="en-US" w:eastAsia="zh-CN"/>
        </w:rPr>
        <w:t>机构</w:t>
      </w:r>
      <w:r>
        <w:rPr>
          <w:rFonts w:hint="eastAsia" w:ascii="宋体" w:hAnsi="宋体" w:eastAsia="宋体" w:cs="Times New Roman"/>
          <w:color w:val="auto"/>
          <w:szCs w:val="21"/>
          <w:highlight w:val="none"/>
          <w:lang w:val="zh-CN"/>
        </w:rPr>
        <w:t>网站（</w:t>
      </w:r>
      <w:r>
        <w:rPr>
          <w:rFonts w:hint="eastAsia" w:ascii="宋体" w:hAnsi="宋体" w:eastAsia="宋体" w:cs="Times New Roman"/>
          <w:color w:val="auto"/>
          <w:szCs w:val="21"/>
          <w:highlight w:val="none"/>
        </w:rPr>
        <w:t>www.365trade.com.cn</w:t>
      </w:r>
      <w:r>
        <w:rPr>
          <w:rFonts w:ascii="宋体" w:hAnsi="宋体" w:eastAsia="宋体" w:cs="Times New Roman"/>
          <w:color w:val="auto"/>
          <w:szCs w:val="21"/>
          <w:highlight w:val="none"/>
          <w:lang w:val="zh-CN"/>
        </w:rPr>
        <w:t>）。</w:t>
      </w:r>
    </w:p>
    <w:p w14:paraId="37008985">
      <w:pPr>
        <w:autoSpaceDE w:val="0"/>
        <w:autoSpaceDN w:val="0"/>
        <w:adjustRightInd w:val="0"/>
        <w:spacing w:line="360" w:lineRule="auto"/>
        <w:ind w:right="-29" w:rightChars="-14" w:firstLine="420"/>
        <w:rPr>
          <w:rFonts w:ascii="宋体" w:hAnsi="宋体" w:eastAsia="宋体" w:cs="Times New Roman"/>
          <w:bCs/>
          <w:color w:val="auto"/>
          <w:szCs w:val="21"/>
          <w:highlight w:val="none"/>
        </w:rPr>
      </w:pPr>
    </w:p>
    <w:p w14:paraId="5E108DA5">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rPr>
      </w:pPr>
      <w:r>
        <w:rPr>
          <w:rFonts w:ascii="宋体" w:hAnsi="宋体" w:eastAsia="宋体" w:cs="Times New Roman"/>
          <w:bCs/>
          <w:color w:val="auto"/>
          <w:szCs w:val="21"/>
          <w:highlight w:val="none"/>
          <w:lang w:val="zh-CN"/>
        </w:rPr>
        <w:t>招标人联系方式</w:t>
      </w:r>
    </w:p>
    <w:p w14:paraId="2859C846">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招标人：</w:t>
      </w:r>
      <w:r>
        <w:rPr>
          <w:rFonts w:hint="eastAsia" w:ascii="宋体" w:hAnsi="宋体" w:eastAsia="宋体" w:cs="Times New Roman"/>
          <w:color w:val="auto"/>
          <w:kern w:val="0"/>
          <w:szCs w:val="21"/>
          <w:highlight w:val="none"/>
        </w:rPr>
        <w:t>东莞市水务环境投资控股集团管网有限公司</w:t>
      </w:r>
    </w:p>
    <w:p w14:paraId="28C41667">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地</w:t>
      </w:r>
      <w:r>
        <w:rPr>
          <w:rFonts w:hint="eastAsia" w:ascii="宋体" w:hAnsi="宋体" w:eastAsia="宋体" w:cs="Times New Roman"/>
          <w:color w:val="auto"/>
          <w:kern w:val="0"/>
          <w:szCs w:val="21"/>
          <w:highlight w:val="none"/>
        </w:rPr>
        <w:t xml:space="preserve"> </w:t>
      </w:r>
      <w:r>
        <w:rPr>
          <w:rFonts w:ascii="宋体" w:hAnsi="宋体" w:eastAsia="宋体" w:cs="Times New Roman"/>
          <w:color w:val="auto"/>
          <w:kern w:val="0"/>
          <w:szCs w:val="21"/>
          <w:highlight w:val="none"/>
        </w:rPr>
        <w:t xml:space="preserve"> 址：</w:t>
      </w:r>
      <w:r>
        <w:rPr>
          <w:rFonts w:hint="eastAsia" w:ascii="宋体" w:hAnsi="宋体" w:eastAsia="宋体" w:cs="Times New Roman"/>
          <w:color w:val="auto"/>
          <w:kern w:val="0"/>
          <w:szCs w:val="21"/>
          <w:highlight w:val="none"/>
        </w:rPr>
        <w:t>广东省东莞市东城街道东城运河路5号108室</w:t>
      </w:r>
    </w:p>
    <w:p w14:paraId="536B0FF5">
      <w:pPr>
        <w:widowControl/>
        <w:autoSpaceDE w:val="0"/>
        <w:autoSpaceDN w:val="0"/>
        <w:adjustRightInd w:val="0"/>
        <w:spacing w:line="360" w:lineRule="auto"/>
        <w:ind w:right="-31" w:rightChars="-15" w:firstLine="424" w:firstLineChars="202"/>
        <w:jc w:val="left"/>
        <w:textAlignment w:val="bottom"/>
        <w:rPr>
          <w:rFonts w:hint="default" w:ascii="宋体" w:hAnsi="宋体" w:eastAsia="宋体" w:cs="Times New Roman"/>
          <w:color w:val="auto"/>
          <w:kern w:val="0"/>
          <w:szCs w:val="21"/>
          <w:highlight w:val="none"/>
          <w:lang w:val="en-US" w:eastAsia="zh-CN"/>
        </w:rPr>
      </w:pPr>
      <w:r>
        <w:rPr>
          <w:rFonts w:ascii="宋体" w:hAnsi="宋体" w:eastAsia="宋体" w:cs="Times New Roman"/>
          <w:color w:val="auto"/>
          <w:kern w:val="0"/>
          <w:szCs w:val="21"/>
          <w:highlight w:val="none"/>
        </w:rPr>
        <w:t>联系人</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val="en-US" w:eastAsia="zh-CN"/>
        </w:rPr>
        <w:t xml:space="preserve">曹美玲     </w:t>
      </w:r>
    </w:p>
    <w:p w14:paraId="2F05180A">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highlight w:val="none"/>
          <w:lang w:val="en-US" w:eastAsia="zh-CN"/>
        </w:rPr>
      </w:pPr>
      <w:r>
        <w:rPr>
          <w:rFonts w:ascii="宋体" w:hAnsi="宋体" w:eastAsia="宋体" w:cs="Times New Roman"/>
          <w:color w:val="auto"/>
          <w:kern w:val="0"/>
          <w:szCs w:val="21"/>
          <w:highlight w:val="none"/>
        </w:rPr>
        <w:t>电  话：</w:t>
      </w:r>
      <w:r>
        <w:rPr>
          <w:rFonts w:hint="eastAsia" w:ascii="宋体" w:hAnsi="宋体" w:eastAsia="宋体" w:cs="Times New Roman"/>
          <w:color w:val="auto"/>
          <w:kern w:val="0"/>
          <w:szCs w:val="21"/>
          <w:highlight w:val="none"/>
          <w:lang w:val="en-US" w:eastAsia="zh-CN"/>
        </w:rPr>
        <w:t xml:space="preserve">0769-22001352 </w:t>
      </w:r>
    </w:p>
    <w:p w14:paraId="73A4B821">
      <w:pPr>
        <w:autoSpaceDE w:val="0"/>
        <w:autoSpaceDN w:val="0"/>
        <w:adjustRightInd w:val="0"/>
        <w:spacing w:line="360" w:lineRule="auto"/>
        <w:ind w:right="-29" w:rightChars="-14" w:firstLine="420"/>
        <w:rPr>
          <w:rFonts w:ascii="宋体" w:hAnsi="宋体" w:eastAsia="宋体" w:cs="Times New Roman"/>
          <w:color w:val="auto"/>
          <w:kern w:val="0"/>
          <w:szCs w:val="21"/>
          <w:highlight w:val="none"/>
        </w:rPr>
      </w:pPr>
    </w:p>
    <w:p w14:paraId="25E5C755">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rPr>
      </w:pPr>
      <w:r>
        <w:rPr>
          <w:rFonts w:ascii="宋体" w:hAnsi="宋体" w:eastAsia="宋体" w:cs="Times New Roman"/>
          <w:color w:val="auto"/>
          <w:szCs w:val="21"/>
          <w:highlight w:val="none"/>
        </w:rPr>
        <w:t>招标代理机构</w:t>
      </w:r>
      <w:r>
        <w:rPr>
          <w:rFonts w:hint="eastAsia" w:ascii="宋体" w:hAnsi="宋体" w:eastAsia="宋体" w:cs="Times New Roman"/>
          <w:color w:val="auto"/>
          <w:szCs w:val="21"/>
          <w:highlight w:val="none"/>
          <w:lang w:val="en-US" w:eastAsia="zh-CN"/>
        </w:rPr>
        <w:t>及异议受理</w:t>
      </w:r>
      <w:r>
        <w:rPr>
          <w:rFonts w:ascii="宋体" w:hAnsi="宋体" w:eastAsia="宋体" w:cs="Times New Roman"/>
          <w:color w:val="auto"/>
          <w:szCs w:val="21"/>
          <w:highlight w:val="none"/>
        </w:rPr>
        <w:t>联系方式</w:t>
      </w:r>
    </w:p>
    <w:p w14:paraId="53FB79D5">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宋体"/>
          <w:color w:val="auto"/>
          <w:kern w:val="0"/>
          <w:szCs w:val="21"/>
          <w:highlight w:val="none"/>
          <w:lang w:eastAsia="zh-CN"/>
        </w:rPr>
      </w:pPr>
      <w:bookmarkStart w:id="3" w:name="_Toc450662847"/>
      <w:bookmarkStart w:id="4" w:name="_Toc31764_WPSOffice_Level1"/>
      <w:bookmarkStart w:id="5" w:name="_Toc486167661"/>
      <w:r>
        <w:rPr>
          <w:rFonts w:hint="eastAsia" w:ascii="宋体" w:hAnsi="宋体" w:eastAsia="宋体" w:cs="宋体"/>
          <w:color w:val="auto"/>
          <w:kern w:val="0"/>
          <w:szCs w:val="21"/>
          <w:highlight w:val="none"/>
        </w:rPr>
        <w:t>招标代理机构：</w:t>
      </w:r>
      <w:r>
        <w:rPr>
          <w:rFonts w:hint="eastAsia" w:ascii="宋体" w:hAnsi="宋体" w:eastAsia="宋体" w:cs="宋体"/>
          <w:color w:val="auto"/>
          <w:kern w:val="0"/>
          <w:sz w:val="21"/>
          <w:szCs w:val="21"/>
          <w:highlight w:val="none"/>
          <w:lang w:val="en-US" w:eastAsia="zh-CN" w:bidi="ar-SA"/>
        </w:rPr>
        <w:t>中招国际招标有限公司</w:t>
      </w:r>
    </w:p>
    <w:p w14:paraId="045084E2">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地  址：广州市越秀区沿江中路298号江湾新城A座8楼</w:t>
      </w:r>
    </w:p>
    <w:p w14:paraId="70ECD0B9">
      <w:pPr>
        <w:widowControl/>
        <w:autoSpaceDE w:val="0"/>
        <w:autoSpaceDN w:val="0"/>
        <w:adjustRightInd w:val="0"/>
        <w:spacing w:line="360" w:lineRule="auto"/>
        <w:ind w:right="-31" w:rightChars="-15" w:firstLine="424" w:firstLineChars="202"/>
        <w:jc w:val="left"/>
        <w:textAlignment w:val="bottom"/>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联系人：钟智豪、杨文哲、</w:t>
      </w:r>
      <w:r>
        <w:rPr>
          <w:rFonts w:hint="eastAsia" w:ascii="宋体" w:hAnsi="宋体" w:eastAsia="宋体" w:cs="宋体"/>
          <w:color w:val="auto"/>
          <w:kern w:val="0"/>
          <w:szCs w:val="21"/>
          <w:highlight w:val="none"/>
          <w:lang w:val="en-US" w:eastAsia="zh-CN"/>
        </w:rPr>
        <w:t>王旭辉</w:t>
      </w:r>
    </w:p>
    <w:p w14:paraId="79A3FB98">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电  话：020-83516265、020-87605285</w:t>
      </w:r>
    </w:p>
    <w:p w14:paraId="14300CE4">
      <w:pPr>
        <w:pageBreakBefore/>
        <w:tabs>
          <w:tab w:val="left" w:pos="1080"/>
        </w:tabs>
        <w:autoSpaceDE w:val="0"/>
        <w:autoSpaceDN w:val="0"/>
        <w:adjustRightInd w:val="0"/>
        <w:spacing w:line="360" w:lineRule="auto"/>
        <w:ind w:left="-167" w:leftChars="-100" w:hanging="43"/>
        <w:jc w:val="center"/>
        <w:outlineLvl w:val="0"/>
        <w:rPr>
          <w:rFonts w:ascii="宋体" w:hAnsi="宋体" w:eastAsia="宋体" w:cs="宋体"/>
          <w:b/>
          <w:bCs/>
          <w:color w:val="auto"/>
          <w:kern w:val="44"/>
          <w:sz w:val="32"/>
          <w:szCs w:val="32"/>
          <w:highlight w:val="none"/>
        </w:rPr>
      </w:pPr>
      <w:bookmarkStart w:id="6" w:name="_Toc12475"/>
      <w:bookmarkStart w:id="7" w:name="_Toc142508311"/>
      <w:bookmarkStart w:id="8" w:name="_Toc13533"/>
      <w:bookmarkStart w:id="9" w:name="_Toc24735"/>
      <w:r>
        <w:rPr>
          <w:rFonts w:hint="eastAsia" w:ascii="宋体" w:hAnsi="宋体" w:eastAsia="宋体" w:cs="宋体"/>
          <w:b/>
          <w:bCs/>
          <w:color w:val="auto"/>
          <w:kern w:val="44"/>
          <w:sz w:val="32"/>
          <w:szCs w:val="32"/>
          <w:highlight w:val="none"/>
          <w:lang w:val="zh-CN"/>
        </w:rPr>
        <w:t>第二篇</w:t>
      </w:r>
      <w:r>
        <w:rPr>
          <w:rFonts w:ascii="宋体" w:hAnsi="宋体" w:eastAsia="宋体" w:cs="宋体"/>
          <w:b/>
          <w:bCs/>
          <w:color w:val="auto"/>
          <w:kern w:val="44"/>
          <w:sz w:val="32"/>
          <w:szCs w:val="32"/>
          <w:highlight w:val="none"/>
        </w:rPr>
        <w:t xml:space="preserve"> </w:t>
      </w:r>
      <w:r>
        <w:rPr>
          <w:rFonts w:hint="eastAsia" w:ascii="宋体" w:hAnsi="宋体" w:eastAsia="宋体" w:cs="宋体"/>
          <w:b/>
          <w:bCs/>
          <w:color w:val="auto"/>
          <w:kern w:val="44"/>
          <w:sz w:val="32"/>
          <w:szCs w:val="32"/>
          <w:highlight w:val="none"/>
          <w:lang w:val="zh-CN"/>
        </w:rPr>
        <w:t>投标人须知</w:t>
      </w:r>
      <w:bookmarkEnd w:id="3"/>
      <w:bookmarkEnd w:id="4"/>
      <w:bookmarkEnd w:id="5"/>
      <w:bookmarkEnd w:id="6"/>
      <w:bookmarkEnd w:id="7"/>
      <w:bookmarkEnd w:id="8"/>
      <w:bookmarkEnd w:id="9"/>
    </w:p>
    <w:p w14:paraId="4FC83F43">
      <w:pPr>
        <w:keepNext/>
        <w:keepLine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10" w:name="_Toc142508312"/>
      <w:bookmarkStart w:id="11" w:name="_Toc486167662"/>
      <w:bookmarkStart w:id="12" w:name="_Toc140596871"/>
      <w:bookmarkStart w:id="13" w:name="_Toc15366_WPSOffice_Level2"/>
      <w:bookmarkStart w:id="14" w:name="_Toc18164"/>
      <w:bookmarkStart w:id="15" w:name="_Toc16098"/>
      <w:bookmarkStart w:id="16" w:name="_Toc450662848"/>
      <w:bookmarkStart w:id="17" w:name="_Toc30360"/>
      <w:r>
        <w:rPr>
          <w:rFonts w:hint="eastAsia" w:ascii="宋体" w:hAnsi="宋体" w:eastAsia="宋体" w:cs="宋体"/>
          <w:b/>
          <w:bCs/>
          <w:color w:val="auto"/>
          <w:kern w:val="44"/>
          <w:szCs w:val="21"/>
          <w:highlight w:val="none"/>
          <w:lang w:val="zh-CN"/>
        </w:rPr>
        <w:t>一、总则</w:t>
      </w:r>
      <w:bookmarkEnd w:id="10"/>
      <w:bookmarkEnd w:id="11"/>
      <w:bookmarkEnd w:id="12"/>
      <w:bookmarkEnd w:id="13"/>
      <w:bookmarkEnd w:id="14"/>
      <w:bookmarkEnd w:id="15"/>
      <w:bookmarkEnd w:id="16"/>
      <w:bookmarkEnd w:id="17"/>
    </w:p>
    <w:p w14:paraId="6F55EB51">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8" w:name="_Toc486167663"/>
      <w:bookmarkStart w:id="19" w:name="_Toc21710_WPSOffice_Level3"/>
      <w:bookmarkStart w:id="20" w:name="_Toc22130"/>
      <w:bookmarkStart w:id="21" w:name="_Toc142508313"/>
      <w:bookmarkStart w:id="22" w:name="_Toc17369"/>
      <w:bookmarkStart w:id="23" w:name="_Toc16700"/>
      <w:bookmarkStart w:id="24" w:name="_Toc450662849"/>
      <w:r>
        <w:rPr>
          <w:rFonts w:hint="eastAsia" w:ascii="宋体" w:hAnsi="宋体" w:eastAsia="宋体" w:cs="宋体"/>
          <w:color w:val="auto"/>
          <w:szCs w:val="21"/>
          <w:highlight w:val="none"/>
          <w:lang w:val="zh-CN"/>
        </w:rPr>
        <w:t>1</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资金来源：企业自筹资金。</w:t>
      </w:r>
      <w:bookmarkEnd w:id="18"/>
      <w:bookmarkEnd w:id="19"/>
      <w:bookmarkEnd w:id="20"/>
      <w:bookmarkEnd w:id="21"/>
      <w:bookmarkEnd w:id="22"/>
      <w:bookmarkEnd w:id="23"/>
      <w:bookmarkEnd w:id="24"/>
    </w:p>
    <w:p w14:paraId="10F015A6">
      <w:pPr>
        <w:autoSpaceDE w:val="0"/>
        <w:autoSpaceDN w:val="0"/>
        <w:adjustRightInd w:val="0"/>
        <w:jc w:val="left"/>
        <w:rPr>
          <w:rFonts w:ascii="宋体" w:hAnsi="宋体" w:eastAsia="宋体" w:cs="宋体"/>
          <w:color w:val="auto"/>
          <w:kern w:val="0"/>
          <w:sz w:val="24"/>
          <w:szCs w:val="24"/>
          <w:highlight w:val="none"/>
        </w:rPr>
      </w:pPr>
    </w:p>
    <w:p w14:paraId="198B682B">
      <w:pPr>
        <w:tabs>
          <w:tab w:val="left" w:pos="570"/>
        </w:tabs>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lang w:val="zh-CN"/>
        </w:rPr>
      </w:pPr>
      <w:bookmarkStart w:id="25" w:name="_Toc80_WPSOffice_Level3"/>
      <w:bookmarkStart w:id="26" w:name="_Toc486167664"/>
      <w:bookmarkStart w:id="27" w:name="_Toc142508314"/>
      <w:bookmarkStart w:id="28" w:name="_Toc13464"/>
      <w:bookmarkStart w:id="29" w:name="_Toc27011"/>
      <w:bookmarkStart w:id="30" w:name="_Toc450662850"/>
      <w:bookmarkStart w:id="31" w:name="_Toc5550"/>
      <w:r>
        <w:rPr>
          <w:rFonts w:hint="eastAsia" w:ascii="宋体" w:hAnsi="宋体" w:eastAsia="宋体" w:cs="宋体"/>
          <w:b/>
          <w:color w:val="auto"/>
          <w:szCs w:val="21"/>
          <w:highlight w:val="none"/>
          <w:lang w:val="zh-CN"/>
        </w:rPr>
        <w:t>2</w:t>
      </w:r>
      <w:r>
        <w:rPr>
          <w:rFonts w:ascii="宋体" w:hAnsi="宋体" w:eastAsia="宋体" w:cs="宋体"/>
          <w:b/>
          <w:color w:val="auto"/>
          <w:szCs w:val="21"/>
          <w:highlight w:val="none"/>
          <w:lang w:val="zh-CN"/>
        </w:rPr>
        <w:t xml:space="preserve"> </w:t>
      </w:r>
      <w:r>
        <w:rPr>
          <w:rFonts w:hint="eastAsia" w:ascii="宋体" w:hAnsi="宋体" w:eastAsia="宋体" w:cs="宋体"/>
          <w:b/>
          <w:color w:val="auto"/>
          <w:szCs w:val="21"/>
          <w:highlight w:val="none"/>
          <w:lang w:val="zh-CN"/>
        </w:rPr>
        <w:t>合格的投标人</w:t>
      </w:r>
      <w:bookmarkEnd w:id="25"/>
      <w:bookmarkEnd w:id="26"/>
      <w:bookmarkEnd w:id="27"/>
      <w:bookmarkEnd w:id="28"/>
      <w:bookmarkEnd w:id="29"/>
      <w:bookmarkEnd w:id="30"/>
      <w:bookmarkEnd w:id="31"/>
    </w:p>
    <w:p w14:paraId="0D719ABA">
      <w:pPr>
        <w:autoSpaceDE w:val="0"/>
        <w:autoSpaceDN w:val="0"/>
        <w:adjustRightInd w:val="0"/>
        <w:spacing w:line="360" w:lineRule="auto"/>
        <w:ind w:left="317" w:leftChars="-100" w:hanging="527" w:hangingChars="250"/>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2.1  合格的投标人条件见第一篇《招标公告》中第</w:t>
      </w:r>
      <w:r>
        <w:rPr>
          <w:rFonts w:ascii="宋体" w:hAnsi="宋体" w:eastAsia="宋体" w:cs="宋体"/>
          <w:b/>
          <w:color w:val="auto"/>
          <w:szCs w:val="21"/>
          <w:highlight w:val="none"/>
          <w:lang w:val="zh-CN"/>
        </w:rPr>
        <w:t>2</w:t>
      </w:r>
      <w:r>
        <w:rPr>
          <w:rFonts w:hint="eastAsia" w:ascii="宋体" w:hAnsi="宋体" w:eastAsia="宋体" w:cs="宋体"/>
          <w:b/>
          <w:color w:val="auto"/>
          <w:szCs w:val="21"/>
          <w:highlight w:val="none"/>
          <w:lang w:val="zh-CN"/>
        </w:rPr>
        <w:t>条的“合格投标人资格要求”及本条以下2.2款至</w:t>
      </w:r>
      <w:r>
        <w:rPr>
          <w:rFonts w:hint="eastAsia" w:ascii="宋体" w:hAnsi="宋体" w:eastAsia="宋体" w:cs="宋体"/>
          <w:b/>
          <w:color w:val="auto"/>
          <w:szCs w:val="21"/>
          <w:highlight w:val="none"/>
          <w:lang w:val="en-US" w:eastAsia="zh-CN"/>
        </w:rPr>
        <w:t>2.5</w:t>
      </w:r>
      <w:r>
        <w:rPr>
          <w:rFonts w:hint="eastAsia" w:ascii="宋体" w:hAnsi="宋体" w:eastAsia="宋体" w:cs="宋体"/>
          <w:b/>
          <w:color w:val="auto"/>
          <w:szCs w:val="21"/>
          <w:highlight w:val="none"/>
          <w:lang w:val="zh-CN"/>
        </w:rPr>
        <w:t>款的通用要求。</w:t>
      </w:r>
    </w:p>
    <w:p w14:paraId="7F83FBB6">
      <w:pPr>
        <w:autoSpaceDE w:val="0"/>
        <w:autoSpaceDN w:val="0"/>
        <w:adjustRightInd w:val="0"/>
        <w:spacing w:line="360" w:lineRule="auto"/>
        <w:ind w:left="359" w:leftChars="-100" w:hanging="569" w:hangingChars="270"/>
        <w:rPr>
          <w:rFonts w:ascii="宋体" w:hAnsi="宋体" w:eastAsia="宋体" w:cs="宋体"/>
          <w:b/>
          <w:color w:val="auto"/>
          <w:kern w:val="0"/>
          <w:szCs w:val="21"/>
          <w:highlight w:val="none"/>
        </w:rPr>
      </w:pPr>
      <w:r>
        <w:rPr>
          <w:rFonts w:hint="eastAsia" w:ascii="宋体" w:hAnsi="宋体" w:eastAsia="宋体" w:cs="宋体"/>
          <w:b/>
          <w:color w:val="auto"/>
          <w:kern w:val="0"/>
          <w:szCs w:val="24"/>
          <w:highlight w:val="none"/>
        </w:rPr>
        <w:t xml:space="preserve">2.2  </w:t>
      </w:r>
      <w:r>
        <w:rPr>
          <w:rFonts w:hint="eastAsia" w:ascii="宋体" w:hAnsi="宋体" w:eastAsia="宋体" w:cs="宋体"/>
          <w:b/>
          <w:color w:val="auto"/>
          <w:kern w:val="0"/>
          <w:szCs w:val="21"/>
          <w:highlight w:val="none"/>
        </w:rPr>
        <w:t>投标人</w:t>
      </w:r>
      <w:r>
        <w:rPr>
          <w:rFonts w:hint="eastAsia" w:ascii="宋体" w:hAnsi="宋体" w:eastAsia="宋体" w:cs="Times New Roman"/>
          <w:b/>
          <w:color w:val="auto"/>
          <w:kern w:val="0"/>
          <w:szCs w:val="21"/>
          <w:highlight w:val="none"/>
        </w:rPr>
        <w:t>在参加本项目投标前的三年内不得在投标活动中存在《中华人民共和国招标投标法》第五十三条（相互串通投标或者与招标人串通投标，以向招标人或者评标委员会成员行贿的手段谋取中标）、第五十四条（以他人名义投标或者以其他方式弄虚作假，骗取中标）、第六十条（中标人不履行与招标人订立的合同）、《中华人民共和国招标投标法实施条例》第七十六条（将中标项目转让给他人的，将中标项目肢解后分别转让给他人的，违反招标投标法和本条例规定将中标项目的部分主体、关键性工作分包给他人的，或者分包人再次分包）、第七十七条（捏造事实、伪造材料或者以非法手段取得证明材料进行投诉）规定的违法行为，而受到各级管理部门的处罚。投标人存在前述处罚的，在投标文件中必须主动按招标文件的要求填报“最近3年投标人牵涉的其他（失信和违法）</w:t>
      </w:r>
      <w:r>
        <w:rPr>
          <w:rFonts w:hint="eastAsia" w:ascii="宋体" w:hAnsi="宋体" w:eastAsia="宋体" w:cs="Times New Roman"/>
          <w:b/>
          <w:color w:val="auto"/>
          <w:kern w:val="0"/>
          <w:szCs w:val="21"/>
          <w:highlight w:val="none"/>
          <w:lang w:val="zh-CN"/>
        </w:rPr>
        <w:t>处罚说明</w:t>
      </w:r>
      <w:r>
        <w:rPr>
          <w:rFonts w:hint="eastAsia" w:ascii="宋体" w:hAnsi="宋体" w:eastAsia="宋体" w:cs="Times New Roman"/>
          <w:b/>
          <w:color w:val="auto"/>
          <w:kern w:val="0"/>
          <w:szCs w:val="21"/>
          <w:highlight w:val="none"/>
        </w:rPr>
        <w:t>”，如果不主动填报而被事后发现的，将取消其投标（中标）资格，并按有关规定从重处理</w:t>
      </w:r>
      <w:r>
        <w:rPr>
          <w:rFonts w:hint="eastAsia" w:ascii="宋体" w:hAnsi="宋体" w:eastAsia="宋体" w:cs="宋体"/>
          <w:b/>
          <w:color w:val="auto"/>
          <w:kern w:val="0"/>
          <w:szCs w:val="21"/>
          <w:highlight w:val="none"/>
        </w:rPr>
        <w:t>。</w:t>
      </w:r>
    </w:p>
    <w:p w14:paraId="7C5C8532">
      <w:pPr>
        <w:autoSpaceDE w:val="0"/>
        <w:autoSpaceDN w:val="0"/>
        <w:adjustRightInd w:val="0"/>
        <w:spacing w:line="360" w:lineRule="auto"/>
        <w:ind w:left="317" w:leftChars="-100" w:hanging="527" w:hangingChars="250"/>
        <w:rPr>
          <w:rFonts w:ascii="宋体" w:hAnsi="宋体" w:eastAsia="宋体" w:cs="宋体"/>
          <w:b/>
          <w:color w:val="auto"/>
          <w:szCs w:val="21"/>
          <w:highlight w:val="none"/>
          <w:lang w:val="zh-CN"/>
        </w:rPr>
      </w:pPr>
      <w:r>
        <w:rPr>
          <w:rFonts w:hint="eastAsia" w:ascii="宋体" w:hAnsi="宋体" w:eastAsia="宋体" w:cs="宋体"/>
          <w:b/>
          <w:color w:val="auto"/>
          <w:kern w:val="0"/>
          <w:szCs w:val="21"/>
          <w:highlight w:val="none"/>
          <w:lang w:val="zh-CN"/>
        </w:rPr>
        <w:t>2.</w:t>
      </w:r>
      <w:r>
        <w:rPr>
          <w:rFonts w:ascii="宋体" w:hAnsi="宋体" w:eastAsia="宋体" w:cs="宋体"/>
          <w:b/>
          <w:color w:val="auto"/>
          <w:kern w:val="0"/>
          <w:szCs w:val="21"/>
          <w:highlight w:val="none"/>
          <w:lang w:val="zh-CN"/>
        </w:rPr>
        <w:t>3</w:t>
      </w:r>
      <w:r>
        <w:rPr>
          <w:rFonts w:hint="eastAsia" w:ascii="宋体" w:hAnsi="宋体" w:eastAsia="宋体" w:cs="宋体"/>
          <w:b/>
          <w:color w:val="auto"/>
          <w:kern w:val="0"/>
          <w:szCs w:val="21"/>
          <w:highlight w:val="none"/>
          <w:lang w:val="zh-CN"/>
        </w:rPr>
        <w:t xml:space="preserve">  投标人</w:t>
      </w:r>
      <w:r>
        <w:rPr>
          <w:rFonts w:hint="eastAsia" w:ascii="宋体" w:hAnsi="宋体" w:eastAsia="宋体" w:cs="宋体"/>
          <w:b/>
          <w:color w:val="auto"/>
          <w:szCs w:val="21"/>
          <w:highlight w:val="none"/>
          <w:lang w:val="zh-CN"/>
        </w:rPr>
        <w:t>符合《中华人民共和国招标投标法》第二十六条规定。</w:t>
      </w:r>
    </w:p>
    <w:p w14:paraId="60EB6B24">
      <w:pPr>
        <w:autoSpaceDE w:val="0"/>
        <w:autoSpaceDN w:val="0"/>
        <w:adjustRightInd w:val="0"/>
        <w:spacing w:line="360" w:lineRule="auto"/>
        <w:ind w:left="359" w:leftChars="-99" w:hanging="567" w:hangingChars="269"/>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r>
        <w:rPr>
          <w:rFonts w:ascii="宋体" w:hAnsi="宋体" w:eastAsia="宋体" w:cs="宋体"/>
          <w:b/>
          <w:color w:val="auto"/>
          <w:kern w:val="0"/>
          <w:szCs w:val="21"/>
          <w:highlight w:val="none"/>
        </w:rPr>
        <w:t>4</w:t>
      </w:r>
      <w:r>
        <w:rPr>
          <w:rFonts w:hint="eastAsia" w:ascii="宋体" w:hAnsi="宋体" w:eastAsia="宋体" w:cs="宋体"/>
          <w:b/>
          <w:color w:val="auto"/>
          <w:kern w:val="0"/>
          <w:szCs w:val="21"/>
          <w:highlight w:val="none"/>
        </w:rPr>
        <w:t xml:space="preserve">  </w:t>
      </w:r>
      <w:r>
        <w:rPr>
          <w:rFonts w:hint="eastAsia" w:ascii="宋体" w:hAnsi="宋体" w:eastAsia="宋体" w:cs="Times New Roman"/>
          <w:b/>
          <w:color w:val="auto"/>
          <w:kern w:val="0"/>
          <w:szCs w:val="21"/>
          <w:highlight w:val="none"/>
        </w:rPr>
        <w:t>投标人（含其不具有独立法人资格的分支机构）未被列入“信用中国”网站（ www.creditchina.gov.cn）失信被执行人、重大税收违法失信主体、</w:t>
      </w:r>
      <w:r>
        <w:rPr>
          <w:rFonts w:hint="eastAsia" w:ascii="宋体" w:hAnsi="宋体" w:eastAsia="宋体" w:cs="Times New Roman"/>
          <w:b/>
          <w:color w:val="auto"/>
          <w:kern w:val="0"/>
          <w:szCs w:val="21"/>
          <w:highlight w:val="none"/>
          <w:lang w:val="en-US" w:eastAsia="zh-CN"/>
        </w:rPr>
        <w:t>政府采购</w:t>
      </w:r>
      <w:r>
        <w:rPr>
          <w:rFonts w:hint="eastAsia" w:ascii="宋体" w:hAnsi="宋体" w:eastAsia="宋体" w:cs="Times New Roman"/>
          <w:b/>
          <w:color w:val="auto"/>
          <w:kern w:val="0"/>
          <w:szCs w:val="21"/>
          <w:highlight w:val="none"/>
        </w:rPr>
        <w:t>严重违法失信行为记录名单（处罚期限届满的除外）</w:t>
      </w:r>
      <w:r>
        <w:rPr>
          <w:rFonts w:hint="eastAsia" w:ascii="宋体" w:hAnsi="宋体" w:eastAsia="宋体" w:cs="宋体"/>
          <w:b/>
          <w:color w:val="auto"/>
          <w:kern w:val="0"/>
          <w:szCs w:val="21"/>
          <w:highlight w:val="none"/>
        </w:rPr>
        <w:t>。</w:t>
      </w:r>
    </w:p>
    <w:p w14:paraId="5A30F918">
      <w:pPr>
        <w:autoSpaceDE w:val="0"/>
        <w:autoSpaceDN w:val="0"/>
        <w:adjustRightInd w:val="0"/>
        <w:spacing w:line="360" w:lineRule="auto"/>
        <w:ind w:left="317" w:leftChars="-100" w:hanging="527" w:hangingChars="250"/>
        <w:rPr>
          <w:rFonts w:ascii="宋体" w:hAnsi="宋体" w:eastAsia="宋体" w:cs="宋体"/>
          <w:b/>
          <w:color w:val="auto"/>
          <w:kern w:val="0"/>
          <w:szCs w:val="21"/>
          <w:highlight w:val="none"/>
          <w:lang w:val="zh-CN"/>
        </w:rPr>
      </w:pPr>
      <w:r>
        <w:rPr>
          <w:rFonts w:hint="eastAsia" w:ascii="宋体" w:hAnsi="宋体" w:eastAsia="宋体" w:cs="宋体"/>
          <w:b/>
          <w:color w:val="auto"/>
          <w:szCs w:val="21"/>
          <w:highlight w:val="none"/>
          <w:lang w:val="zh-CN"/>
        </w:rPr>
        <w:t>2.</w:t>
      </w:r>
      <w:r>
        <w:rPr>
          <w:rFonts w:ascii="宋体" w:hAnsi="宋体" w:eastAsia="宋体" w:cs="宋体"/>
          <w:b/>
          <w:color w:val="auto"/>
          <w:szCs w:val="21"/>
          <w:highlight w:val="none"/>
          <w:lang w:val="zh-CN"/>
        </w:rPr>
        <w:t>5</w:t>
      </w:r>
      <w:r>
        <w:rPr>
          <w:rFonts w:hint="eastAsia" w:ascii="宋体" w:hAnsi="宋体" w:eastAsia="宋体" w:cs="宋体"/>
          <w:b/>
          <w:color w:val="auto"/>
          <w:szCs w:val="21"/>
          <w:highlight w:val="none"/>
          <w:lang w:val="zh-CN"/>
        </w:rPr>
        <w:t xml:space="preserve">  </w:t>
      </w:r>
      <w:r>
        <w:rPr>
          <w:rFonts w:hint="eastAsia" w:ascii="宋体" w:hAnsi="宋体" w:eastAsia="宋体" w:cs="Times New Roman"/>
          <w:b/>
          <w:color w:val="auto"/>
          <w:kern w:val="0"/>
          <w:szCs w:val="21"/>
          <w:highlight w:val="none"/>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r>
        <w:rPr>
          <w:rFonts w:hint="eastAsia" w:ascii="宋体" w:hAnsi="宋体" w:eastAsia="宋体" w:cs="宋体"/>
          <w:b/>
          <w:color w:val="auto"/>
          <w:szCs w:val="21"/>
          <w:highlight w:val="none"/>
          <w:lang w:val="zh-CN"/>
        </w:rPr>
        <w:t>。</w:t>
      </w:r>
    </w:p>
    <w:p w14:paraId="0B9FCBAF">
      <w:pPr>
        <w:tabs>
          <w:tab w:val="left" w:pos="426"/>
        </w:tabs>
        <w:autoSpaceDE w:val="0"/>
        <w:autoSpaceDN w:val="0"/>
        <w:adjustRightInd w:val="0"/>
        <w:spacing w:line="360" w:lineRule="auto"/>
        <w:ind w:left="319" w:leftChars="-100" w:hanging="529" w:hangingChars="252"/>
        <w:rPr>
          <w:rFonts w:ascii="宋体" w:hAnsi="宋体" w:eastAsia="宋体" w:cs="宋体"/>
          <w:color w:val="auto"/>
          <w:kern w:val="0"/>
          <w:szCs w:val="24"/>
          <w:highlight w:val="none"/>
        </w:rPr>
      </w:pPr>
    </w:p>
    <w:p w14:paraId="528BB7F8">
      <w:pPr>
        <w:tabs>
          <w:tab w:val="left" w:pos="570"/>
        </w:tabs>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lang w:val="zh-CN"/>
        </w:rPr>
      </w:pPr>
      <w:bookmarkStart w:id="32" w:name="_Toc23847_WPSOffice_Level3"/>
      <w:bookmarkStart w:id="33" w:name="_Toc26948"/>
      <w:bookmarkStart w:id="34" w:name="_Toc142508315"/>
      <w:bookmarkStart w:id="35" w:name="_Toc4257"/>
      <w:bookmarkStart w:id="36" w:name="_Toc8199"/>
      <w:bookmarkStart w:id="37" w:name="_Toc486167665"/>
      <w:bookmarkStart w:id="38" w:name="_Toc450662851"/>
      <w:r>
        <w:rPr>
          <w:rFonts w:hint="eastAsia" w:ascii="宋体" w:hAnsi="宋体" w:eastAsia="宋体" w:cs="宋体"/>
          <w:b/>
          <w:color w:val="auto"/>
          <w:szCs w:val="21"/>
          <w:highlight w:val="none"/>
          <w:lang w:val="zh-CN"/>
        </w:rPr>
        <w:t>3</w:t>
      </w:r>
      <w:r>
        <w:rPr>
          <w:rFonts w:ascii="宋体" w:hAnsi="宋体" w:eastAsia="宋体" w:cs="宋体"/>
          <w:b/>
          <w:color w:val="auto"/>
          <w:szCs w:val="21"/>
          <w:highlight w:val="none"/>
          <w:lang w:val="zh-CN"/>
        </w:rPr>
        <w:t xml:space="preserve"> </w:t>
      </w:r>
      <w:r>
        <w:rPr>
          <w:rFonts w:hint="eastAsia" w:ascii="宋体" w:hAnsi="宋体" w:eastAsia="宋体" w:cs="宋体"/>
          <w:b/>
          <w:color w:val="auto"/>
          <w:szCs w:val="21"/>
          <w:highlight w:val="none"/>
          <w:lang w:val="zh-CN"/>
        </w:rPr>
        <w:t>合格的货物</w:t>
      </w:r>
      <w:bookmarkEnd w:id="32"/>
      <w:bookmarkEnd w:id="33"/>
      <w:bookmarkEnd w:id="34"/>
      <w:bookmarkEnd w:id="35"/>
      <w:bookmarkEnd w:id="36"/>
    </w:p>
    <w:p w14:paraId="53230488">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ascii="宋体" w:hAnsi="宋体" w:eastAsia="宋体" w:cs="Times New Roman"/>
          <w:color w:val="auto"/>
          <w:szCs w:val="21"/>
          <w:highlight w:val="none"/>
          <w:lang w:val="zh-CN"/>
        </w:rPr>
        <w:t>3.</w:t>
      </w:r>
      <w:r>
        <w:rPr>
          <w:rFonts w:hint="eastAsia" w:ascii="宋体" w:hAnsi="宋体" w:eastAsia="宋体" w:cs="Times New Roman"/>
          <w:color w:val="auto"/>
          <w:szCs w:val="21"/>
          <w:highlight w:val="none"/>
          <w:lang w:val="zh-CN"/>
        </w:rPr>
        <w:t>1</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zh-CN"/>
        </w:rPr>
        <w:t>本款所述的“原产地”指最终供货货物生产制造地方。所述的货物是指制造、加工或使用重要的和主要的原材料制作而成的货物，必须是全新、原装、符合国家质量检测标准和国家安全技术标准，且在商业上公认其基本特征、性能或功能与部件（或原材料）有着实质性区别的产品。</w:t>
      </w:r>
    </w:p>
    <w:p w14:paraId="2B58C636">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39" w:name="_Toc533708063"/>
      <w:bookmarkStart w:id="40" w:name="_Toc1977663"/>
      <w:r>
        <w:rPr>
          <w:rFonts w:hint="eastAsia" w:ascii="宋体" w:hAnsi="宋体" w:eastAsia="宋体" w:cs="宋体"/>
          <w:color w:val="auto"/>
          <w:szCs w:val="21"/>
          <w:highlight w:val="none"/>
          <w:lang w:val="zh-CN"/>
        </w:rPr>
        <w:t>3.2  投标人</w:t>
      </w:r>
      <w:r>
        <w:rPr>
          <w:rFonts w:hint="eastAsia" w:ascii="宋体" w:hAnsi="宋体" w:eastAsia="宋体" w:cs="Times New Roman"/>
          <w:color w:val="auto"/>
          <w:szCs w:val="21"/>
          <w:highlight w:val="none"/>
          <w:lang w:val="zh-CN"/>
        </w:rPr>
        <w:t>中标后提供的货物</w:t>
      </w:r>
      <w:r>
        <w:rPr>
          <w:rFonts w:hint="eastAsia" w:ascii="宋体" w:hAnsi="宋体" w:eastAsia="宋体" w:cs="Times New Roman"/>
          <w:color w:val="auto"/>
          <w:kern w:val="0"/>
          <w:szCs w:val="21"/>
          <w:highlight w:val="none"/>
        </w:rPr>
        <w:t>必须是合法生产、合法来源的原厂生产的、全新的、未使用过的，并完全符合原厂质量检测标准和国家质量检测标准、行业标准和招标文件要求、投标文件承诺。涉及进口产品或原材料的，中标人</w:t>
      </w:r>
      <w:r>
        <w:rPr>
          <w:rFonts w:ascii="宋体" w:hAnsi="宋体" w:eastAsia="宋体" w:cs="Times New Roman"/>
          <w:color w:val="auto"/>
          <w:kern w:val="0"/>
          <w:szCs w:val="21"/>
          <w:highlight w:val="none"/>
        </w:rPr>
        <w:t>负责办理所有货物的进口及商检手续</w:t>
      </w:r>
      <w:r>
        <w:rPr>
          <w:rFonts w:hint="eastAsia" w:ascii="宋体" w:hAnsi="宋体" w:eastAsia="宋体" w:cs="Times New Roman"/>
          <w:color w:val="auto"/>
          <w:kern w:val="0"/>
          <w:szCs w:val="21"/>
          <w:highlight w:val="none"/>
        </w:rPr>
        <w:t>，并承担相关费用</w:t>
      </w:r>
      <w:r>
        <w:rPr>
          <w:rFonts w:hint="eastAsia" w:ascii="宋体" w:hAnsi="宋体" w:eastAsia="宋体" w:cs="宋体"/>
          <w:color w:val="auto"/>
          <w:szCs w:val="21"/>
          <w:highlight w:val="none"/>
          <w:lang w:val="zh-CN"/>
        </w:rPr>
        <w:t>。</w:t>
      </w:r>
    </w:p>
    <w:bookmarkEnd w:id="39"/>
    <w:bookmarkEnd w:id="40"/>
    <w:p w14:paraId="78DA186F">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41" w:name="_Toc1977664"/>
      <w:bookmarkStart w:id="42" w:name="_Toc533708064"/>
      <w:r>
        <w:rPr>
          <w:rFonts w:hint="eastAsia" w:ascii="宋体" w:hAnsi="宋体" w:eastAsia="宋体" w:cs="宋体"/>
          <w:color w:val="auto"/>
          <w:szCs w:val="21"/>
          <w:highlight w:val="none"/>
          <w:lang w:val="zh-CN"/>
        </w:rPr>
        <w:t xml:space="preserve">3.3  </w:t>
      </w:r>
      <w:bookmarkEnd w:id="41"/>
      <w:bookmarkEnd w:id="42"/>
      <w:bookmarkStart w:id="43" w:name="_Toc1977665"/>
      <w:bookmarkStart w:id="44" w:name="_Toc533708065"/>
      <w:r>
        <w:rPr>
          <w:rFonts w:hint="eastAsia" w:ascii="宋体" w:hAnsi="宋体" w:eastAsia="宋体" w:cs="宋体"/>
          <w:color w:val="auto"/>
          <w:szCs w:val="21"/>
          <w:highlight w:val="none"/>
          <w:lang w:val="zh-CN"/>
        </w:rPr>
        <w:t>投标人</w:t>
      </w:r>
      <w:r>
        <w:rPr>
          <w:rFonts w:hint="eastAsia" w:ascii="宋体" w:hAnsi="宋体" w:eastAsia="宋体" w:cs="Times New Roman"/>
          <w:color w:val="auto"/>
          <w:szCs w:val="21"/>
          <w:highlight w:val="none"/>
          <w:lang w:val="zh-CN"/>
        </w:rPr>
        <w:t>必须保证提供的所有货物或货物的任何部分均为最新正式版本</w:t>
      </w:r>
      <w:r>
        <w:rPr>
          <w:rFonts w:hint="eastAsia" w:ascii="宋体" w:hAnsi="宋体" w:eastAsia="宋体" w:cs="宋体"/>
          <w:color w:val="auto"/>
          <w:szCs w:val="21"/>
          <w:highlight w:val="none"/>
          <w:lang w:val="zh-CN"/>
        </w:rPr>
        <w:t>。</w:t>
      </w:r>
      <w:bookmarkEnd w:id="43"/>
      <w:bookmarkEnd w:id="44"/>
    </w:p>
    <w:p w14:paraId="786947CA">
      <w:pPr>
        <w:autoSpaceDE w:val="0"/>
        <w:autoSpaceDN w:val="0"/>
        <w:adjustRightInd w:val="0"/>
        <w:spacing w:line="360" w:lineRule="auto"/>
        <w:ind w:left="315" w:leftChars="-100" w:hanging="525" w:hangingChars="250"/>
        <w:rPr>
          <w:rFonts w:ascii="宋体" w:hAnsi="宋体" w:eastAsia="宋体" w:cs="Times New Roman"/>
          <w:color w:val="auto"/>
          <w:kern w:val="0"/>
          <w:szCs w:val="21"/>
          <w:highlight w:val="none"/>
        </w:rPr>
      </w:pPr>
      <w:bookmarkStart w:id="45" w:name="_Toc533708066"/>
      <w:bookmarkStart w:id="46" w:name="_Toc1977666"/>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val="zh-CN"/>
        </w:rPr>
        <w:t xml:space="preserve">  </w:t>
      </w:r>
      <w:r>
        <w:rPr>
          <w:rFonts w:hint="eastAsia" w:ascii="宋体" w:hAnsi="宋体" w:eastAsia="宋体" w:cs="Times New Roman"/>
          <w:color w:val="auto"/>
          <w:kern w:val="0"/>
          <w:szCs w:val="21"/>
          <w:highlight w:val="none"/>
        </w:rPr>
        <w:t>进口的货物及其有关服务必须符合原产地和中华人民共和国的设计和制造生产或行业标准。进口的货物须是具有合法的进口手续和途径，并通过了中华人民共和国商检部门的检验。中标人负责办理所有货物的进口及商检手续，并承担相关费用，还应提供原产地证书、报关资料及检验检疫证明、完税证明。</w:t>
      </w:r>
    </w:p>
    <w:bookmarkEnd w:id="45"/>
    <w:bookmarkEnd w:id="46"/>
    <w:p w14:paraId="3C932511">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47" w:name="_Toc533708067"/>
      <w:bookmarkStart w:id="48" w:name="_Toc1977667"/>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val="zh-CN"/>
        </w:rPr>
        <w:t xml:space="preserve">  投标人</w:t>
      </w:r>
      <w:r>
        <w:rPr>
          <w:rFonts w:hint="eastAsia" w:ascii="宋体" w:hAnsi="宋体" w:eastAsia="宋体" w:cs="Times New Roman"/>
          <w:color w:val="auto"/>
          <w:kern w:val="0"/>
          <w:szCs w:val="21"/>
          <w:highlight w:val="none"/>
        </w:rPr>
        <w:t>应保证招标人在中华人民共和国使用货物或货物的任何一部分时，招标人免受第三方提出侵犯其专利权、商标权或其它知识产权的起诉。如果投标人不拥有相应的知识产权，则须在报价中包括合法获取该知识产权的相关费用，并在招标文件中附有相关证明文件。如有违反，造成招标人任何经济损失或其他损失的，由投标人承担全部赔偿责任</w:t>
      </w:r>
      <w:r>
        <w:rPr>
          <w:rFonts w:hint="eastAsia" w:ascii="宋体" w:hAnsi="宋体" w:eastAsia="宋体" w:cs="宋体"/>
          <w:color w:val="auto"/>
          <w:szCs w:val="21"/>
          <w:highlight w:val="none"/>
          <w:lang w:val="zh-CN"/>
        </w:rPr>
        <w:t>。</w:t>
      </w:r>
      <w:bookmarkEnd w:id="47"/>
      <w:bookmarkEnd w:id="48"/>
    </w:p>
    <w:p w14:paraId="22446E4C">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49" w:name="_Toc1977668"/>
      <w:bookmarkStart w:id="50" w:name="_Toc533708068"/>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val="zh-CN"/>
        </w:rPr>
        <w:t xml:space="preserve">  无论投标人</w:t>
      </w:r>
      <w:r>
        <w:rPr>
          <w:rFonts w:hint="eastAsia" w:ascii="宋体" w:hAnsi="宋体" w:eastAsia="宋体" w:cs="Times New Roman"/>
          <w:color w:val="auto"/>
          <w:kern w:val="0"/>
          <w:szCs w:val="21"/>
          <w:highlight w:val="none"/>
        </w:rPr>
        <w:t>是否在投标报价表中明示，均视为投标报价已包含所有应支付的对专利权</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商标权和版权、设计或其他知识产权而需要向其他方支付的版税和使用费等相关费用。如投标人未依法向第三方支付应缴版税和使用费等相关费用</w:t>
      </w:r>
      <w:r>
        <w:rPr>
          <w:rFonts w:hint="eastAsia" w:ascii="宋体" w:hAnsi="宋体" w:eastAsia="宋体" w:cs="Times New Roman"/>
          <w:color w:val="auto"/>
          <w:kern w:val="0"/>
          <w:szCs w:val="21"/>
          <w:highlight w:val="none"/>
          <w:lang w:val="en-US" w:eastAsia="zh-CN"/>
        </w:rPr>
        <w:t>的</w:t>
      </w:r>
      <w:r>
        <w:rPr>
          <w:rFonts w:hint="eastAsia" w:ascii="宋体" w:hAnsi="宋体" w:eastAsia="宋体" w:cs="Times New Roman"/>
          <w:color w:val="auto"/>
          <w:kern w:val="0"/>
          <w:szCs w:val="21"/>
          <w:highlight w:val="none"/>
        </w:rPr>
        <w:t>，造成招标人任何经济损失的，由投标人承担全部赔偿责任</w:t>
      </w:r>
      <w:r>
        <w:rPr>
          <w:rFonts w:hint="eastAsia" w:ascii="宋体" w:hAnsi="宋体" w:eastAsia="宋体" w:cs="宋体"/>
          <w:color w:val="auto"/>
          <w:szCs w:val="21"/>
          <w:highlight w:val="none"/>
          <w:lang w:val="zh-CN"/>
        </w:rPr>
        <w:t>。</w:t>
      </w:r>
      <w:bookmarkEnd w:id="49"/>
      <w:bookmarkEnd w:id="50"/>
    </w:p>
    <w:p w14:paraId="7CD7F5A1">
      <w:pPr>
        <w:autoSpaceDE w:val="0"/>
        <w:autoSpaceDN w:val="0"/>
        <w:adjustRightInd w:val="0"/>
        <w:spacing w:line="360" w:lineRule="auto"/>
        <w:jc w:val="left"/>
        <w:rPr>
          <w:rFonts w:ascii="宋体" w:hAnsi="宋体" w:eastAsia="宋体" w:cs="宋体"/>
          <w:color w:val="auto"/>
          <w:szCs w:val="21"/>
          <w:highlight w:val="none"/>
          <w:lang w:val="zh-CN"/>
        </w:rPr>
      </w:pPr>
    </w:p>
    <w:p w14:paraId="6E4AF00A">
      <w:pPr>
        <w:tabs>
          <w:tab w:val="left" w:pos="57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51" w:name="_Toc142508316"/>
      <w:bookmarkStart w:id="52" w:name="_Toc23394"/>
      <w:bookmarkStart w:id="53" w:name="_Toc16122"/>
      <w:bookmarkStart w:id="54" w:name="_Toc20936"/>
      <w:bookmarkStart w:id="55" w:name="_Toc9658_WPSOffice_Level3"/>
      <w:r>
        <w:rPr>
          <w:rFonts w:hint="eastAsia" w:ascii="宋体" w:hAnsi="宋体" w:eastAsia="宋体" w:cs="宋体"/>
          <w:color w:val="auto"/>
          <w:szCs w:val="21"/>
          <w:highlight w:val="none"/>
          <w:lang w:val="zh-CN"/>
        </w:rPr>
        <w:t>4</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其它说明</w:t>
      </w:r>
      <w:bookmarkEnd w:id="51"/>
      <w:bookmarkEnd w:id="52"/>
      <w:bookmarkEnd w:id="53"/>
      <w:bookmarkEnd w:id="54"/>
      <w:bookmarkEnd w:id="55"/>
    </w:p>
    <w:p w14:paraId="68AA8ACE">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56" w:name="_Toc1977670"/>
      <w:bookmarkStart w:id="57" w:name="_Toc533708070"/>
      <w:r>
        <w:rPr>
          <w:rFonts w:hint="eastAsia" w:ascii="宋体" w:hAnsi="宋体" w:eastAsia="宋体" w:cs="宋体"/>
          <w:color w:val="auto"/>
          <w:szCs w:val="21"/>
          <w:highlight w:val="none"/>
          <w:lang w:val="zh-CN"/>
        </w:rPr>
        <w:t>4.1  投标费用</w:t>
      </w:r>
      <w:bookmarkEnd w:id="56"/>
      <w:bookmarkEnd w:id="57"/>
    </w:p>
    <w:p w14:paraId="61F769D2">
      <w:pPr>
        <w:autoSpaceDE w:val="0"/>
        <w:autoSpaceDN w:val="0"/>
        <w:adjustRightInd w:val="0"/>
        <w:spacing w:line="360" w:lineRule="auto"/>
        <w:ind w:left="210" w:leftChars="100" w:firstLine="420" w:firstLineChars="200"/>
        <w:rPr>
          <w:rFonts w:ascii="宋体" w:hAnsi="宋体" w:eastAsia="宋体" w:cs="宋体"/>
          <w:color w:val="auto"/>
          <w:szCs w:val="21"/>
          <w:highlight w:val="none"/>
          <w:lang w:val="zh-CN"/>
        </w:rPr>
      </w:pPr>
      <w:bookmarkStart w:id="58" w:name="_Toc1977672"/>
      <w:bookmarkStart w:id="59" w:name="_Toc533708072"/>
      <w:r>
        <w:rPr>
          <w:rFonts w:hint="eastAsia" w:ascii="宋体" w:hAnsi="宋体" w:eastAsia="宋体" w:cs="Times New Roman"/>
          <w:color w:val="auto"/>
          <w:szCs w:val="21"/>
          <w:highlight w:val="none"/>
          <w:lang w:val="zh-CN"/>
        </w:rPr>
        <w:t>无论招标过程中的做法和结果如何，投标人须承担所有与编写和递交投标文件有关的费用，招标人和招标代理机构在任何情况下不负担这些费用</w:t>
      </w:r>
      <w:r>
        <w:rPr>
          <w:rFonts w:hint="eastAsia" w:ascii="宋体" w:hAnsi="宋体" w:eastAsia="宋体" w:cs="宋体"/>
          <w:color w:val="auto"/>
          <w:szCs w:val="21"/>
          <w:highlight w:val="none"/>
          <w:lang w:val="zh-CN"/>
        </w:rPr>
        <w:t>。</w:t>
      </w:r>
      <w:bookmarkEnd w:id="58"/>
      <w:bookmarkEnd w:id="59"/>
    </w:p>
    <w:p w14:paraId="3AD30B43">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60" w:name="_Toc1977673"/>
      <w:bookmarkStart w:id="61" w:name="_Toc533708073"/>
      <w:r>
        <w:rPr>
          <w:rFonts w:hint="eastAsia" w:ascii="宋体" w:hAnsi="宋体" w:eastAsia="宋体" w:cs="宋体"/>
          <w:color w:val="auto"/>
          <w:szCs w:val="21"/>
          <w:highlight w:val="none"/>
          <w:lang w:val="zh-CN"/>
        </w:rPr>
        <w:t>4.2  踏勘现场</w:t>
      </w:r>
      <w:bookmarkEnd w:id="60"/>
      <w:bookmarkEnd w:id="61"/>
    </w:p>
    <w:p w14:paraId="556A5A82">
      <w:pPr>
        <w:autoSpaceDE w:val="0"/>
        <w:autoSpaceDN w:val="0"/>
        <w:adjustRightInd w:val="0"/>
        <w:spacing w:line="360" w:lineRule="auto"/>
        <w:ind w:left="300" w:leftChars="-59" w:hanging="424" w:hangingChars="202"/>
        <w:jc w:val="left"/>
        <w:rPr>
          <w:rFonts w:ascii="宋体" w:hAnsi="宋体" w:eastAsia="宋体" w:cs="Times New Roman"/>
          <w:color w:val="auto"/>
          <w:kern w:val="0"/>
          <w:szCs w:val="21"/>
          <w:highlight w:val="none"/>
        </w:rPr>
      </w:pPr>
      <w:bookmarkStart w:id="62" w:name="_Toc1977676"/>
      <w:bookmarkStart w:id="63" w:name="_Toc533708076"/>
      <w:r>
        <w:rPr>
          <w:rFonts w:hint="eastAsia" w:ascii="宋体" w:hAnsi="宋体" w:eastAsia="宋体" w:cs="Times New Roman"/>
          <w:color w:val="auto"/>
          <w:kern w:val="0"/>
          <w:szCs w:val="21"/>
          <w:highlight w:val="none"/>
        </w:rPr>
        <w:t>（1）本项目不组织集中踏勘现场和答疑，投标人应自行到实地踏勘考察。</w:t>
      </w:r>
    </w:p>
    <w:p w14:paraId="1259A460">
      <w:pPr>
        <w:autoSpaceDE w:val="0"/>
        <w:autoSpaceDN w:val="0"/>
        <w:adjustRightInd w:val="0"/>
        <w:spacing w:line="360" w:lineRule="auto"/>
        <w:ind w:left="300" w:leftChars="-59" w:hanging="424" w:hangingChars="202"/>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（2）潜在投标人应承担踏勘现场自身所发生的费用。</w:t>
      </w:r>
    </w:p>
    <w:p w14:paraId="3148F15B">
      <w:pPr>
        <w:spacing w:line="360" w:lineRule="auto"/>
        <w:ind w:left="300" w:leftChars="-59" w:hanging="424" w:hangingChars="202"/>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（3）招标人和招标代理机构在踏勘现场中介绍的有关现场和相关的周边环境情况，供投标人在编制投标文件时参考，招标人不对投标人据此作出的判断和决策负责。</w:t>
      </w:r>
    </w:p>
    <w:p w14:paraId="3C84E885">
      <w:pPr>
        <w:spacing w:line="360" w:lineRule="auto"/>
        <w:ind w:left="300" w:leftChars="-59" w:hanging="424" w:hangingChars="202"/>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（4）潜在投标人可为踏勘需要而进入招标人的项目现场，但潜在投标人不得因此使招标人承担有关的责任和蒙受损失。潜在投标人应承担踏勘现场的责任和风险。</w:t>
      </w:r>
    </w:p>
    <w:p w14:paraId="1B7CD4F2">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4.3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纪律与保密事项</w:t>
      </w:r>
      <w:bookmarkEnd w:id="37"/>
      <w:bookmarkEnd w:id="38"/>
      <w:bookmarkEnd w:id="62"/>
      <w:bookmarkEnd w:id="63"/>
    </w:p>
    <w:p w14:paraId="2BE43F3D">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（1）获得本招标文件的投标人，不得用作本次投标以外的任何用途。</w:t>
      </w:r>
    </w:p>
    <w:p w14:paraId="32438797">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（2</w:t>
      </w:r>
      <w:r>
        <w:rPr>
          <w:rFonts w:hint="eastAsia" w:ascii="宋体" w:hAnsi="宋体" w:eastAsia="宋体" w:cs="Times New Roman"/>
          <w:color w:val="auto"/>
          <w:kern w:val="0"/>
          <w:szCs w:val="21"/>
          <w:highlight w:val="none"/>
        </w:rPr>
        <w:t>）凡参与招标工作的有关人员均应自觉接受有关主管部门的监督，不得向他人透露可能影响公平竞争的情况。</w:t>
      </w:r>
    </w:p>
    <w:p w14:paraId="701E36D7">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（3）开标后，直至向中标人</w:t>
      </w:r>
      <w:r>
        <w:rPr>
          <w:rFonts w:hint="eastAsia" w:ascii="宋体" w:hAnsi="宋体" w:eastAsia="宋体" w:cs="Times New Roman"/>
          <w:color w:val="auto"/>
          <w:kern w:val="0"/>
          <w:szCs w:val="21"/>
          <w:highlight w:val="none"/>
          <w:lang w:eastAsia="zh-CN"/>
        </w:rPr>
        <w:t>授予合同期间</w:t>
      </w:r>
      <w:r>
        <w:rPr>
          <w:rFonts w:hint="eastAsia" w:ascii="宋体" w:hAnsi="宋体" w:eastAsia="宋体" w:cs="Times New Roman"/>
          <w:color w:val="auto"/>
          <w:kern w:val="0"/>
          <w:szCs w:val="21"/>
          <w:highlight w:val="none"/>
        </w:rPr>
        <w:t>，凡与审查、澄清、评价和比较报价的有关资料以及授标意见等，参与评标工作的有关人员均不得向投标人及与评标无关的其他人透露。</w:t>
      </w:r>
    </w:p>
    <w:p w14:paraId="5B7864BD">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（4）除投标人被要求对投标文件进行澄清外，从递交投标文件截止之时起至授予合同期间，投标人不得就与其投标文件有关的事项主动与评标委员会、招标代理机构以及招标人联系。</w:t>
      </w:r>
    </w:p>
    <w:p w14:paraId="36282951">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5）从开标之日起至授予合同期间，在投标文件的审查、澄清、比较和评价阶段，投标人试图对评标委员会和招标代理机构施加任何影响或对招标人的比较及授予合同的决定产生影响，都可能导致其投标文件被拒绝。</w:t>
      </w:r>
    </w:p>
    <w:p w14:paraId="53183EDE">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（6）投标人不得串通作弊，以不正当的手段妨碍、排挤其他投标人，扰乱采购市场，破坏公平竞争原则。</w:t>
      </w:r>
    </w:p>
    <w:p w14:paraId="21C93652">
      <w:pPr>
        <w:autoSpaceDE w:val="0"/>
        <w:autoSpaceDN w:val="0"/>
        <w:adjustRightInd w:val="0"/>
        <w:spacing w:line="360" w:lineRule="auto"/>
        <w:ind w:left="315" w:leftChars="-100" w:hanging="525" w:hangingChars="250"/>
        <w:rPr>
          <w:rFonts w:ascii="宋体" w:hAnsi="宋体" w:eastAsia="宋体" w:cs="宋体"/>
          <w:color w:val="auto"/>
          <w:szCs w:val="21"/>
          <w:highlight w:val="none"/>
        </w:rPr>
      </w:pPr>
    </w:p>
    <w:p w14:paraId="2A912C3B">
      <w:pPr>
        <w:keepNext/>
        <w:keepLine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64" w:name="_Toc9339"/>
      <w:bookmarkStart w:id="65" w:name="_Toc140596876"/>
      <w:bookmarkStart w:id="66" w:name="_Toc2394"/>
      <w:bookmarkStart w:id="67" w:name="_Toc486167667"/>
      <w:bookmarkStart w:id="68" w:name="_Toc30507_WPSOffice_Level2"/>
      <w:bookmarkStart w:id="69" w:name="_Toc142508317"/>
      <w:bookmarkStart w:id="70" w:name="_Toc450662853"/>
      <w:bookmarkStart w:id="71" w:name="_Toc1482"/>
      <w:r>
        <w:rPr>
          <w:rFonts w:hint="eastAsia" w:ascii="宋体" w:hAnsi="宋体" w:eastAsia="宋体" w:cs="宋体"/>
          <w:b/>
          <w:bCs/>
          <w:color w:val="auto"/>
          <w:kern w:val="44"/>
          <w:szCs w:val="21"/>
          <w:highlight w:val="none"/>
          <w:lang w:val="zh-CN"/>
        </w:rPr>
        <w:t>二、招标文件</w:t>
      </w:r>
      <w:bookmarkEnd w:id="64"/>
      <w:bookmarkEnd w:id="65"/>
      <w:bookmarkEnd w:id="66"/>
      <w:bookmarkEnd w:id="67"/>
      <w:bookmarkEnd w:id="68"/>
      <w:bookmarkEnd w:id="69"/>
      <w:bookmarkEnd w:id="70"/>
      <w:bookmarkEnd w:id="71"/>
    </w:p>
    <w:p w14:paraId="2CE48E48">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72" w:name="_Toc486167668"/>
      <w:bookmarkStart w:id="73" w:name="_Toc28179"/>
      <w:bookmarkStart w:id="74" w:name="_Toc142508318"/>
      <w:bookmarkStart w:id="75" w:name="_Toc26635_WPSOffice_Level3"/>
      <w:bookmarkStart w:id="76" w:name="_Toc5028"/>
      <w:bookmarkStart w:id="77" w:name="_Toc31963"/>
      <w:bookmarkStart w:id="78" w:name="_Toc450662854"/>
      <w:r>
        <w:rPr>
          <w:rFonts w:hint="eastAsia" w:ascii="宋体" w:hAnsi="宋体" w:eastAsia="宋体" w:cs="宋体"/>
          <w:color w:val="auto"/>
          <w:szCs w:val="21"/>
          <w:highlight w:val="none"/>
          <w:lang w:val="zh-CN"/>
        </w:rPr>
        <w:t>5</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招标文件的构成</w:t>
      </w:r>
      <w:bookmarkEnd w:id="72"/>
      <w:bookmarkEnd w:id="73"/>
      <w:bookmarkEnd w:id="74"/>
      <w:bookmarkEnd w:id="75"/>
      <w:bookmarkEnd w:id="76"/>
      <w:bookmarkEnd w:id="77"/>
      <w:bookmarkEnd w:id="78"/>
    </w:p>
    <w:p w14:paraId="30FFC10A">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招标文件包括：</w:t>
      </w:r>
    </w:p>
    <w:p w14:paraId="27A258C0">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第一篇 招标公告</w:t>
      </w:r>
    </w:p>
    <w:p w14:paraId="065C3AFD">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第二篇 投标人须知</w:t>
      </w:r>
    </w:p>
    <w:p w14:paraId="6113AA61">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第三篇 用户需求书</w:t>
      </w:r>
    </w:p>
    <w:p w14:paraId="6FB6074F">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第四篇 合同条款</w:t>
      </w:r>
    </w:p>
    <w:p w14:paraId="2FAFA3ED">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第五篇 相关保函格式</w:t>
      </w:r>
    </w:p>
    <w:p w14:paraId="3B505E9C">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第六篇 投标文件格式</w:t>
      </w:r>
    </w:p>
    <w:p w14:paraId="181AA5E3">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宋体"/>
          <w:color w:val="auto"/>
          <w:szCs w:val="21"/>
          <w:highlight w:val="none"/>
          <w:lang w:val="zh-CN"/>
        </w:rPr>
        <w:t>附件一：评标工作大纲</w:t>
      </w:r>
    </w:p>
    <w:p w14:paraId="1B5DA498">
      <w:pPr>
        <w:autoSpaceDE w:val="0"/>
        <w:autoSpaceDN w:val="0"/>
        <w:adjustRightInd w:val="0"/>
        <w:spacing w:line="360" w:lineRule="auto"/>
        <w:ind w:left="356" w:leftChars="-99" w:hanging="564" w:hangingChars="269"/>
        <w:rPr>
          <w:rFonts w:hint="eastAsia" w:ascii="宋体" w:hAnsi="宋体" w:eastAsia="宋体" w:cs="宋体"/>
          <w:b/>
          <w:bCs/>
          <w:color w:val="auto"/>
          <w:szCs w:val="21"/>
          <w:highlight w:val="none"/>
          <w:lang w:val="zh-CN"/>
        </w:rPr>
      </w:pPr>
      <w:r>
        <w:rPr>
          <w:rFonts w:hint="eastAsia" w:ascii="宋体" w:hAnsi="宋体" w:eastAsia="宋体" w:cs="宋体"/>
          <w:bCs/>
          <w:color w:val="auto"/>
          <w:szCs w:val="21"/>
          <w:highlight w:val="none"/>
          <w:lang w:val="zh-CN"/>
        </w:rPr>
        <w:t>5.2</w:t>
      </w:r>
      <w:r>
        <w:rPr>
          <w:rFonts w:hint="eastAsia" w:ascii="宋体" w:hAnsi="宋体" w:eastAsia="宋体" w:cs="宋体"/>
          <w:b/>
          <w:bCs/>
          <w:color w:val="auto"/>
          <w:szCs w:val="21"/>
          <w:highlight w:val="none"/>
          <w:lang w:val="zh-CN"/>
        </w:rPr>
        <w:tab/>
      </w:r>
      <w:r>
        <w:rPr>
          <w:rFonts w:hint="eastAsia" w:ascii="宋体" w:hAnsi="宋体" w:eastAsia="宋体" w:cs="宋体"/>
          <w:b/>
          <w:bCs/>
          <w:color w:val="auto"/>
          <w:szCs w:val="21"/>
          <w:highlight w:val="none"/>
          <w:u w:val="single"/>
          <w:lang w:val="zh-CN"/>
        </w:rPr>
        <w:t>投标人</w:t>
      </w:r>
      <w:r>
        <w:rPr>
          <w:rFonts w:hint="eastAsia" w:ascii="宋体" w:hAnsi="宋体" w:eastAsia="宋体" w:cs="Times New Roman"/>
          <w:b/>
          <w:bCs/>
          <w:color w:val="auto"/>
          <w:szCs w:val="21"/>
          <w:highlight w:val="none"/>
          <w:u w:val="single"/>
          <w:lang w:val="zh-CN"/>
        </w:rPr>
        <w:t>应审阅招标文件中所有须知、格式、条款和规格。投标人未按招标文件要求提供全部资料或提交的投标文件未对招标文件作出实质性响应（</w:t>
      </w:r>
      <w:r>
        <w:rPr>
          <w:rFonts w:hint="eastAsia" w:ascii="宋体" w:hAnsi="宋体" w:eastAsia="宋体" w:cs="宋体"/>
          <w:b/>
          <w:bCs/>
          <w:color w:val="auto"/>
          <w:szCs w:val="21"/>
          <w:highlight w:val="none"/>
          <w:u w:val="single"/>
          <w:lang w:val="zh-CN"/>
        </w:rPr>
        <w:t>★</w:t>
      </w:r>
      <w:r>
        <w:rPr>
          <w:rFonts w:hint="eastAsia" w:ascii="宋体" w:hAnsi="宋体" w:eastAsia="宋体" w:cs="Times New Roman"/>
          <w:b/>
          <w:bCs/>
          <w:color w:val="auto"/>
          <w:szCs w:val="21"/>
          <w:highlight w:val="none"/>
          <w:u w:val="single"/>
          <w:lang w:val="zh-CN"/>
        </w:rPr>
        <w:t>标志的部分为投标人、投标拟供货物必备的条件或重要指示），那么投标人的投标文件将有可能被拒绝接收或评审为无效投标文件</w:t>
      </w:r>
      <w:r>
        <w:rPr>
          <w:rFonts w:hint="eastAsia" w:ascii="宋体" w:hAnsi="宋体" w:eastAsia="宋体" w:cs="宋体"/>
          <w:b/>
          <w:bCs/>
          <w:color w:val="auto"/>
          <w:szCs w:val="21"/>
          <w:highlight w:val="none"/>
          <w:lang w:val="zh-CN"/>
        </w:rPr>
        <w:t>。</w:t>
      </w:r>
    </w:p>
    <w:p w14:paraId="09548662">
      <w:pPr>
        <w:autoSpaceDE w:val="0"/>
        <w:autoSpaceDN w:val="0"/>
        <w:adjustRightInd w:val="0"/>
        <w:spacing w:line="360" w:lineRule="auto"/>
        <w:ind w:left="356" w:leftChars="-99" w:hanging="564" w:hangingChars="269"/>
        <w:rPr>
          <w:rFonts w:ascii="宋体" w:hAnsi="宋体" w:eastAsia="宋体" w:cs="宋体"/>
          <w:b/>
          <w:bCs/>
          <w:color w:val="auto"/>
          <w:szCs w:val="21"/>
          <w:highlight w:val="none"/>
          <w:u w:val="single"/>
        </w:rPr>
      </w:pPr>
      <w:r>
        <w:rPr>
          <w:rFonts w:hint="eastAsia" w:ascii="宋体" w:hAnsi="宋体" w:eastAsia="宋体" w:cs="宋体"/>
          <w:color w:val="auto"/>
          <w:szCs w:val="21"/>
          <w:highlight w:val="none"/>
          <w:lang w:val="zh-CN"/>
        </w:rPr>
        <w:t>5.3  本招标文件使用的词语有如下定义：</w:t>
      </w:r>
    </w:p>
    <w:p w14:paraId="57F92483">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（1）“招标人”指</w:t>
      </w:r>
      <w:r>
        <w:rPr>
          <w:rFonts w:hint="eastAsia" w:ascii="宋体" w:hAnsi="宋体" w:eastAsia="宋体" w:cs="Times New Roman"/>
          <w:color w:val="auto"/>
          <w:kern w:val="0"/>
          <w:szCs w:val="21"/>
          <w:highlight w:val="none"/>
          <w:lang w:eastAsia="zh-CN"/>
        </w:rPr>
        <w:t>东莞市水务环境投资控股集团管网有限公司</w:t>
      </w:r>
      <w:r>
        <w:rPr>
          <w:rFonts w:hint="eastAsia" w:ascii="宋体" w:hAnsi="宋体" w:eastAsia="宋体" w:cs="Times New Roman"/>
          <w:color w:val="auto"/>
          <w:kern w:val="0"/>
          <w:szCs w:val="21"/>
          <w:highlight w:val="none"/>
        </w:rPr>
        <w:t>；</w:t>
      </w:r>
    </w:p>
    <w:p w14:paraId="5E4DC2C5">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2</w:t>
      </w:r>
      <w:r>
        <w:rPr>
          <w:rFonts w:hint="eastAsia" w:ascii="宋体" w:hAnsi="宋体" w:eastAsia="宋体" w:cs="Times New Roman"/>
          <w:color w:val="auto"/>
          <w:kern w:val="0"/>
          <w:szCs w:val="21"/>
          <w:highlight w:val="none"/>
        </w:rPr>
        <w:t>）“招标代理机构”指</w:t>
      </w:r>
      <w:r>
        <w:rPr>
          <w:rFonts w:hint="eastAsia" w:ascii="宋体" w:hAnsi="宋体" w:eastAsia="宋体" w:cs="宋体"/>
          <w:color w:val="auto"/>
          <w:kern w:val="0"/>
          <w:szCs w:val="21"/>
          <w:highlight w:val="none"/>
          <w:lang w:val="en-US" w:eastAsia="zh-CN"/>
        </w:rPr>
        <w:t>中招国际招标有限公司</w:t>
      </w:r>
      <w:r>
        <w:rPr>
          <w:rFonts w:hint="eastAsia" w:ascii="宋体" w:hAnsi="宋体" w:eastAsia="宋体" w:cs="Times New Roman"/>
          <w:color w:val="auto"/>
          <w:kern w:val="0"/>
          <w:szCs w:val="21"/>
          <w:highlight w:val="none"/>
        </w:rPr>
        <w:t>；</w:t>
      </w:r>
    </w:p>
    <w:p w14:paraId="5E341D89">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3</w:t>
      </w:r>
      <w:r>
        <w:rPr>
          <w:rFonts w:hint="eastAsia" w:ascii="宋体" w:hAnsi="宋体" w:eastAsia="宋体" w:cs="Times New Roman"/>
          <w:color w:val="auto"/>
          <w:kern w:val="0"/>
          <w:szCs w:val="21"/>
          <w:highlight w:val="none"/>
        </w:rPr>
        <w:t>）“投标人”指</w:t>
      </w:r>
      <w:r>
        <w:rPr>
          <w:rFonts w:hint="eastAsia" w:ascii="宋体" w:hAnsi="宋体" w:eastAsia="宋体" w:cs="Times New Roman"/>
          <w:color w:val="auto"/>
          <w:kern w:val="0"/>
          <w:szCs w:val="21"/>
          <w:highlight w:val="none"/>
          <w:lang w:eastAsia="zh-CN"/>
        </w:rPr>
        <w:t>参加东莞市水务环境投资控股集团管网有限公司2026年防撞缓冲车采购项目（第四次招标）</w:t>
      </w:r>
      <w:r>
        <w:rPr>
          <w:rFonts w:hint="eastAsia" w:ascii="宋体" w:hAnsi="宋体" w:eastAsia="宋体" w:cs="Times New Roman"/>
          <w:color w:val="auto"/>
          <w:kern w:val="0"/>
          <w:szCs w:val="21"/>
          <w:highlight w:val="none"/>
        </w:rPr>
        <w:t>所需的货物及有关服务的投标，并向招标代理机构提交投标文件的当事人；</w:t>
      </w:r>
    </w:p>
    <w:p w14:paraId="01D00245">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4</w:t>
      </w:r>
      <w:r>
        <w:rPr>
          <w:rFonts w:hint="eastAsia" w:ascii="宋体" w:hAnsi="宋体" w:eastAsia="宋体" w:cs="Times New Roman"/>
          <w:color w:val="auto"/>
          <w:kern w:val="0"/>
          <w:szCs w:val="21"/>
          <w:highlight w:val="none"/>
        </w:rPr>
        <w:t>）“评标委员会”是依照《中华人民共和国招标投标法》等法规组建的专门负责本次评标工作的临时性机构；</w:t>
      </w:r>
    </w:p>
    <w:p w14:paraId="4E2D3792">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5</w:t>
      </w:r>
      <w:r>
        <w:rPr>
          <w:rFonts w:hint="eastAsia" w:ascii="宋体" w:hAnsi="宋体" w:eastAsia="宋体" w:cs="Times New Roman"/>
          <w:color w:val="auto"/>
          <w:kern w:val="0"/>
          <w:szCs w:val="21"/>
          <w:highlight w:val="none"/>
        </w:rPr>
        <w:t>）“中标人”指其投标被招标人接受，并与招标人签订合同的当事人；</w:t>
      </w:r>
    </w:p>
    <w:p w14:paraId="4FB9AC51">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6</w:t>
      </w:r>
      <w:r>
        <w:rPr>
          <w:rFonts w:hint="eastAsia" w:ascii="宋体" w:hAnsi="宋体" w:eastAsia="宋体" w:cs="Times New Roman"/>
          <w:color w:val="auto"/>
          <w:kern w:val="0"/>
          <w:szCs w:val="21"/>
          <w:highlight w:val="none"/>
        </w:rPr>
        <w:t>）“甲方”指在合同条款中指明的购买货物及有关服务的单位，即</w:t>
      </w:r>
      <w:r>
        <w:rPr>
          <w:rFonts w:hint="eastAsia" w:ascii="宋体" w:hAnsi="宋体" w:eastAsia="宋体" w:cs="Times New Roman"/>
          <w:color w:val="auto"/>
          <w:kern w:val="0"/>
          <w:szCs w:val="21"/>
          <w:highlight w:val="none"/>
          <w:lang w:eastAsia="zh-CN"/>
        </w:rPr>
        <w:t>东莞市水务环境投资控股集团管网有限公司</w:t>
      </w:r>
      <w:r>
        <w:rPr>
          <w:rFonts w:hint="eastAsia" w:ascii="宋体" w:hAnsi="宋体" w:eastAsia="宋体" w:cs="Times New Roman"/>
          <w:color w:val="auto"/>
          <w:kern w:val="0"/>
          <w:szCs w:val="21"/>
          <w:highlight w:val="none"/>
        </w:rPr>
        <w:t>；</w:t>
      </w:r>
    </w:p>
    <w:p w14:paraId="6533C8F6">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7</w:t>
      </w:r>
      <w:r>
        <w:rPr>
          <w:rFonts w:hint="eastAsia" w:ascii="宋体" w:hAnsi="宋体" w:eastAsia="宋体" w:cs="Times New Roman"/>
          <w:color w:val="auto"/>
          <w:kern w:val="0"/>
          <w:szCs w:val="21"/>
          <w:highlight w:val="none"/>
        </w:rPr>
        <w:t>）“乙方”指在合同条款中指明的本合同项下提供货物及有关服务的公司或实体；</w:t>
      </w:r>
    </w:p>
    <w:p w14:paraId="2DB6310A">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8</w:t>
      </w:r>
      <w:r>
        <w:rPr>
          <w:rFonts w:hint="eastAsia" w:ascii="宋体" w:hAnsi="宋体" w:eastAsia="宋体" w:cs="Times New Roman"/>
          <w:color w:val="auto"/>
          <w:kern w:val="0"/>
          <w:szCs w:val="21"/>
          <w:highlight w:val="none"/>
        </w:rPr>
        <w:t>）“招标文件”指由招标代理机构发出的本招标文件，包括全部章节和附件；</w:t>
      </w:r>
    </w:p>
    <w:p w14:paraId="725B3198">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9</w:t>
      </w:r>
      <w:r>
        <w:rPr>
          <w:rFonts w:hint="eastAsia" w:ascii="宋体" w:hAnsi="宋体" w:eastAsia="宋体" w:cs="Times New Roman"/>
          <w:color w:val="auto"/>
          <w:kern w:val="0"/>
          <w:szCs w:val="21"/>
          <w:highlight w:val="none"/>
        </w:rPr>
        <w:t>）“投标文件”指投标人根据本招标文件向招标代理机构提交的全部文件；</w:t>
      </w:r>
    </w:p>
    <w:p w14:paraId="2D90B3A6">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10</w:t>
      </w:r>
      <w:r>
        <w:rPr>
          <w:rFonts w:hint="eastAsia" w:ascii="宋体" w:hAnsi="宋体" w:eastAsia="宋体" w:cs="Times New Roman"/>
          <w:color w:val="auto"/>
          <w:kern w:val="0"/>
          <w:szCs w:val="21"/>
          <w:highlight w:val="none"/>
        </w:rPr>
        <w:t>）“书面函件”指手写、打字或印刷的函件，包括电传、电报和传真；</w:t>
      </w:r>
    </w:p>
    <w:p w14:paraId="259FA142">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11</w:t>
      </w:r>
      <w:r>
        <w:rPr>
          <w:rFonts w:hint="eastAsia" w:ascii="宋体" w:hAnsi="宋体" w:eastAsia="宋体" w:cs="Times New Roman"/>
          <w:color w:val="auto"/>
          <w:kern w:val="0"/>
          <w:szCs w:val="21"/>
          <w:highlight w:val="none"/>
        </w:rPr>
        <w:t>）“合同”指由本次招标所产生的合同或合约文件；</w:t>
      </w:r>
    </w:p>
    <w:p w14:paraId="29F3BCDA">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12</w:t>
      </w:r>
      <w:r>
        <w:rPr>
          <w:rFonts w:hint="eastAsia" w:ascii="宋体" w:hAnsi="宋体" w:eastAsia="宋体" w:cs="Times New Roman"/>
          <w:color w:val="auto"/>
          <w:kern w:val="0"/>
          <w:szCs w:val="21"/>
          <w:highlight w:val="none"/>
        </w:rPr>
        <w:t>）“日期”指公历日，“时间”指北京时间；</w:t>
      </w:r>
    </w:p>
    <w:p w14:paraId="378FAA99">
      <w:pPr>
        <w:autoSpaceDE w:val="0"/>
        <w:autoSpaceDN w:val="0"/>
        <w:adjustRightInd w:val="0"/>
        <w:spacing w:line="360" w:lineRule="auto"/>
        <w:ind w:left="441" w:leftChars="-60" w:hanging="567" w:hangingChars="270"/>
        <w:jc w:val="left"/>
        <w:rPr>
          <w:rFonts w:hint="eastAsia" w:ascii="宋体" w:hAnsi="宋体" w:eastAsia="宋体" w:cs="Times New Roman"/>
          <w:color w:val="auto"/>
          <w:kern w:val="0"/>
          <w:szCs w:val="21"/>
          <w:highlight w:val="none"/>
          <w:lang w:eastAsia="zh-CN"/>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13</w:t>
      </w:r>
      <w:r>
        <w:rPr>
          <w:rFonts w:hint="eastAsia" w:ascii="宋体" w:hAnsi="宋体" w:eastAsia="宋体" w:cs="Times New Roman"/>
          <w:color w:val="auto"/>
          <w:kern w:val="0"/>
          <w:szCs w:val="21"/>
          <w:highlight w:val="none"/>
        </w:rPr>
        <w:t>）本招标文件中的“境内”特指中华人民共和国海关关境以内，“境外”特指中华人民共和国海关关境以外</w:t>
      </w:r>
      <w:r>
        <w:rPr>
          <w:rFonts w:hint="eastAsia" w:ascii="宋体" w:hAnsi="宋体" w:eastAsia="宋体" w:cs="Times New Roman"/>
          <w:color w:val="auto"/>
          <w:kern w:val="0"/>
          <w:szCs w:val="21"/>
          <w:highlight w:val="none"/>
          <w:lang w:eastAsia="zh-CN"/>
        </w:rPr>
        <w:t>。</w:t>
      </w:r>
    </w:p>
    <w:p w14:paraId="1B3AC16F">
      <w:pPr>
        <w:autoSpaceDE w:val="0"/>
        <w:autoSpaceDN w:val="0"/>
        <w:adjustRightInd w:val="0"/>
        <w:spacing w:line="360" w:lineRule="auto"/>
        <w:ind w:left="951" w:leftChars="78" w:hanging="787" w:hangingChars="375"/>
        <w:rPr>
          <w:rFonts w:ascii="宋体" w:hAnsi="宋体" w:eastAsia="宋体" w:cs="宋体"/>
          <w:color w:val="auto"/>
          <w:szCs w:val="21"/>
          <w:highlight w:val="none"/>
          <w:lang w:val="zh-CN"/>
        </w:rPr>
      </w:pPr>
    </w:p>
    <w:p w14:paraId="18B2E514">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79" w:name="_Toc2435"/>
      <w:bookmarkStart w:id="80" w:name="_Toc18407"/>
      <w:bookmarkStart w:id="81" w:name="_Toc486167669"/>
      <w:bookmarkStart w:id="82" w:name="_Toc450662855"/>
      <w:bookmarkStart w:id="83" w:name="_Toc5306"/>
      <w:bookmarkStart w:id="84" w:name="_Toc142508319"/>
      <w:bookmarkStart w:id="85" w:name="_Toc29125_WPSOffice_Level3"/>
      <w:r>
        <w:rPr>
          <w:rFonts w:hint="eastAsia" w:ascii="宋体" w:hAnsi="宋体" w:eastAsia="宋体" w:cs="宋体"/>
          <w:color w:val="auto"/>
          <w:szCs w:val="21"/>
          <w:highlight w:val="none"/>
          <w:lang w:val="zh-CN"/>
        </w:rPr>
        <w:t>6</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招标文件的异议</w:t>
      </w:r>
      <w:bookmarkEnd w:id="79"/>
      <w:bookmarkEnd w:id="80"/>
      <w:bookmarkEnd w:id="81"/>
      <w:bookmarkEnd w:id="82"/>
      <w:bookmarkEnd w:id="83"/>
      <w:bookmarkEnd w:id="84"/>
      <w:bookmarkEnd w:id="85"/>
    </w:p>
    <w:p w14:paraId="6D21500C">
      <w:pPr>
        <w:autoSpaceDE w:val="0"/>
        <w:autoSpaceDN w:val="0"/>
        <w:adjustRightInd w:val="0"/>
        <w:spacing w:line="360" w:lineRule="auto"/>
        <w:ind w:left="288" w:leftChars="137" w:firstLine="420" w:firstLineChars="200"/>
        <w:rPr>
          <w:rFonts w:ascii="宋体" w:hAnsi="宋体" w:eastAsia="宋体" w:cs="宋体"/>
          <w:bCs/>
          <w:color w:val="auto"/>
          <w:szCs w:val="21"/>
          <w:highlight w:val="none"/>
          <w:lang w:val="zh-CN"/>
        </w:rPr>
      </w:pPr>
      <w:r>
        <w:rPr>
          <w:rFonts w:hint="eastAsia" w:ascii="宋体" w:hAnsi="宋体" w:eastAsia="宋体" w:cs="Times New Roman"/>
          <w:bCs/>
          <w:color w:val="auto"/>
          <w:szCs w:val="21"/>
          <w:highlight w:val="none"/>
          <w:lang w:val="zh-CN"/>
        </w:rPr>
        <w:t>投标人或者其他利害关系人对招标文件有异议的，应当在投标截止时间10日前</w:t>
      </w:r>
      <w:r>
        <w:rPr>
          <w:rFonts w:ascii="宋体" w:hAnsi="宋体" w:eastAsia="宋体" w:cs="Times New Roman"/>
          <w:color w:val="auto"/>
          <w:szCs w:val="21"/>
          <w:highlight w:val="none"/>
          <w:lang w:val="zh-CN"/>
        </w:rPr>
        <w:t>以书面形式向</w:t>
      </w:r>
      <w:r>
        <w:rPr>
          <w:rFonts w:hint="eastAsia" w:ascii="宋体" w:hAnsi="宋体" w:eastAsia="宋体" w:cs="Times New Roman"/>
          <w:color w:val="auto"/>
          <w:szCs w:val="21"/>
          <w:highlight w:val="none"/>
          <w:lang w:val="zh-CN"/>
        </w:rPr>
        <w:t>招标代理机构</w:t>
      </w:r>
      <w:r>
        <w:rPr>
          <w:rFonts w:ascii="宋体" w:hAnsi="宋体" w:eastAsia="宋体" w:cs="Times New Roman"/>
          <w:color w:val="auto"/>
          <w:szCs w:val="21"/>
          <w:highlight w:val="none"/>
          <w:lang w:val="zh-CN"/>
        </w:rPr>
        <w:t>提出</w:t>
      </w: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lang w:val="zh-CN"/>
        </w:rPr>
        <w:t>并</w:t>
      </w:r>
      <w:r>
        <w:rPr>
          <w:rFonts w:hint="eastAsia" w:ascii="宋体" w:hAnsi="宋体" w:eastAsia="宋体" w:cs="Times New Roman"/>
          <w:color w:val="auto"/>
          <w:szCs w:val="21"/>
          <w:highlight w:val="none"/>
          <w:lang w:val="zh-CN"/>
        </w:rPr>
        <w:t>将材料原件</w:t>
      </w:r>
      <w:r>
        <w:rPr>
          <w:rFonts w:ascii="宋体" w:hAnsi="宋体" w:eastAsia="宋体" w:cs="Times New Roman"/>
          <w:color w:val="auto"/>
          <w:szCs w:val="21"/>
          <w:highlight w:val="none"/>
          <w:lang w:val="zh-CN"/>
        </w:rPr>
        <w:t>送</w:t>
      </w:r>
      <w:r>
        <w:rPr>
          <w:rFonts w:hint="eastAsia" w:ascii="宋体" w:hAnsi="宋体" w:eastAsia="宋体" w:cs="Times New Roman"/>
          <w:color w:val="auto"/>
          <w:szCs w:val="21"/>
          <w:highlight w:val="none"/>
          <w:lang w:val="zh-CN"/>
        </w:rPr>
        <w:t>达招标代理机构</w:t>
      </w:r>
      <w:r>
        <w:rPr>
          <w:rFonts w:ascii="宋体" w:hAnsi="宋体" w:eastAsia="宋体" w:cs="Times New Roman"/>
          <w:color w:val="auto"/>
          <w:szCs w:val="21"/>
          <w:highlight w:val="none"/>
          <w:lang w:val="zh-CN"/>
        </w:rPr>
        <w:t>，逾期则视为</w:t>
      </w:r>
      <w:r>
        <w:rPr>
          <w:rFonts w:hint="eastAsia" w:ascii="宋体" w:hAnsi="宋体" w:eastAsia="宋体" w:cs="Times New Roman"/>
          <w:color w:val="auto"/>
          <w:szCs w:val="21"/>
          <w:highlight w:val="none"/>
          <w:lang w:val="zh-CN"/>
        </w:rPr>
        <w:t>对</w:t>
      </w:r>
      <w:r>
        <w:rPr>
          <w:rFonts w:ascii="宋体" w:hAnsi="宋体" w:eastAsia="宋体" w:cs="Times New Roman"/>
          <w:color w:val="auto"/>
          <w:szCs w:val="21"/>
          <w:highlight w:val="none"/>
          <w:lang w:val="zh-CN"/>
        </w:rPr>
        <w:t>招标文件所有内容</w:t>
      </w:r>
      <w:r>
        <w:rPr>
          <w:rFonts w:hint="eastAsia" w:ascii="宋体" w:hAnsi="宋体" w:eastAsia="宋体" w:cs="Times New Roman"/>
          <w:color w:val="auto"/>
          <w:szCs w:val="21"/>
          <w:highlight w:val="none"/>
          <w:lang w:val="zh-CN"/>
        </w:rPr>
        <w:t>无异议</w:t>
      </w:r>
      <w:r>
        <w:rPr>
          <w:rFonts w:ascii="宋体" w:hAnsi="宋体" w:eastAsia="宋体" w:cs="Times New Roman"/>
          <w:color w:val="auto"/>
          <w:szCs w:val="21"/>
          <w:highlight w:val="none"/>
          <w:lang w:val="zh-CN"/>
        </w:rPr>
        <w:t>。</w:t>
      </w:r>
      <w:r>
        <w:rPr>
          <w:rFonts w:hint="eastAsia" w:ascii="宋体" w:hAnsi="宋体" w:eastAsia="宋体" w:cs="Times New Roman"/>
          <w:bCs/>
          <w:color w:val="auto"/>
          <w:szCs w:val="21"/>
          <w:highlight w:val="none"/>
          <w:lang w:val="zh-CN"/>
        </w:rPr>
        <w:t>异议</w:t>
      </w:r>
      <w:r>
        <w:rPr>
          <w:rFonts w:hint="eastAsia" w:ascii="宋体" w:hAnsi="宋体" w:eastAsia="宋体" w:cs="Times New Roman"/>
          <w:color w:val="auto"/>
          <w:szCs w:val="21"/>
          <w:highlight w:val="none"/>
          <w:lang w:val="zh-CN"/>
        </w:rPr>
        <w:t>书面材料必须</w:t>
      </w:r>
      <w:r>
        <w:rPr>
          <w:rFonts w:ascii="宋体" w:hAnsi="宋体" w:eastAsia="宋体" w:cs="Times New Roman"/>
          <w:color w:val="auto"/>
          <w:szCs w:val="21"/>
          <w:highlight w:val="none"/>
          <w:lang w:val="zh-CN"/>
        </w:rPr>
        <w:t>加盖投标人</w:t>
      </w:r>
      <w:r>
        <w:rPr>
          <w:rFonts w:hint="eastAsia" w:ascii="宋体" w:hAnsi="宋体" w:eastAsia="宋体" w:cs="Times New Roman"/>
          <w:color w:val="auto"/>
          <w:szCs w:val="21"/>
          <w:highlight w:val="none"/>
          <w:lang w:val="zh-CN"/>
        </w:rPr>
        <w:t>法人</w:t>
      </w:r>
      <w:r>
        <w:rPr>
          <w:rFonts w:ascii="宋体" w:hAnsi="宋体" w:eastAsia="宋体" w:cs="Times New Roman"/>
          <w:color w:val="auto"/>
          <w:szCs w:val="21"/>
          <w:highlight w:val="none"/>
          <w:lang w:val="zh-CN"/>
        </w:rPr>
        <w:t>公章</w:t>
      </w:r>
      <w:r>
        <w:rPr>
          <w:rFonts w:hint="eastAsia" w:ascii="宋体" w:hAnsi="宋体" w:eastAsia="宋体" w:cs="Times New Roman"/>
          <w:color w:val="auto"/>
          <w:szCs w:val="21"/>
          <w:highlight w:val="none"/>
          <w:lang w:val="zh-CN"/>
        </w:rPr>
        <w:t>，并注明联系人、联系电话、联系地址。</w:t>
      </w:r>
      <w:r>
        <w:rPr>
          <w:rFonts w:hint="eastAsia" w:ascii="宋体" w:hAnsi="宋体" w:eastAsia="宋体" w:cs="Times New Roman"/>
          <w:bCs/>
          <w:color w:val="auto"/>
          <w:szCs w:val="21"/>
          <w:highlight w:val="none"/>
          <w:lang w:val="zh-CN"/>
        </w:rPr>
        <w:t>超出</w:t>
      </w:r>
      <w:r>
        <w:rPr>
          <w:rFonts w:hint="eastAsia" w:ascii="宋体" w:hAnsi="宋体" w:eastAsia="宋体" w:cs="Times New Roman"/>
          <w:color w:val="auto"/>
          <w:szCs w:val="21"/>
          <w:highlight w:val="none"/>
          <w:lang w:val="zh-CN"/>
        </w:rPr>
        <w:t>提交接收异议截止时间而</w:t>
      </w:r>
      <w:r>
        <w:rPr>
          <w:rFonts w:hint="eastAsia" w:ascii="宋体" w:hAnsi="宋体" w:eastAsia="宋体" w:cs="Times New Roman"/>
          <w:bCs/>
          <w:color w:val="auto"/>
          <w:szCs w:val="21"/>
          <w:highlight w:val="none"/>
          <w:lang w:val="zh-CN"/>
        </w:rPr>
        <w:t>提出的任何疑问，招标代理机构可不予答复。</w:t>
      </w:r>
      <w:r>
        <w:rPr>
          <w:rFonts w:hint="eastAsia" w:ascii="宋体" w:hAnsi="宋体" w:eastAsia="宋体" w:cs="Times New Roman"/>
          <w:b/>
          <w:bCs/>
          <w:color w:val="auto"/>
          <w:szCs w:val="21"/>
          <w:highlight w:val="none"/>
          <w:u w:val="single"/>
          <w:lang w:val="zh-CN"/>
        </w:rPr>
        <w:t>投标人必须在投标文件中提供投标承诺书（格式详见第六篇投标文件格式）</w:t>
      </w:r>
      <w:r>
        <w:rPr>
          <w:rFonts w:hint="eastAsia" w:ascii="宋体" w:hAnsi="宋体" w:eastAsia="宋体" w:cs="宋体"/>
          <w:b/>
          <w:bCs/>
          <w:color w:val="auto"/>
          <w:szCs w:val="21"/>
          <w:highlight w:val="none"/>
          <w:lang w:val="zh-CN"/>
        </w:rPr>
        <w:t>。</w:t>
      </w:r>
    </w:p>
    <w:p w14:paraId="30E264E7">
      <w:pPr>
        <w:autoSpaceDE w:val="0"/>
        <w:autoSpaceDN w:val="0"/>
        <w:adjustRightInd w:val="0"/>
        <w:spacing w:line="360" w:lineRule="auto"/>
        <w:ind w:left="290" w:leftChars="137" w:hanging="2" w:hangingChars="1"/>
        <w:rPr>
          <w:rFonts w:ascii="宋体" w:hAnsi="宋体" w:eastAsia="宋体" w:cs="宋体"/>
          <w:b/>
          <w:bCs/>
          <w:color w:val="auto"/>
          <w:szCs w:val="21"/>
          <w:highlight w:val="none"/>
          <w:lang w:val="zh-CN"/>
        </w:rPr>
      </w:pPr>
    </w:p>
    <w:p w14:paraId="26EE5561">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86" w:name="_Toc142508320"/>
      <w:bookmarkStart w:id="87" w:name="_Toc19618"/>
      <w:bookmarkStart w:id="88" w:name="_Toc26320"/>
      <w:bookmarkStart w:id="89" w:name="_Toc23483_WPSOffice_Level3"/>
      <w:bookmarkStart w:id="90" w:name="_Toc450662856"/>
      <w:bookmarkStart w:id="91" w:name="_Toc486167670"/>
      <w:bookmarkStart w:id="92" w:name="_Toc23818"/>
      <w:r>
        <w:rPr>
          <w:rFonts w:hint="eastAsia" w:ascii="宋体" w:hAnsi="宋体" w:eastAsia="宋体" w:cs="宋体"/>
          <w:color w:val="auto"/>
          <w:szCs w:val="21"/>
          <w:highlight w:val="none"/>
          <w:lang w:val="zh-CN"/>
        </w:rPr>
        <w:t>7</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招标文件的澄清及修改</w:t>
      </w:r>
      <w:bookmarkEnd w:id="86"/>
      <w:bookmarkEnd w:id="87"/>
      <w:bookmarkEnd w:id="88"/>
      <w:bookmarkEnd w:id="89"/>
      <w:bookmarkEnd w:id="90"/>
      <w:bookmarkEnd w:id="91"/>
      <w:bookmarkEnd w:id="92"/>
    </w:p>
    <w:p w14:paraId="0D0D26C9">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7.1  招标代理机构对已发出的招标文件进行必要澄清或者修改的，将在招标文件要求提交投标文件截止时间1</w:t>
      </w:r>
      <w:r>
        <w:rPr>
          <w:rFonts w:ascii="宋体" w:hAnsi="宋体" w:eastAsia="宋体" w:cs="宋体"/>
          <w:color w:val="auto"/>
          <w:szCs w:val="21"/>
          <w:highlight w:val="none"/>
          <w:lang w:val="zh-CN"/>
        </w:rPr>
        <w:t>5</w:t>
      </w:r>
      <w:r>
        <w:rPr>
          <w:rFonts w:hint="eastAsia" w:ascii="宋体" w:hAnsi="宋体" w:eastAsia="宋体" w:cs="宋体"/>
          <w:color w:val="auto"/>
          <w:szCs w:val="21"/>
          <w:highlight w:val="none"/>
          <w:lang w:val="zh-CN"/>
        </w:rPr>
        <w:t>日前，在招标信息发布媒介上发布更正公告，请各投标人密切留意。该澄清或者修改的内容为招标文件的组成部分。</w:t>
      </w:r>
    </w:p>
    <w:p w14:paraId="36D1A6AB">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7.2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项目特定情况下，招标代理机构必须延长投标截止时间和开标时间时，将在招标文件要求提交投标文件的截止时间前，在招标信息发布媒介上发布变更公告。</w:t>
      </w:r>
    </w:p>
    <w:p w14:paraId="3E544413">
      <w:pPr>
        <w:wordWrap w:val="0"/>
        <w:autoSpaceDE w:val="0"/>
        <w:autoSpaceDN w:val="0"/>
        <w:adjustRightInd w:val="0"/>
        <w:spacing w:line="360" w:lineRule="auto"/>
        <w:ind w:left="357" w:leftChars="-100" w:hanging="567"/>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7.3  招标文件的修改、补充通知在</w:t>
      </w:r>
      <w:r>
        <w:rPr>
          <w:rFonts w:hint="eastAsia" w:ascii="宋体" w:hAnsi="宋体" w:eastAsia="宋体" w:cs="Times New Roman"/>
          <w:bCs/>
          <w:color w:val="auto"/>
          <w:szCs w:val="21"/>
          <w:highlight w:val="none"/>
        </w:rPr>
        <w:t>全国公共资源交易平台（广东省·东莞市）（ygp.gdzwfw.gov.cn/#/441900/index）</w:t>
      </w:r>
      <w:r>
        <w:rPr>
          <w:rFonts w:hint="eastAsia" w:ascii="宋体" w:hAnsi="宋体" w:eastAsia="宋体" w:cs="Times New Roman"/>
          <w:bCs/>
          <w:color w:val="auto"/>
          <w:szCs w:val="21"/>
          <w:highlight w:val="none"/>
          <w:lang w:eastAsia="zh-CN"/>
        </w:rPr>
        <w:t>、</w:t>
      </w:r>
      <w:r>
        <w:rPr>
          <w:rFonts w:ascii="宋体" w:hAnsi="宋体" w:eastAsia="宋体" w:cs="Times New Roman"/>
          <w:color w:val="auto"/>
          <w:szCs w:val="21"/>
          <w:highlight w:val="none"/>
          <w:lang w:val="zh-CN"/>
        </w:rPr>
        <w:t>中国招标投标公共服务平台</w:t>
      </w:r>
      <w:r>
        <w:rPr>
          <w:rFonts w:ascii="宋体" w:hAnsi="宋体" w:eastAsia="宋体" w:cs="Times New Roman"/>
          <w:color w:val="auto"/>
          <w:szCs w:val="21"/>
          <w:highlight w:val="none"/>
        </w:rPr>
        <w:t>（</w:t>
      </w:r>
      <w:r>
        <w:rPr>
          <w:color w:val="auto"/>
          <w:highlight w:val="none"/>
        </w:rPr>
        <w:fldChar w:fldCharType="begin"/>
      </w:r>
      <w:r>
        <w:rPr>
          <w:color w:val="auto"/>
          <w:highlight w:val="none"/>
        </w:rPr>
        <w:instrText xml:space="preserve"> HYPERLINK "http://www.cebpubservice.com）、广东省招标投标监管" </w:instrText>
      </w:r>
      <w:r>
        <w:rPr>
          <w:color w:val="auto"/>
          <w:highlight w:val="none"/>
        </w:rPr>
        <w:fldChar w:fldCharType="separate"/>
      </w:r>
      <w:r>
        <w:rPr>
          <w:rFonts w:ascii="宋体" w:hAnsi="宋体" w:eastAsia="宋体" w:cs="Times New Roman"/>
          <w:color w:val="auto"/>
          <w:szCs w:val="21"/>
          <w:highlight w:val="none"/>
        </w:rPr>
        <w:t>www.cebpubservice.com）</w:t>
      </w:r>
      <w:r>
        <w:rPr>
          <w:rFonts w:ascii="宋体" w:hAnsi="宋体" w:eastAsia="宋体" w:cs="Times New Roman"/>
          <w:color w:val="auto"/>
          <w:szCs w:val="21"/>
          <w:highlight w:val="none"/>
          <w:lang w:val="zh-CN"/>
        </w:rPr>
        <w:t>、</w:t>
      </w:r>
      <w:r>
        <w:rPr>
          <w:rFonts w:ascii="宋体" w:hAnsi="宋体" w:eastAsia="宋体" w:cs="Times New Roman"/>
          <w:color w:val="auto"/>
          <w:szCs w:val="21"/>
          <w:highlight w:val="none"/>
          <w:lang w:val="zh-CN"/>
        </w:rPr>
        <w:fldChar w:fldCharType="end"/>
      </w:r>
      <w:r>
        <w:rPr>
          <w:color w:val="auto"/>
          <w:highlight w:val="none"/>
        </w:rPr>
        <w:fldChar w:fldCharType="begin"/>
      </w:r>
      <w:r>
        <w:rPr>
          <w:color w:val="auto"/>
          <w:highlight w:val="none"/>
        </w:rPr>
        <w:instrText xml:space="preserve"> HYPERLINK "www.dgswjt.cn）、招标代理公司网站（http://%20%20%20%20%20%20%20%20%20%20%20%20%20%20）" </w:instrText>
      </w:r>
      <w:r>
        <w:rPr>
          <w:color w:val="auto"/>
          <w:highlight w:val="none"/>
        </w:rPr>
        <w:fldChar w:fldCharType="separate"/>
      </w:r>
      <w:r>
        <w:rPr>
          <w:rFonts w:hint="eastAsia" w:ascii="宋体" w:hAnsi="宋体" w:eastAsia="宋体" w:cs="Times New Roman"/>
          <w:bCs/>
          <w:color w:val="auto"/>
          <w:szCs w:val="21"/>
          <w:highlight w:val="none"/>
        </w:rPr>
        <w:t>东莞市水务环境投资控股集团有限公司网（www.</w:t>
      </w:r>
      <w:r>
        <w:rPr>
          <w:rFonts w:hint="eastAsia" w:ascii="宋体" w:hAnsi="宋体" w:eastAsia="宋体" w:cs="宋体"/>
          <w:bCs/>
          <w:color w:val="auto"/>
          <w:szCs w:val="21"/>
          <w:highlight w:val="none"/>
        </w:rPr>
        <w:t>dg</w:t>
      </w:r>
      <w:r>
        <w:rPr>
          <w:rFonts w:hint="eastAsia" w:ascii="宋体" w:hAnsi="宋体" w:eastAsia="宋体" w:cs="宋体"/>
          <w:bCs/>
          <w:color w:val="auto"/>
          <w:szCs w:val="21"/>
          <w:highlight w:val="none"/>
          <w:lang w:val="en-US" w:eastAsia="zh-CN"/>
        </w:rPr>
        <w:t>weg</w:t>
      </w:r>
      <w:r>
        <w:rPr>
          <w:rFonts w:hint="eastAsia" w:ascii="宋体" w:hAnsi="宋体" w:eastAsia="宋体" w:cs="Times New Roman"/>
          <w:bCs/>
          <w:color w:val="auto"/>
          <w:szCs w:val="21"/>
          <w:highlight w:val="none"/>
        </w:rPr>
        <w:t>.cn）</w:t>
      </w:r>
      <w:r>
        <w:rPr>
          <w:rStyle w:val="42"/>
          <w:rFonts w:ascii="宋体" w:hAnsi="宋体" w:eastAsia="宋体" w:cs="Times New Roman"/>
          <w:color w:val="auto"/>
          <w:sz w:val="21"/>
          <w:szCs w:val="21"/>
          <w:highlight w:val="none"/>
          <w:lang w:val="zh-CN"/>
        </w:rPr>
        <w:t>、</w:t>
      </w:r>
      <w:r>
        <w:rPr>
          <w:rStyle w:val="42"/>
          <w:rFonts w:hint="eastAsia" w:ascii="宋体" w:hAnsi="宋体" w:eastAsia="宋体" w:cs="Times New Roman"/>
          <w:bCs/>
          <w:color w:val="auto"/>
          <w:kern w:val="0"/>
          <w:sz w:val="21"/>
          <w:szCs w:val="21"/>
          <w:highlight w:val="none"/>
        </w:rPr>
        <w:t>招标代理</w:t>
      </w:r>
      <w:r>
        <w:rPr>
          <w:rStyle w:val="42"/>
          <w:rFonts w:hint="eastAsia" w:ascii="宋体" w:hAnsi="宋体" w:eastAsia="宋体" w:cs="Times New Roman"/>
          <w:bCs/>
          <w:color w:val="auto"/>
          <w:kern w:val="0"/>
          <w:sz w:val="21"/>
          <w:szCs w:val="21"/>
          <w:highlight w:val="none"/>
          <w:lang w:val="en-US" w:eastAsia="zh-CN"/>
        </w:rPr>
        <w:t>机构</w:t>
      </w:r>
      <w:r>
        <w:rPr>
          <w:rStyle w:val="42"/>
          <w:rFonts w:hint="eastAsia" w:ascii="宋体" w:hAnsi="宋体" w:eastAsia="宋体" w:cs="Times New Roman"/>
          <w:bCs/>
          <w:color w:val="auto"/>
          <w:kern w:val="0"/>
          <w:sz w:val="21"/>
          <w:szCs w:val="21"/>
          <w:highlight w:val="none"/>
        </w:rPr>
        <w:t>网站（</w:t>
      </w:r>
      <w:r>
        <w:rPr>
          <w:rStyle w:val="42"/>
          <w:rFonts w:hint="eastAsia" w:ascii="宋体" w:hAnsi="宋体" w:eastAsia="宋体" w:cs="宋体"/>
          <w:bCs/>
          <w:color w:val="auto"/>
          <w:kern w:val="0"/>
          <w:szCs w:val="21"/>
          <w:highlight w:val="none"/>
          <w:u w:val="none"/>
        </w:rPr>
        <w:t>www.365trade.com.cn</w:t>
      </w:r>
      <w:r>
        <w:rPr>
          <w:rStyle w:val="42"/>
          <w:rFonts w:ascii="宋体" w:hAnsi="宋体" w:eastAsia="宋体" w:cs="Times New Roman"/>
          <w:bCs/>
          <w:color w:val="auto"/>
          <w:kern w:val="0"/>
          <w:sz w:val="21"/>
          <w:szCs w:val="21"/>
          <w:highlight w:val="none"/>
        </w:rPr>
        <w:t>）</w:t>
      </w:r>
      <w:r>
        <w:rPr>
          <w:rStyle w:val="42"/>
          <w:rFonts w:ascii="宋体" w:hAnsi="宋体" w:eastAsia="宋体" w:cs="Times New Roman"/>
          <w:bCs/>
          <w:color w:val="auto"/>
          <w:kern w:val="0"/>
          <w:sz w:val="21"/>
          <w:szCs w:val="21"/>
          <w:highlight w:val="none"/>
        </w:rPr>
        <w:fldChar w:fldCharType="end"/>
      </w:r>
      <w:r>
        <w:rPr>
          <w:rFonts w:hint="eastAsia" w:ascii="宋体" w:hAnsi="宋体" w:eastAsia="宋体" w:cs="宋体"/>
          <w:color w:val="auto"/>
          <w:szCs w:val="21"/>
          <w:highlight w:val="none"/>
          <w:lang w:val="zh-CN"/>
        </w:rPr>
        <w:t>公布</w:t>
      </w:r>
      <w:r>
        <w:rPr>
          <w:rFonts w:hint="eastAsia" w:ascii="宋体" w:hAnsi="宋体" w:eastAsia="宋体" w:cs="Times New Roman"/>
          <w:color w:val="auto"/>
          <w:szCs w:val="21"/>
          <w:highlight w:val="none"/>
          <w:lang w:val="zh-CN"/>
        </w:rPr>
        <w:t>，</w:t>
      </w:r>
      <w:r>
        <w:rPr>
          <w:rFonts w:hint="eastAsia" w:ascii="宋体" w:hAnsi="宋体" w:eastAsia="宋体" w:cs="宋体"/>
          <w:color w:val="auto"/>
          <w:szCs w:val="21"/>
          <w:highlight w:val="none"/>
          <w:lang w:val="zh-CN"/>
        </w:rPr>
        <w:t>请各投标人密切留意。</w:t>
      </w:r>
    </w:p>
    <w:p w14:paraId="1B5AE79F">
      <w:pPr>
        <w:autoSpaceDE w:val="0"/>
        <w:autoSpaceDN w:val="0"/>
        <w:adjustRightInd w:val="0"/>
        <w:spacing w:line="360" w:lineRule="auto"/>
        <w:ind w:left="357" w:leftChars="-100" w:hanging="567"/>
        <w:rPr>
          <w:rFonts w:ascii="宋体" w:hAnsi="宋体" w:eastAsia="宋体" w:cs="宋体"/>
          <w:color w:val="auto"/>
          <w:szCs w:val="21"/>
          <w:highlight w:val="none"/>
        </w:rPr>
      </w:pPr>
    </w:p>
    <w:p w14:paraId="06CFF494">
      <w:pPr>
        <w:keepNext/>
        <w:keepLines/>
        <w:tabs>
          <w:tab w:val="left" w:pos="509"/>
        </w:tab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93" w:name="_Toc24335"/>
      <w:bookmarkStart w:id="94" w:name="_Toc142508321"/>
      <w:bookmarkStart w:id="95" w:name="_Toc6039"/>
      <w:bookmarkStart w:id="96" w:name="_Toc140596880"/>
      <w:bookmarkStart w:id="97" w:name="_Toc29659_WPSOffice_Level2"/>
      <w:bookmarkStart w:id="98" w:name="_Toc486167671"/>
      <w:bookmarkStart w:id="99" w:name="_Toc2222"/>
      <w:bookmarkStart w:id="100" w:name="_Toc450662857"/>
      <w:r>
        <w:rPr>
          <w:rFonts w:hint="eastAsia" w:ascii="宋体" w:hAnsi="宋体" w:eastAsia="宋体" w:cs="宋体"/>
          <w:b/>
          <w:bCs/>
          <w:color w:val="auto"/>
          <w:kern w:val="44"/>
          <w:szCs w:val="21"/>
          <w:highlight w:val="none"/>
          <w:lang w:val="zh-CN"/>
        </w:rPr>
        <w:t>三、投标文件的编制</w:t>
      </w:r>
      <w:bookmarkEnd w:id="93"/>
      <w:bookmarkEnd w:id="94"/>
      <w:bookmarkEnd w:id="95"/>
      <w:bookmarkEnd w:id="96"/>
      <w:bookmarkEnd w:id="97"/>
      <w:bookmarkEnd w:id="98"/>
      <w:bookmarkEnd w:id="99"/>
      <w:bookmarkEnd w:id="100"/>
    </w:p>
    <w:p w14:paraId="245F48CB">
      <w:pPr>
        <w:tabs>
          <w:tab w:val="left" w:pos="67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01" w:name="_Toc450662858"/>
      <w:bookmarkStart w:id="102" w:name="_Toc16966"/>
      <w:bookmarkStart w:id="103" w:name="_Toc142508322"/>
      <w:bookmarkStart w:id="104" w:name="_Toc20240"/>
      <w:bookmarkStart w:id="105" w:name="_Toc10015_WPSOffice_Level3"/>
      <w:bookmarkStart w:id="106" w:name="_Toc25773"/>
      <w:bookmarkStart w:id="107" w:name="_Toc486167672"/>
      <w:r>
        <w:rPr>
          <w:rFonts w:hint="eastAsia" w:ascii="宋体" w:hAnsi="宋体" w:eastAsia="宋体" w:cs="宋体"/>
          <w:color w:val="auto"/>
          <w:szCs w:val="21"/>
          <w:highlight w:val="none"/>
          <w:lang w:val="zh-CN"/>
        </w:rPr>
        <w:t>8</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投标使用的文字及度量衡单位</w:t>
      </w:r>
      <w:bookmarkEnd w:id="101"/>
      <w:bookmarkEnd w:id="102"/>
      <w:bookmarkEnd w:id="103"/>
      <w:bookmarkEnd w:id="104"/>
      <w:bookmarkEnd w:id="105"/>
      <w:bookmarkEnd w:id="106"/>
      <w:bookmarkEnd w:id="107"/>
    </w:p>
    <w:p w14:paraId="4E1B4023">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8.1  投标人的投标文件以及投标人与招标代理机构就有关投标的所有往来函电均应使用简体中文。</w:t>
      </w:r>
    </w:p>
    <w:p w14:paraId="702A6B04">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8.2  投标文件使用的度量衡单位采用中华人民共和国法定计量单位。</w:t>
      </w:r>
    </w:p>
    <w:p w14:paraId="27B999D2">
      <w:pPr>
        <w:autoSpaceDE w:val="0"/>
        <w:autoSpaceDN w:val="0"/>
        <w:adjustRightInd w:val="0"/>
        <w:spacing w:line="360" w:lineRule="auto"/>
        <w:rPr>
          <w:rFonts w:ascii="宋体" w:hAnsi="宋体" w:eastAsia="宋体" w:cs="宋体"/>
          <w:color w:val="auto"/>
          <w:szCs w:val="21"/>
          <w:highlight w:val="none"/>
          <w:lang w:val="zh-CN"/>
        </w:rPr>
      </w:pPr>
    </w:p>
    <w:p w14:paraId="63D6AA4F">
      <w:pPr>
        <w:tabs>
          <w:tab w:val="left" w:pos="540"/>
        </w:tabs>
        <w:autoSpaceDE w:val="0"/>
        <w:autoSpaceDN w:val="0"/>
        <w:adjustRightInd w:val="0"/>
        <w:spacing w:line="360" w:lineRule="auto"/>
        <w:ind w:left="357" w:leftChars="-100" w:hanging="567"/>
        <w:jc w:val="left"/>
        <w:outlineLvl w:val="2"/>
        <w:rPr>
          <w:rFonts w:ascii="宋体" w:hAnsi="宋体" w:eastAsia="宋体" w:cs="宋体"/>
          <w:color w:val="auto"/>
          <w:sz w:val="24"/>
          <w:szCs w:val="24"/>
          <w:highlight w:val="none"/>
          <w:lang w:val="zh-CN"/>
        </w:rPr>
      </w:pPr>
      <w:bookmarkStart w:id="108" w:name="_Toc24916_WPSOffice_Level3"/>
      <w:bookmarkStart w:id="109" w:name="_Toc4729"/>
      <w:bookmarkStart w:id="110" w:name="_Toc142508323"/>
      <w:bookmarkStart w:id="111" w:name="_Toc486167673"/>
      <w:bookmarkStart w:id="112" w:name="_Toc1879"/>
      <w:bookmarkStart w:id="113" w:name="_Toc450662859"/>
      <w:bookmarkStart w:id="114" w:name="_Toc18442"/>
      <w:r>
        <w:rPr>
          <w:rFonts w:hint="eastAsia" w:ascii="宋体" w:hAnsi="宋体" w:eastAsia="宋体" w:cs="宋体"/>
          <w:color w:val="auto"/>
          <w:szCs w:val="21"/>
          <w:highlight w:val="none"/>
          <w:lang w:val="zh-CN"/>
        </w:rPr>
        <w:t>9</w:t>
      </w:r>
      <w:r>
        <w:rPr>
          <w:rFonts w:ascii="宋体" w:hAnsi="宋体" w:eastAsia="宋体" w:cs="宋体"/>
          <w:color w:val="auto"/>
          <w:sz w:val="24"/>
          <w:szCs w:val="24"/>
          <w:highlight w:val="none"/>
          <w:lang w:val="zh-CN"/>
        </w:rPr>
        <w:t xml:space="preserve"> </w:t>
      </w:r>
      <w:r>
        <w:rPr>
          <w:rFonts w:hint="eastAsia" w:ascii="宋体" w:hAnsi="宋体" w:eastAsia="宋体" w:cs="宋体"/>
          <w:color w:val="auto"/>
          <w:szCs w:val="21"/>
          <w:highlight w:val="none"/>
          <w:lang w:val="zh-CN"/>
        </w:rPr>
        <w:t>投标文件的组成</w:t>
      </w:r>
      <w:bookmarkEnd w:id="108"/>
      <w:bookmarkEnd w:id="109"/>
      <w:bookmarkEnd w:id="110"/>
      <w:bookmarkEnd w:id="111"/>
      <w:bookmarkEnd w:id="112"/>
      <w:bookmarkEnd w:id="113"/>
      <w:bookmarkEnd w:id="114"/>
    </w:p>
    <w:p w14:paraId="26888ED6">
      <w:pPr>
        <w:autoSpaceDE w:val="0"/>
        <w:autoSpaceDN w:val="0"/>
        <w:adjustRightInd w:val="0"/>
        <w:spacing w:line="360" w:lineRule="auto"/>
        <w:ind w:left="422" w:leftChars="-100" w:hanging="632" w:hangingChars="300"/>
        <w:rPr>
          <w:rFonts w:ascii="宋体" w:hAnsi="宋体" w:eastAsia="宋体" w:cs="Times New Roman"/>
          <w:b/>
          <w:color w:val="auto"/>
          <w:kern w:val="0"/>
          <w:szCs w:val="21"/>
          <w:highlight w:val="none"/>
        </w:rPr>
      </w:pPr>
      <w:r>
        <w:rPr>
          <w:rFonts w:hint="eastAsia" w:ascii="宋体" w:hAnsi="宋体" w:eastAsia="宋体" w:cs="宋体"/>
          <w:b/>
          <w:color w:val="auto"/>
          <w:kern w:val="0"/>
          <w:szCs w:val="24"/>
          <w:highlight w:val="none"/>
        </w:rPr>
        <w:t xml:space="preserve">9.1  </w:t>
      </w:r>
      <w:r>
        <w:rPr>
          <w:rFonts w:hint="eastAsia" w:ascii="宋体" w:hAnsi="宋体" w:eastAsia="宋体" w:cs="宋体"/>
          <w:color w:val="auto"/>
          <w:kern w:val="0"/>
          <w:szCs w:val="24"/>
          <w:highlight w:val="none"/>
        </w:rPr>
        <w:t>投标文件的组成：</w:t>
      </w:r>
      <w:r>
        <w:rPr>
          <w:rFonts w:hint="eastAsia" w:ascii="宋体" w:hAnsi="宋体" w:eastAsia="宋体" w:cs="Times New Roman"/>
          <w:b/>
          <w:color w:val="auto"/>
          <w:kern w:val="0"/>
          <w:szCs w:val="21"/>
          <w:highlight w:val="none"/>
          <w:u w:val="single"/>
        </w:rPr>
        <w:t>商务文件、技术文件由投标人根据各自文件的实际情况决定是否分册装订，招标文件不做限制</w:t>
      </w:r>
      <w:r>
        <w:rPr>
          <w:rFonts w:hint="eastAsia" w:ascii="宋体" w:hAnsi="宋体" w:eastAsia="宋体" w:cs="Times New Roman"/>
          <w:b/>
          <w:color w:val="auto"/>
          <w:kern w:val="0"/>
          <w:szCs w:val="21"/>
          <w:highlight w:val="none"/>
        </w:rPr>
        <w:t>。</w:t>
      </w:r>
    </w:p>
    <w:p w14:paraId="25192F75">
      <w:pPr>
        <w:autoSpaceDE w:val="0"/>
        <w:autoSpaceDN w:val="0"/>
        <w:adjustRightInd w:val="0"/>
        <w:spacing w:line="360" w:lineRule="auto"/>
        <w:ind w:left="422" w:leftChars="-100" w:hanging="632" w:hangingChars="300"/>
        <w:rPr>
          <w:rFonts w:ascii="宋体" w:hAnsi="宋体" w:eastAsia="宋体" w:cs="Times New Roman"/>
          <w:b/>
          <w:color w:val="auto"/>
          <w:kern w:val="0"/>
          <w:szCs w:val="21"/>
          <w:highlight w:val="none"/>
        </w:rPr>
      </w:pPr>
      <w:r>
        <w:rPr>
          <w:rFonts w:hint="eastAsia" w:ascii="宋体" w:hAnsi="宋体" w:eastAsia="宋体" w:cs="宋体"/>
          <w:b/>
          <w:color w:val="auto"/>
          <w:kern w:val="0"/>
          <w:szCs w:val="24"/>
          <w:highlight w:val="none"/>
        </w:rPr>
        <w:t>9.1.1 商务文件：</w:t>
      </w:r>
    </w:p>
    <w:p w14:paraId="2140DFF6">
      <w:pPr>
        <w:autoSpaceDE w:val="0"/>
        <w:autoSpaceDN w:val="0"/>
        <w:adjustRightInd w:val="0"/>
        <w:spacing w:line="360" w:lineRule="auto"/>
        <w:jc w:val="left"/>
        <w:rPr>
          <w:rFonts w:ascii="宋体" w:hAnsi="宋体" w:eastAsia="宋体" w:cs="Times New Roman"/>
          <w:b/>
          <w:color w:val="auto"/>
          <w:kern w:val="0"/>
          <w:szCs w:val="21"/>
          <w:highlight w:val="none"/>
          <w:lang w:val="zh-CN"/>
        </w:rPr>
      </w:pPr>
      <w:r>
        <w:rPr>
          <w:rFonts w:hint="eastAsia" w:ascii="宋体" w:hAnsi="宋体" w:eastAsia="宋体" w:cs="Times New Roman"/>
          <w:color w:val="auto"/>
          <w:kern w:val="0"/>
          <w:sz w:val="24"/>
          <w:szCs w:val="24"/>
          <w:highlight w:val="none"/>
          <w:lang w:val="zh-CN"/>
        </w:rPr>
        <w:t xml:space="preserve">  </w:t>
      </w:r>
      <w:r>
        <w:rPr>
          <w:rFonts w:ascii="宋体" w:hAnsi="宋体" w:eastAsia="宋体" w:cs="Times New Roman"/>
          <w:color w:val="auto"/>
          <w:kern w:val="0"/>
          <w:sz w:val="24"/>
          <w:szCs w:val="24"/>
          <w:highlight w:val="none"/>
          <w:lang w:val="zh-CN"/>
        </w:rPr>
        <w:t xml:space="preserve"> </w:t>
      </w:r>
      <w:r>
        <w:rPr>
          <w:rFonts w:hint="eastAsia" w:ascii="宋体" w:hAnsi="宋体" w:eastAsia="宋体" w:cs="Times New Roman"/>
          <w:b/>
          <w:color w:val="auto"/>
          <w:kern w:val="0"/>
          <w:szCs w:val="21"/>
          <w:highlight w:val="none"/>
          <w:lang w:val="zh-CN"/>
        </w:rPr>
        <w:t>目录：</w:t>
      </w:r>
    </w:p>
    <w:p w14:paraId="0FF821A7">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（1）投标函；</w:t>
      </w:r>
    </w:p>
    <w:p w14:paraId="76EE8B96">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（2）投标承诺书；</w:t>
      </w:r>
    </w:p>
    <w:p w14:paraId="3A604B14">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3</w:t>
      </w:r>
      <w:r>
        <w:rPr>
          <w:rFonts w:hint="eastAsia" w:ascii="宋体" w:hAnsi="宋体" w:eastAsia="宋体" w:cs="宋体"/>
          <w:color w:val="auto"/>
          <w:szCs w:val="21"/>
          <w:highlight w:val="none"/>
          <w:lang w:val="zh-CN"/>
        </w:rPr>
        <w:t>）供货及/或提供服务过程承诺函；</w:t>
      </w:r>
    </w:p>
    <w:p w14:paraId="0BFADDDA">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val="zh-CN"/>
        </w:rPr>
        <w:t>）投标报价表(含投标报价表</w:t>
      </w:r>
      <w:r>
        <w:rPr>
          <w:rFonts w:ascii="宋体" w:hAnsi="宋体" w:eastAsia="宋体" w:cs="宋体"/>
          <w:color w:val="auto"/>
          <w:szCs w:val="21"/>
          <w:highlight w:val="none"/>
          <w:lang w:val="zh-CN"/>
        </w:rPr>
        <w:t>和</w:t>
      </w:r>
      <w:r>
        <w:rPr>
          <w:rFonts w:hint="eastAsia" w:ascii="宋体" w:hAnsi="宋体" w:eastAsia="宋体" w:cs="宋体"/>
          <w:color w:val="auto"/>
          <w:szCs w:val="21"/>
          <w:highlight w:val="none"/>
          <w:lang w:val="zh-CN"/>
        </w:rPr>
        <w:t>综合单价明细表)；</w:t>
      </w:r>
    </w:p>
    <w:p w14:paraId="2601AE7E">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val="zh-CN"/>
        </w:rPr>
        <w:t>）投标人资格证明文件：</w:t>
      </w:r>
    </w:p>
    <w:p w14:paraId="72EF783A">
      <w:pPr>
        <w:autoSpaceDE w:val="0"/>
        <w:autoSpaceDN w:val="0"/>
        <w:adjustRightInd w:val="0"/>
        <w:spacing w:line="360" w:lineRule="auto"/>
        <w:ind w:left="283" w:hanging="283" w:hangingChars="135"/>
        <w:rPr>
          <w:rFonts w:ascii="宋体" w:hAnsi="宋体" w:eastAsia="宋体" w:cs="Times New Roman"/>
          <w:color w:val="auto"/>
          <w:szCs w:val="21"/>
          <w:highlight w:val="none"/>
          <w:lang w:val="zh-CN"/>
        </w:rPr>
      </w:pPr>
      <w:r>
        <w:rPr>
          <w:rFonts w:ascii="宋体" w:hAnsi="宋体" w:eastAsia="宋体" w:cs="Times New Roman"/>
          <w:color w:val="auto"/>
          <w:szCs w:val="21"/>
          <w:highlight w:val="none"/>
          <w:lang w:val="zh-CN"/>
        </w:rPr>
        <w:t>1）多证合一营业执照</w:t>
      </w:r>
      <w:r>
        <w:rPr>
          <w:rFonts w:hint="eastAsia" w:ascii="宋体" w:hAnsi="宋体" w:eastAsia="宋体" w:cs="Times New Roman"/>
          <w:color w:val="auto"/>
          <w:kern w:val="0"/>
          <w:szCs w:val="21"/>
          <w:highlight w:val="none"/>
        </w:rPr>
        <w:t>（或事业单位法人证书）</w:t>
      </w:r>
      <w:r>
        <w:rPr>
          <w:rFonts w:ascii="宋体" w:hAnsi="宋体" w:eastAsia="宋体" w:cs="Times New Roman"/>
          <w:color w:val="auto"/>
          <w:szCs w:val="21"/>
          <w:highlight w:val="none"/>
          <w:lang w:val="zh-CN"/>
        </w:rPr>
        <w:t>复印件；</w:t>
      </w:r>
    </w:p>
    <w:p w14:paraId="39D8DD05">
      <w:pPr>
        <w:autoSpaceDE w:val="0"/>
        <w:autoSpaceDN w:val="0"/>
        <w:adjustRightInd w:val="0"/>
        <w:spacing w:line="360" w:lineRule="auto"/>
        <w:ind w:left="283" w:hanging="283" w:hangingChars="135"/>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rPr>
        <w:t>2</w:t>
      </w: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lang w:val="zh-CN"/>
        </w:rPr>
        <w:t>开户许可证（基本存款账户）复印件</w:t>
      </w:r>
      <w:r>
        <w:rPr>
          <w:rFonts w:hint="eastAsia" w:ascii="宋体" w:hAnsi="宋体" w:eastAsia="宋体" w:cs="Times New Roman"/>
          <w:color w:val="auto"/>
          <w:szCs w:val="21"/>
          <w:highlight w:val="none"/>
          <w:lang w:val="zh-CN"/>
        </w:rPr>
        <w:t>，如投标人企业银行账户开户所在地区已取消企业银行账户许可，投标人应提供基本存款账户开户名称、开户银行、账号、编号等信息及相关备案证明（如有）或其他能证明其为基本存款账户的资料复印件</w:t>
      </w:r>
      <w:r>
        <w:rPr>
          <w:rFonts w:ascii="宋体" w:hAnsi="宋体" w:eastAsia="宋体" w:cs="Times New Roman"/>
          <w:color w:val="auto"/>
          <w:szCs w:val="21"/>
          <w:highlight w:val="none"/>
          <w:lang w:val="zh-CN"/>
        </w:rPr>
        <w:t>；</w:t>
      </w:r>
    </w:p>
    <w:p w14:paraId="36A313B3">
      <w:pPr>
        <w:autoSpaceDE w:val="0"/>
        <w:autoSpaceDN w:val="0"/>
        <w:adjustRightInd w:val="0"/>
        <w:spacing w:line="360" w:lineRule="auto"/>
        <w:ind w:left="283" w:hanging="283" w:hangingChars="135"/>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rPr>
        <w:t>3</w:t>
      </w:r>
      <w:r>
        <w:rPr>
          <w:rFonts w:ascii="宋体" w:hAnsi="宋体" w:eastAsia="宋体" w:cs="Times New Roman"/>
          <w:color w:val="auto"/>
          <w:szCs w:val="21"/>
          <w:highlight w:val="none"/>
          <w:lang w:val="zh-CN"/>
        </w:rPr>
        <w:t>）法定代表人身份证明书和法定代表人授权书原件（法定代表人投标时只提供法定代表人身份证明书，委托</w:t>
      </w:r>
      <w:r>
        <w:rPr>
          <w:rFonts w:ascii="宋体" w:hAnsi="宋体" w:eastAsia="宋体" w:cs="Times New Roman"/>
          <w:color w:val="auto"/>
          <w:szCs w:val="21"/>
          <w:highlight w:val="none"/>
        </w:rPr>
        <w:t>他人</w:t>
      </w:r>
      <w:r>
        <w:rPr>
          <w:rFonts w:ascii="宋体" w:hAnsi="宋体" w:eastAsia="宋体" w:cs="Times New Roman"/>
          <w:color w:val="auto"/>
          <w:szCs w:val="21"/>
          <w:highlight w:val="none"/>
          <w:lang w:val="zh-CN"/>
        </w:rPr>
        <w:t>为投标代表时同时提供法定代表人授权书）；</w:t>
      </w:r>
    </w:p>
    <w:p w14:paraId="30C5B86F">
      <w:pPr>
        <w:tabs>
          <w:tab w:val="left" w:pos="1276"/>
        </w:tabs>
        <w:spacing w:line="360" w:lineRule="auto"/>
        <w:ind w:left="283" w:hanging="283" w:hangingChars="135"/>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olor w:val="auto"/>
          <w:szCs w:val="21"/>
          <w:highlight w:val="none"/>
        </w:rPr>
        <w:t>资格业绩【投标人202</w:t>
      </w:r>
      <w:r>
        <w:rPr>
          <w:rFonts w:hint="eastAsia" w:ascii="宋体" w:hAnsi="宋体" w:eastAsia="宋体"/>
          <w:color w:val="auto"/>
          <w:szCs w:val="21"/>
          <w:highlight w:val="none"/>
          <w:lang w:val="en-US" w:eastAsia="zh-CN"/>
        </w:rPr>
        <w:t>3</w:t>
      </w:r>
      <w:r>
        <w:rPr>
          <w:rFonts w:hint="eastAsia" w:ascii="宋体" w:hAnsi="宋体" w:eastAsia="宋体"/>
          <w:color w:val="auto"/>
          <w:szCs w:val="21"/>
          <w:highlight w:val="none"/>
        </w:rPr>
        <w:t>年1月1日以来</w:t>
      </w:r>
      <w:r>
        <w:rPr>
          <w:rFonts w:hint="eastAsia" w:ascii="宋体" w:hAnsi="宋体" w:eastAsia="宋体"/>
          <w:color w:val="auto"/>
          <w:szCs w:val="21"/>
          <w:highlight w:val="none"/>
          <w:lang w:val="en-US" w:eastAsia="zh-CN"/>
        </w:rPr>
        <w:t>具有一份</w:t>
      </w:r>
      <w:r>
        <w:rPr>
          <w:rFonts w:hint="eastAsia" w:ascii="宋体" w:hAnsi="宋体" w:eastAsia="宋体" w:cs="宋体"/>
          <w:b/>
          <w:color w:val="auto"/>
          <w:szCs w:val="21"/>
          <w:highlight w:val="none"/>
        </w:rPr>
        <w:t>所投车型销售业绩</w:t>
      </w:r>
      <w:r>
        <w:rPr>
          <w:rFonts w:hint="eastAsia" w:ascii="宋体" w:hAnsi="宋体" w:eastAsia="宋体"/>
          <w:color w:val="auto"/>
          <w:szCs w:val="21"/>
          <w:highlight w:val="none"/>
        </w:rPr>
        <w:t>（合同签订日期为</w:t>
      </w:r>
      <w:r>
        <w:rPr>
          <w:rFonts w:hint="default" w:ascii="宋体" w:hAnsi="宋体" w:eastAsia="宋体"/>
          <w:color w:val="auto"/>
          <w:szCs w:val="21"/>
          <w:highlight w:val="none"/>
          <w:lang w:val="en-US"/>
        </w:rPr>
        <w:t>202</w:t>
      </w:r>
      <w:r>
        <w:rPr>
          <w:rFonts w:hint="default" w:ascii="宋体" w:hAnsi="宋体" w:eastAsia="宋体"/>
          <w:color w:val="auto"/>
          <w:szCs w:val="21"/>
          <w:highlight w:val="none"/>
          <w:lang w:val="en-US" w:eastAsia="zh-CN"/>
        </w:rPr>
        <w:t>3</w:t>
      </w:r>
      <w:r>
        <w:rPr>
          <w:rFonts w:hint="default" w:ascii="宋体" w:hAnsi="宋体" w:eastAsia="宋体"/>
          <w:color w:val="auto"/>
          <w:szCs w:val="21"/>
          <w:highlight w:val="none"/>
          <w:lang w:val="en-US"/>
        </w:rPr>
        <w:t>年1月1日或以后</w:t>
      </w:r>
      <w:r>
        <w:rPr>
          <w:rFonts w:hint="eastAsia" w:ascii="宋体" w:hAnsi="宋体" w:eastAsia="宋体"/>
          <w:color w:val="auto"/>
          <w:szCs w:val="21"/>
          <w:highlight w:val="none"/>
        </w:rPr>
        <w:t>），资格业绩证明材料提交要求详见招标文件第六篇投标文件格式</w:t>
      </w:r>
      <w:r>
        <w:rPr>
          <w:rFonts w:hint="eastAsia" w:ascii="宋体" w:hAnsi="宋体" w:eastAsia="宋体"/>
          <w:color w:val="auto"/>
          <w:szCs w:val="21"/>
          <w:highlight w:val="none"/>
          <w:u w:val="single"/>
        </w:rPr>
        <w:t>5</w:t>
      </w:r>
      <w:r>
        <w:rPr>
          <w:rFonts w:hint="eastAsia" w:ascii="宋体" w:hAnsi="宋体" w:eastAsia="宋体"/>
          <w:color w:val="auto"/>
          <w:szCs w:val="21"/>
          <w:highlight w:val="none"/>
          <w:u w:val="single"/>
          <w:lang w:val="en-US" w:eastAsia="zh-CN"/>
        </w:rPr>
        <w:t>.</w:t>
      </w:r>
      <w:r>
        <w:rPr>
          <w:rFonts w:hint="eastAsia" w:ascii="宋体" w:hAnsi="宋体" w:eastAsia="宋体"/>
          <w:color w:val="auto"/>
          <w:szCs w:val="21"/>
          <w:highlight w:val="none"/>
          <w:u w:val="single"/>
        </w:rPr>
        <w:t>5</w:t>
      </w:r>
      <w:r>
        <w:rPr>
          <w:rFonts w:hint="eastAsia" w:ascii="宋体" w:hAnsi="宋体" w:eastAsia="宋体"/>
          <w:color w:val="auto"/>
          <w:szCs w:val="21"/>
          <w:highlight w:val="none"/>
        </w:rPr>
        <w:t>】；</w:t>
      </w:r>
    </w:p>
    <w:p w14:paraId="4FC03A34">
      <w:pPr>
        <w:autoSpaceDE w:val="0"/>
        <w:autoSpaceDN w:val="0"/>
        <w:adjustRightInd w:val="0"/>
        <w:spacing w:line="360" w:lineRule="auto"/>
        <w:ind w:left="913" w:hanging="913" w:hangingChars="435"/>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val="zh-CN"/>
        </w:rPr>
        <w:t>最近3年投标人牵涉的其他（失信和违法）</w:t>
      </w:r>
      <w:r>
        <w:rPr>
          <w:rFonts w:hint="eastAsia" w:ascii="宋体" w:hAnsi="宋体" w:eastAsia="宋体" w:cs="宋体"/>
          <w:color w:val="auto"/>
          <w:kern w:val="0"/>
          <w:szCs w:val="21"/>
          <w:highlight w:val="none"/>
        </w:rPr>
        <w:t>处罚说明</w:t>
      </w:r>
      <w:r>
        <w:rPr>
          <w:rFonts w:hint="eastAsia" w:ascii="宋体" w:hAnsi="宋体" w:eastAsia="宋体" w:cs="宋体"/>
          <w:color w:val="auto"/>
          <w:szCs w:val="21"/>
          <w:highlight w:val="none"/>
          <w:lang w:val="zh-CN"/>
        </w:rPr>
        <w:t>；</w:t>
      </w:r>
    </w:p>
    <w:p w14:paraId="5A92086B">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val="zh-CN"/>
        </w:rPr>
        <w:t>）投标人基本情况一览表；</w:t>
      </w:r>
    </w:p>
    <w:p w14:paraId="06E86AAD">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val="zh-CN"/>
        </w:rPr>
        <w:t>）投标人财务状况表；</w:t>
      </w:r>
    </w:p>
    <w:p w14:paraId="7A94C49E">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val="zh-CN"/>
        </w:rPr>
        <w:t>）</w:t>
      </w:r>
      <w:r>
        <w:rPr>
          <w:rFonts w:hint="eastAsia" w:ascii="宋体" w:hAnsi="宋体" w:eastAsia="宋体" w:cs="宋体"/>
          <w:color w:val="auto"/>
          <w:kern w:val="0"/>
          <w:szCs w:val="21"/>
          <w:highlight w:val="none"/>
        </w:rPr>
        <w:t>标准化体系认证</w:t>
      </w:r>
      <w:r>
        <w:rPr>
          <w:rFonts w:hint="eastAsia" w:ascii="宋体" w:hAnsi="宋体" w:eastAsia="宋体" w:cs="宋体"/>
          <w:color w:val="auto"/>
          <w:kern w:val="0"/>
          <w:szCs w:val="21"/>
          <w:highlight w:val="none"/>
          <w:lang w:eastAsia="zh-CN"/>
        </w:rPr>
        <w:t>；</w:t>
      </w:r>
    </w:p>
    <w:p w14:paraId="1E23D487">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9</w:t>
      </w:r>
      <w:r>
        <w:rPr>
          <w:rFonts w:hint="eastAsia" w:ascii="宋体" w:hAnsi="宋体" w:eastAsia="宋体" w:cs="宋体"/>
          <w:color w:val="auto"/>
          <w:kern w:val="0"/>
          <w:szCs w:val="21"/>
          <w:highlight w:val="none"/>
        </w:rPr>
        <w:t>）合同条款响应程度（合同条款偏离表）；</w:t>
      </w:r>
    </w:p>
    <w:p w14:paraId="2BABCC03">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lang w:val="zh-CN"/>
        </w:rPr>
        <w:t>）业绩表；</w:t>
      </w:r>
    </w:p>
    <w:p w14:paraId="39CC40D1">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val="zh-CN"/>
        </w:rPr>
        <w:t>）中标服务费承诺书格式</w:t>
      </w:r>
      <w:r>
        <w:rPr>
          <w:rFonts w:hint="eastAsia" w:ascii="宋体" w:hAnsi="宋体" w:eastAsia="宋体" w:cs="宋体"/>
          <w:color w:val="auto"/>
          <w:szCs w:val="21"/>
          <w:highlight w:val="none"/>
          <w:lang w:val="en-US" w:eastAsia="zh-CN"/>
        </w:rPr>
        <w:t>；</w:t>
      </w:r>
    </w:p>
    <w:p w14:paraId="6BBF98EA">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val="zh-CN"/>
        </w:rPr>
        <w:t>）投标保证金汇入情况说明；</w:t>
      </w:r>
    </w:p>
    <w:p w14:paraId="2F32CA57">
      <w:pPr>
        <w:tabs>
          <w:tab w:val="left" w:pos="567"/>
        </w:tabs>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val="zh-CN"/>
        </w:rPr>
        <w:t>）投标人资格证明文件以外的其他资质证书、知识产权证书及获得的相关获奖、认证证书、社会评价资料证明文件复印件等投标人认为有需要证明其具备为本次招标项目提供货物</w:t>
      </w:r>
      <w:r>
        <w:rPr>
          <w:rFonts w:hint="eastAsia" w:ascii="宋体" w:hAnsi="宋体" w:eastAsia="宋体" w:cs="宋体"/>
          <w:color w:val="auto"/>
          <w:szCs w:val="21"/>
          <w:highlight w:val="none"/>
          <w:lang w:val="en-US" w:eastAsia="zh-CN"/>
        </w:rPr>
        <w:t>及有关</w:t>
      </w:r>
      <w:r>
        <w:rPr>
          <w:rFonts w:hint="eastAsia" w:ascii="宋体" w:hAnsi="宋体" w:eastAsia="宋体" w:cs="宋体"/>
          <w:color w:val="auto"/>
          <w:szCs w:val="21"/>
          <w:highlight w:val="none"/>
          <w:lang w:val="zh-CN"/>
        </w:rPr>
        <w:t>服务能力的有关其它商务文件（不做强制要求）。</w:t>
      </w:r>
    </w:p>
    <w:p w14:paraId="1309F58A">
      <w:pPr>
        <w:autoSpaceDE w:val="0"/>
        <w:autoSpaceDN w:val="0"/>
        <w:adjustRightInd w:val="0"/>
        <w:spacing w:line="360" w:lineRule="auto"/>
        <w:ind w:left="422" w:leftChars="-100" w:hanging="632" w:hangingChars="300"/>
        <w:rPr>
          <w:rFonts w:ascii="宋体" w:hAnsi="宋体" w:eastAsia="宋体" w:cs="宋体"/>
          <w:b/>
          <w:color w:val="auto"/>
          <w:kern w:val="0"/>
          <w:szCs w:val="24"/>
          <w:highlight w:val="none"/>
        </w:rPr>
      </w:pPr>
      <w:r>
        <w:rPr>
          <w:rFonts w:hint="eastAsia" w:ascii="宋体" w:hAnsi="宋体" w:eastAsia="宋体" w:cs="宋体"/>
          <w:b/>
          <w:color w:val="auto"/>
          <w:kern w:val="0"/>
          <w:szCs w:val="24"/>
          <w:highlight w:val="none"/>
        </w:rPr>
        <w:t>9.1.2 技术文件：</w:t>
      </w:r>
    </w:p>
    <w:p w14:paraId="57259D65">
      <w:pPr>
        <w:autoSpaceDE w:val="0"/>
        <w:autoSpaceDN w:val="0"/>
        <w:adjustRightInd w:val="0"/>
        <w:spacing w:line="360" w:lineRule="auto"/>
        <w:ind w:right="-23" w:rightChars="-11"/>
        <w:jc w:val="left"/>
        <w:rPr>
          <w:rFonts w:ascii="宋体" w:hAnsi="宋体" w:eastAsia="宋体" w:cs="Times New Roman"/>
          <w:b/>
          <w:bCs/>
          <w:color w:val="auto"/>
          <w:kern w:val="0"/>
          <w:szCs w:val="21"/>
          <w:highlight w:val="none"/>
          <w:lang w:val="zh-CN"/>
        </w:rPr>
      </w:pPr>
      <w:r>
        <w:rPr>
          <w:rFonts w:hint="eastAsia" w:ascii="宋体" w:hAnsi="宋体" w:eastAsia="宋体" w:cs="Times New Roman"/>
          <w:b/>
          <w:bCs/>
          <w:color w:val="auto"/>
          <w:kern w:val="0"/>
          <w:szCs w:val="21"/>
          <w:highlight w:val="none"/>
          <w:lang w:val="zh-CN"/>
        </w:rPr>
        <w:t xml:space="preserve"> </w:t>
      </w:r>
      <w:r>
        <w:rPr>
          <w:rFonts w:ascii="宋体" w:hAnsi="宋体" w:eastAsia="宋体" w:cs="Times New Roman"/>
          <w:b/>
          <w:bCs/>
          <w:color w:val="auto"/>
          <w:kern w:val="0"/>
          <w:szCs w:val="21"/>
          <w:highlight w:val="none"/>
          <w:lang w:val="zh-CN"/>
        </w:rPr>
        <w:t xml:space="preserve">   </w:t>
      </w:r>
      <w:r>
        <w:rPr>
          <w:rFonts w:hint="eastAsia" w:ascii="宋体" w:hAnsi="宋体" w:eastAsia="宋体" w:cs="Times New Roman"/>
          <w:b/>
          <w:bCs/>
          <w:color w:val="auto"/>
          <w:kern w:val="0"/>
          <w:szCs w:val="21"/>
          <w:highlight w:val="none"/>
          <w:lang w:val="zh-CN"/>
        </w:rPr>
        <w:t>目录：</w:t>
      </w:r>
    </w:p>
    <w:p w14:paraId="27BDC6B3">
      <w:pPr>
        <w:spacing w:line="360" w:lineRule="auto"/>
        <w:ind w:left="105" w:leftChars="-100" w:hanging="315" w:hanging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（1）用户需求响应程度（格式见附件1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1用户需求偏离表格式）；</w:t>
      </w:r>
    </w:p>
    <w:p w14:paraId="2BD64152">
      <w:pPr>
        <w:spacing w:line="360" w:lineRule="auto"/>
        <w:ind w:left="315" w:hanging="315" w:hanging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1）反映投标车辆的生产企业及投标车辆（含防撞包）产品型号已列入国家工业和信息化部发布的有效的《道路机动车辆生产企业及产品公告》（或《车辆生产企业及产品公告》）的证明文件；</w:t>
      </w:r>
    </w:p>
    <w:p w14:paraId="79094F68">
      <w:pPr>
        <w:spacing w:line="360" w:lineRule="auto"/>
        <w:ind w:left="315" w:hanging="315" w:hanging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2）提供投标车辆的中国国家强制性产品认证证书（3C认证)复印件</w:t>
      </w:r>
      <w:r>
        <w:rPr>
          <w:rFonts w:hint="eastAsia" w:ascii="宋体" w:hAnsi="宋体" w:eastAsia="宋体" w:cs="宋体"/>
          <w:color w:val="auto"/>
          <w:kern w:val="0"/>
          <w:szCs w:val="21"/>
          <w:highlight w:val="none"/>
          <w:lang w:eastAsia="zh-CN"/>
        </w:rPr>
        <w:t>；</w:t>
      </w:r>
    </w:p>
    <w:p w14:paraId="63E8D990">
      <w:pPr>
        <w:spacing w:line="360" w:lineRule="auto"/>
        <w:ind w:left="0" w:leftChars="0" w:firstLine="0" w:firstLineChars="0"/>
        <w:rPr>
          <w:rFonts w:hint="eastAsia" w:ascii="宋体" w:hAnsi="宋体" w:eastAsia="宋体" w:cs="宋体"/>
          <w:b w:val="0"/>
          <w:bCs w:val="0"/>
          <w:i w:val="0"/>
          <w:iCs w:val="0"/>
          <w:caps w:val="0"/>
          <w:color w:val="auto"/>
          <w:spacing w:val="0"/>
          <w:kern w:val="0"/>
          <w:sz w:val="21"/>
          <w:szCs w:val="21"/>
          <w:highlight w:val="none"/>
          <w:lang w:eastAsia="zh-CN" w:bidi="ar"/>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提供</w:t>
      </w:r>
      <w:r>
        <w:rPr>
          <w:rFonts w:hint="eastAsia" w:ascii="宋体" w:hAnsi="宋体" w:eastAsia="宋体" w:cs="宋体"/>
          <w:b w:val="0"/>
          <w:bCs w:val="0"/>
          <w:color w:val="auto"/>
          <w:kern w:val="0"/>
          <w:sz w:val="21"/>
          <w:szCs w:val="21"/>
          <w:highlight w:val="none"/>
          <w:lang w:bidi="ar"/>
        </w:rPr>
        <w:t>出厂检验合格证明</w:t>
      </w:r>
      <w:r>
        <w:rPr>
          <w:rFonts w:hint="eastAsia" w:ascii="宋体" w:hAnsi="宋体" w:eastAsia="宋体" w:cs="宋体"/>
          <w:b w:val="0"/>
          <w:bCs w:val="0"/>
          <w:color w:val="auto"/>
          <w:kern w:val="0"/>
          <w:sz w:val="21"/>
          <w:szCs w:val="21"/>
          <w:highlight w:val="none"/>
          <w:lang w:eastAsia="zh-CN" w:bidi="ar"/>
        </w:rPr>
        <w:t>、</w:t>
      </w:r>
      <w:r>
        <w:rPr>
          <w:rFonts w:hint="eastAsia" w:ascii="宋体" w:hAnsi="宋体" w:eastAsia="宋体" w:cs="宋体"/>
          <w:b w:val="0"/>
          <w:bCs w:val="0"/>
          <w:color w:val="auto"/>
          <w:kern w:val="0"/>
          <w:sz w:val="21"/>
          <w:szCs w:val="21"/>
          <w:highlight w:val="none"/>
          <w:lang w:val="en-US" w:eastAsia="zh-CN" w:bidi="ar"/>
        </w:rPr>
        <w:t>2026年度防撞包</w:t>
      </w:r>
      <w:r>
        <w:rPr>
          <w:rFonts w:hint="eastAsia" w:ascii="宋体" w:hAnsi="宋体" w:eastAsia="宋体" w:cs="宋体"/>
          <w:b w:val="0"/>
          <w:bCs w:val="0"/>
          <w:color w:val="auto"/>
          <w:kern w:val="0"/>
          <w:sz w:val="21"/>
          <w:szCs w:val="21"/>
          <w:highlight w:val="none"/>
          <w:lang w:bidi="ar"/>
        </w:rPr>
        <w:t>产品质量险</w:t>
      </w:r>
      <w:r>
        <w:rPr>
          <w:rFonts w:hint="eastAsia" w:ascii="宋体" w:hAnsi="宋体" w:eastAsia="宋体" w:cs="宋体"/>
          <w:b w:val="0"/>
          <w:bCs w:val="0"/>
          <w:color w:val="auto"/>
          <w:kern w:val="0"/>
          <w:sz w:val="21"/>
          <w:szCs w:val="21"/>
          <w:highlight w:val="none"/>
          <w:lang w:eastAsia="zh-CN" w:bidi="ar"/>
        </w:rPr>
        <w:t>、</w:t>
      </w:r>
      <w:r>
        <w:rPr>
          <w:rFonts w:hint="eastAsia" w:ascii="宋体" w:hAnsi="宋体" w:eastAsia="宋体" w:cs="宋体"/>
          <w:b w:val="0"/>
          <w:bCs w:val="0"/>
          <w:color w:val="auto"/>
          <w:kern w:val="0"/>
          <w:sz w:val="21"/>
          <w:szCs w:val="21"/>
          <w:highlight w:val="none"/>
          <w:lang w:val="en-US" w:eastAsia="zh-CN" w:bidi="ar"/>
        </w:rPr>
        <w:t>碰撞检测报告</w:t>
      </w:r>
      <w:r>
        <w:rPr>
          <w:rFonts w:hint="eastAsia" w:ascii="宋体" w:hAnsi="宋体" w:eastAsia="宋体" w:cs="宋体"/>
          <w:b w:val="0"/>
          <w:bCs w:val="0"/>
          <w:i w:val="0"/>
          <w:iCs w:val="0"/>
          <w:caps w:val="0"/>
          <w:color w:val="auto"/>
          <w:spacing w:val="0"/>
          <w:kern w:val="0"/>
          <w:sz w:val="21"/>
          <w:szCs w:val="21"/>
          <w:highlight w:val="none"/>
          <w:lang w:bidi="ar"/>
        </w:rPr>
        <w:t>复印件</w:t>
      </w:r>
      <w:r>
        <w:rPr>
          <w:rFonts w:hint="eastAsia" w:ascii="宋体" w:hAnsi="宋体" w:eastAsia="宋体" w:cs="宋体"/>
          <w:b w:val="0"/>
          <w:bCs w:val="0"/>
          <w:i w:val="0"/>
          <w:iCs w:val="0"/>
          <w:caps w:val="0"/>
          <w:color w:val="auto"/>
          <w:spacing w:val="0"/>
          <w:kern w:val="0"/>
          <w:sz w:val="21"/>
          <w:szCs w:val="21"/>
          <w:highlight w:val="none"/>
          <w:lang w:eastAsia="zh-CN" w:bidi="ar"/>
        </w:rPr>
        <w:t>；</w:t>
      </w:r>
    </w:p>
    <w:p w14:paraId="0ADD8EFF">
      <w:pPr>
        <w:spacing w:line="360" w:lineRule="auto"/>
        <w:rPr>
          <w:rFonts w:hint="eastAsia"/>
          <w:color w:val="auto"/>
          <w:highlight w:val="none"/>
          <w:lang w:eastAsia="zh-CN"/>
        </w:rPr>
      </w:pPr>
      <w:r>
        <w:rPr>
          <w:rFonts w:hint="eastAsia" w:ascii="宋体" w:hAnsi="宋体" w:eastAsia="宋体" w:cs="宋体"/>
          <w:b w:val="0"/>
          <w:bCs w:val="0"/>
          <w:i w:val="0"/>
          <w:iCs w:val="0"/>
          <w:caps w:val="0"/>
          <w:color w:val="auto"/>
          <w:spacing w:val="0"/>
          <w:kern w:val="0"/>
          <w:sz w:val="21"/>
          <w:szCs w:val="21"/>
          <w:highlight w:val="none"/>
          <w:lang w:val="en-US" w:eastAsia="zh-CN" w:bidi="ar"/>
        </w:rPr>
        <w:t>4</w:t>
      </w:r>
      <w:r>
        <w:rPr>
          <w:rFonts w:hint="eastAsia" w:ascii="宋体" w:hAnsi="宋体" w:eastAsia="宋体" w:cs="宋体"/>
          <w:b w:val="0"/>
          <w:bCs w:val="0"/>
          <w:i w:val="0"/>
          <w:iCs w:val="0"/>
          <w:caps w:val="0"/>
          <w:color w:val="auto"/>
          <w:spacing w:val="0"/>
          <w:kern w:val="0"/>
          <w:sz w:val="21"/>
          <w:szCs w:val="21"/>
          <w:highlight w:val="none"/>
          <w:lang w:eastAsia="zh-CN" w:bidi="ar"/>
        </w:rPr>
        <w:t>）</w:t>
      </w:r>
      <w:r>
        <w:rPr>
          <w:rFonts w:hint="eastAsia" w:ascii="宋体" w:hAnsi="宋体" w:eastAsia="宋体" w:cs="宋体"/>
          <w:b w:val="0"/>
          <w:bCs w:val="0"/>
          <w:color w:val="auto"/>
          <w:kern w:val="0"/>
          <w:sz w:val="21"/>
          <w:szCs w:val="21"/>
          <w:highlight w:val="none"/>
          <w:lang w:val="en-US" w:eastAsia="zh-CN" w:bidi="ar"/>
        </w:rPr>
        <w:t>提供</w:t>
      </w:r>
      <w:r>
        <w:rPr>
          <w:rFonts w:hint="eastAsia" w:ascii="宋体" w:hAnsi="宋体" w:eastAsia="宋体" w:cs="宋体"/>
          <w:b w:val="0"/>
          <w:bCs w:val="0"/>
          <w:color w:val="auto"/>
          <w:kern w:val="0"/>
          <w:sz w:val="21"/>
          <w:szCs w:val="21"/>
          <w:highlight w:val="none"/>
          <w:lang w:bidi="ar"/>
        </w:rPr>
        <w:t>《汽车整车产品定型试验报告》</w:t>
      </w:r>
      <w:r>
        <w:rPr>
          <w:rFonts w:hint="eastAsia" w:ascii="宋体" w:hAnsi="宋体" w:eastAsia="宋体" w:cs="宋体"/>
          <w:b w:val="0"/>
          <w:bCs w:val="0"/>
          <w:color w:val="auto"/>
          <w:kern w:val="0"/>
          <w:sz w:val="21"/>
          <w:szCs w:val="21"/>
          <w:highlight w:val="none"/>
          <w:lang w:val="en-US" w:eastAsia="zh-CN" w:bidi="ar"/>
        </w:rPr>
        <w:t>复印件；</w:t>
      </w:r>
    </w:p>
    <w:p w14:paraId="56EF278D">
      <w:p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（2）技术参数偏离表（格式见附件1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2技术参数偏离表格式）；</w:t>
      </w:r>
    </w:p>
    <w:p w14:paraId="65190C7A">
      <w:p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（3）车辆配置清单（格式见附件1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3车辆配置清单）；</w:t>
      </w:r>
    </w:p>
    <w:p w14:paraId="0E815E91">
      <w:p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（4）零部件保修期限表；</w:t>
      </w:r>
    </w:p>
    <w:p w14:paraId="2F6DCC39">
      <w:pPr>
        <w:spacing w:line="360" w:lineRule="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1）部分零部件保修期限（格式见附件1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rPr>
        <w:t>1部分零部件保修期限表格式）；</w:t>
      </w:r>
    </w:p>
    <w:p w14:paraId="078432E0">
      <w:pPr>
        <w:spacing w:line="360" w:lineRule="auto"/>
        <w:ind w:left="315" w:hanging="315" w:hanging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2）产品用户使用说明书中的零部件保修期限表；</w:t>
      </w:r>
    </w:p>
    <w:p w14:paraId="461D6438">
      <w:pPr>
        <w:spacing w:line="360" w:lineRule="auto"/>
        <w:ind w:left="315" w:leftChars="-100" w:hanging="525" w:hangingChars="2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所投车辆性能；</w:t>
      </w:r>
    </w:p>
    <w:p w14:paraId="7055E552">
      <w:p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）售后服务承诺书（格式见附件1</w:t>
      </w:r>
      <w:r>
        <w:rPr>
          <w:rFonts w:hint="eastAsia" w:ascii="宋体" w:hAnsi="宋体" w:eastAsia="宋体" w:cs="宋体"/>
          <w:color w:val="auto"/>
          <w:kern w:val="0"/>
          <w:szCs w:val="21"/>
          <w:highlight w:val="none"/>
          <w:lang w:val="en-US" w:eastAsia="zh-CN"/>
        </w:rPr>
        <w:t>4.</w:t>
      </w:r>
      <w:r>
        <w:rPr>
          <w:rFonts w:hint="default"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售后服务承诺书格式）；</w:t>
      </w:r>
    </w:p>
    <w:p w14:paraId="268A17DD">
      <w:p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）质保期及服务便利性承诺书（格式见附件1</w:t>
      </w:r>
      <w:r>
        <w:rPr>
          <w:rFonts w:hint="eastAsia" w:ascii="宋体" w:hAnsi="宋体" w:eastAsia="宋体" w:cs="宋体"/>
          <w:color w:val="auto"/>
          <w:kern w:val="0"/>
          <w:szCs w:val="21"/>
          <w:highlight w:val="none"/>
          <w:lang w:val="en-US" w:eastAsia="zh-CN"/>
        </w:rPr>
        <w:t>4.7</w:t>
      </w:r>
      <w:r>
        <w:rPr>
          <w:rFonts w:hint="eastAsia" w:ascii="宋体" w:hAnsi="宋体" w:eastAsia="宋体" w:cs="宋体"/>
          <w:color w:val="auto"/>
          <w:kern w:val="0"/>
          <w:szCs w:val="21"/>
          <w:highlight w:val="none"/>
        </w:rPr>
        <w:t>质保期及服务便利性承诺书格式）；</w:t>
      </w:r>
    </w:p>
    <w:p w14:paraId="7DE56885">
      <w:pPr>
        <w:spacing w:line="360" w:lineRule="auto"/>
        <w:ind w:left="105" w:leftChars="-100" w:hanging="315" w:hanging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）投标人认为有必要提供的其它材料（不做强制要求）。</w:t>
      </w:r>
    </w:p>
    <w:p w14:paraId="2834EB82">
      <w:pPr>
        <w:autoSpaceDE w:val="0"/>
        <w:autoSpaceDN w:val="0"/>
        <w:adjustRightInd w:val="0"/>
        <w:spacing w:line="360" w:lineRule="auto"/>
        <w:ind w:left="422" w:leftChars="-100" w:hanging="632" w:hangingChars="300"/>
        <w:rPr>
          <w:rFonts w:ascii="宋体" w:hAnsi="宋体" w:eastAsia="宋体" w:cs="宋体"/>
          <w:color w:val="auto"/>
          <w:kern w:val="0"/>
          <w:szCs w:val="21"/>
          <w:highlight w:val="none"/>
          <w:lang w:val="zh-CN"/>
        </w:rPr>
      </w:pPr>
      <w:r>
        <w:rPr>
          <w:rFonts w:hint="eastAsia" w:ascii="宋体" w:hAnsi="宋体" w:eastAsia="宋体" w:cs="宋体"/>
          <w:b/>
          <w:color w:val="auto"/>
          <w:kern w:val="0"/>
          <w:szCs w:val="21"/>
          <w:highlight w:val="none"/>
        </w:rPr>
        <w:t>9.1.3</w:t>
      </w:r>
      <w:r>
        <w:rPr>
          <w:rFonts w:hint="eastAsia" w:ascii="宋体" w:hAnsi="宋体" w:eastAsia="宋体" w:cs="宋体"/>
          <w:b/>
          <w:color w:val="auto"/>
          <w:kern w:val="0"/>
          <w:szCs w:val="21"/>
          <w:highlight w:val="none"/>
          <w:lang w:val="en-US" w:eastAsia="zh-CN"/>
        </w:rPr>
        <w:t xml:space="preserve"> </w:t>
      </w:r>
      <w:r>
        <w:rPr>
          <w:rFonts w:hint="eastAsia" w:ascii="宋体" w:hAnsi="宋体" w:eastAsia="宋体" w:cs="宋体"/>
          <w:b/>
          <w:bCs/>
          <w:color w:val="auto"/>
          <w:kern w:val="0"/>
          <w:szCs w:val="21"/>
          <w:highlight w:val="none"/>
          <w:lang w:val="zh-CN"/>
        </w:rPr>
        <w:t>投标文件电子文件</w:t>
      </w:r>
      <w:r>
        <w:rPr>
          <w:rFonts w:hint="eastAsia" w:ascii="宋体" w:hAnsi="宋体" w:eastAsia="宋体" w:cs="宋体"/>
          <w:color w:val="auto"/>
          <w:kern w:val="0"/>
          <w:szCs w:val="21"/>
          <w:highlight w:val="none"/>
          <w:lang w:val="zh-CN"/>
        </w:rPr>
        <w:t>（详细要求见本篇第17.</w:t>
      </w:r>
      <w:r>
        <w:rPr>
          <w:rFonts w:ascii="宋体" w:hAnsi="宋体" w:eastAsia="宋体" w:cs="宋体"/>
          <w:color w:val="auto"/>
          <w:kern w:val="0"/>
          <w:szCs w:val="21"/>
          <w:highlight w:val="none"/>
          <w:lang w:val="zh-CN"/>
        </w:rPr>
        <w:t>5</w:t>
      </w:r>
      <w:r>
        <w:rPr>
          <w:rFonts w:hint="eastAsia" w:ascii="宋体" w:hAnsi="宋体" w:eastAsia="宋体" w:cs="宋体"/>
          <w:color w:val="auto"/>
          <w:kern w:val="0"/>
          <w:szCs w:val="21"/>
          <w:highlight w:val="none"/>
          <w:lang w:val="zh-CN"/>
        </w:rPr>
        <w:t>款）</w:t>
      </w:r>
    </w:p>
    <w:p w14:paraId="6DA8408C">
      <w:pPr>
        <w:autoSpaceDE w:val="0"/>
        <w:autoSpaceDN w:val="0"/>
        <w:adjustRightInd w:val="0"/>
        <w:spacing w:line="360" w:lineRule="auto"/>
        <w:ind w:left="35" w:leftChars="-118" w:hanging="283" w:hangingChars="135"/>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（1）签字、盖章后的投标文件扫描版PDF格式电子文件。</w:t>
      </w:r>
    </w:p>
    <w:p w14:paraId="6B7420B1">
      <w:pPr>
        <w:autoSpaceDE w:val="0"/>
        <w:autoSpaceDN w:val="0"/>
        <w:adjustRightInd w:val="0"/>
        <w:spacing w:line="360" w:lineRule="auto"/>
        <w:ind w:left="422" w:leftChars="-100" w:hanging="632" w:hangingChars="300"/>
        <w:rPr>
          <w:rFonts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9.1.4 唱标信封（单独密封）</w:t>
      </w:r>
    </w:p>
    <w:p w14:paraId="52CA0BBF">
      <w:pPr>
        <w:spacing w:line="360" w:lineRule="auto"/>
        <w:ind w:left="105" w:leftChars="-100" w:hanging="315" w:hangingChars="150"/>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（1）投标报价表；</w:t>
      </w:r>
    </w:p>
    <w:p w14:paraId="03B98C1D">
      <w:pPr>
        <w:spacing w:line="360" w:lineRule="auto"/>
        <w:ind w:left="105" w:leftChars="-100" w:hanging="315" w:hangingChars="150"/>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（2）投标保证金汇入情况说明（一式两份）。</w:t>
      </w:r>
    </w:p>
    <w:p w14:paraId="6636444D">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9.2  投标人按照投标文件的组成目录编制投标文件应包括上述内容，但不限于上述内容。招标文件提供了相关格式的，严格按照招标文件的要求编制，投标文件未含格式的，投标人自行编制。投标文件编制中要求的复印件、照片可为该资料扫描件的打印件。</w:t>
      </w:r>
    </w:p>
    <w:p w14:paraId="4A35A021">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9.3  </w:t>
      </w:r>
      <w:r>
        <w:rPr>
          <w:rFonts w:hint="eastAsia" w:ascii="宋体" w:hAnsi="宋体" w:eastAsia="宋体" w:cs="宋体"/>
          <w:b/>
          <w:color w:val="auto"/>
          <w:szCs w:val="21"/>
          <w:highlight w:val="none"/>
          <w:u w:val="single"/>
          <w:lang w:val="zh-CN"/>
        </w:rPr>
        <w:t>投标文件中相关证件、证书、合同、</w:t>
      </w:r>
      <w:r>
        <w:rPr>
          <w:rFonts w:hint="eastAsia" w:ascii="宋体" w:hAnsi="宋体" w:eastAsia="宋体" w:cs="Times New Roman"/>
          <w:b/>
          <w:color w:val="auto"/>
          <w:szCs w:val="21"/>
          <w:highlight w:val="none"/>
          <w:u w:val="single"/>
          <w:lang w:val="zh-CN"/>
        </w:rPr>
        <w:t>发票、照片</w:t>
      </w:r>
      <w:r>
        <w:rPr>
          <w:rFonts w:hint="eastAsia" w:ascii="宋体" w:hAnsi="宋体" w:eastAsia="宋体" w:cs="宋体"/>
          <w:b/>
          <w:color w:val="auto"/>
          <w:szCs w:val="21"/>
          <w:highlight w:val="none"/>
          <w:u w:val="single"/>
          <w:lang w:val="zh-CN"/>
        </w:rPr>
        <w:t>等证明材料中的原始印章、签名、关键内容必须清晰、可辨认，否则视为无效证明材料；投标文件中存在外文资料的，投标人必须同时提供中文译本，且必须保证中文译本的准确，否则招标人不予认可，视为无效材料；投标人须承担因此对应造成投标无效，或评标时因无效证明材料不得分，或拒绝接受投标的风险</w:t>
      </w:r>
      <w:r>
        <w:rPr>
          <w:rFonts w:hint="eastAsia" w:ascii="宋体" w:hAnsi="宋体" w:eastAsia="宋体" w:cs="宋体"/>
          <w:color w:val="auto"/>
          <w:szCs w:val="21"/>
          <w:highlight w:val="none"/>
          <w:lang w:val="zh-CN"/>
        </w:rPr>
        <w:t>。</w:t>
      </w:r>
    </w:p>
    <w:p w14:paraId="7DDCCB8C">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p>
    <w:p w14:paraId="0A34741F">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15" w:name="_Toc6234"/>
      <w:bookmarkStart w:id="116" w:name="_Toc450662860"/>
      <w:bookmarkStart w:id="117" w:name="_Toc16534"/>
      <w:bookmarkStart w:id="118" w:name="_Toc18697"/>
      <w:bookmarkStart w:id="119" w:name="_Toc486167674"/>
      <w:bookmarkStart w:id="120" w:name="_Toc142508324"/>
      <w:bookmarkStart w:id="121" w:name="_Toc8675_WPSOffice_Level3"/>
      <w:r>
        <w:rPr>
          <w:rFonts w:hint="eastAsia" w:ascii="宋体" w:hAnsi="宋体" w:eastAsia="宋体" w:cs="宋体"/>
          <w:color w:val="auto"/>
          <w:szCs w:val="21"/>
          <w:highlight w:val="none"/>
          <w:lang w:val="zh-CN"/>
        </w:rPr>
        <w:t>10</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投标函</w:t>
      </w:r>
      <w:bookmarkEnd w:id="115"/>
      <w:bookmarkEnd w:id="116"/>
      <w:bookmarkEnd w:id="117"/>
      <w:bookmarkEnd w:id="118"/>
      <w:bookmarkEnd w:id="119"/>
      <w:bookmarkEnd w:id="120"/>
      <w:bookmarkEnd w:id="121"/>
    </w:p>
    <w:p w14:paraId="0F3FCD81">
      <w:pPr>
        <w:autoSpaceDE w:val="0"/>
        <w:autoSpaceDN w:val="0"/>
        <w:adjustRightInd w:val="0"/>
        <w:spacing w:line="360" w:lineRule="auto"/>
        <w:ind w:left="265" w:leftChars="119" w:hanging="15"/>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投标人应完整填写投标文件格式中规定的投标函。</w:t>
      </w:r>
    </w:p>
    <w:p w14:paraId="5C2F8F44">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22" w:name="_Toc6905"/>
      <w:bookmarkStart w:id="123" w:name="_Toc142508325"/>
      <w:bookmarkStart w:id="124" w:name="_Toc4385_WPSOffice_Level3"/>
      <w:bookmarkStart w:id="125" w:name="_Toc28822"/>
      <w:bookmarkStart w:id="126" w:name="_Toc12598"/>
      <w:bookmarkStart w:id="127" w:name="_Toc450662861"/>
      <w:bookmarkStart w:id="128" w:name="_Toc486167675"/>
      <w:r>
        <w:rPr>
          <w:rFonts w:hint="eastAsia" w:ascii="宋体" w:hAnsi="宋体" w:eastAsia="宋体" w:cs="宋体"/>
          <w:color w:val="auto"/>
          <w:szCs w:val="21"/>
          <w:highlight w:val="none"/>
          <w:lang w:val="zh-CN"/>
        </w:rPr>
        <w:t>11</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投标报价</w:t>
      </w:r>
      <w:bookmarkEnd w:id="122"/>
      <w:bookmarkEnd w:id="123"/>
      <w:bookmarkEnd w:id="124"/>
      <w:bookmarkEnd w:id="125"/>
      <w:bookmarkEnd w:id="126"/>
      <w:bookmarkEnd w:id="127"/>
      <w:bookmarkEnd w:id="128"/>
    </w:p>
    <w:p w14:paraId="592EF1A3">
      <w:pPr>
        <w:tabs>
          <w:tab w:val="left" w:pos="567"/>
        </w:tabs>
        <w:autoSpaceDE w:val="0"/>
        <w:autoSpaceDN w:val="0"/>
        <w:adjustRightInd w:val="0"/>
        <w:spacing w:line="360" w:lineRule="auto"/>
        <w:ind w:left="357" w:leftChars="-100" w:hanging="567"/>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11.1 本项目</w:t>
      </w:r>
      <w:r>
        <w:rPr>
          <w:rFonts w:hint="eastAsia" w:ascii="宋体" w:hAnsi="宋体" w:eastAsia="宋体" w:cs="Times New Roman"/>
          <w:b/>
          <w:color w:val="auto"/>
          <w:szCs w:val="21"/>
          <w:highlight w:val="none"/>
          <w:lang w:val="zh-CN"/>
        </w:rPr>
        <w:t>只允许有一个报价价格，任何有选择的或</w:t>
      </w:r>
      <w:r>
        <w:rPr>
          <w:rFonts w:hint="eastAsia" w:ascii="宋体" w:hAnsi="宋体" w:eastAsia="宋体" w:cs="Times New Roman"/>
          <w:b/>
          <w:color w:val="auto"/>
          <w:kern w:val="0"/>
          <w:szCs w:val="21"/>
          <w:highlight w:val="none"/>
          <w:lang w:val="zh-CN"/>
        </w:rPr>
        <w:t>不是固定价的</w:t>
      </w:r>
      <w:r>
        <w:rPr>
          <w:rFonts w:hint="eastAsia" w:ascii="宋体" w:hAnsi="宋体" w:eastAsia="宋体" w:cs="Times New Roman"/>
          <w:b/>
          <w:color w:val="auto"/>
          <w:szCs w:val="21"/>
          <w:highlight w:val="none"/>
          <w:lang w:val="zh-CN"/>
        </w:rPr>
        <w:t>投标报价将不予接受，</w:t>
      </w:r>
      <w:r>
        <w:rPr>
          <w:rFonts w:hint="eastAsia" w:ascii="宋体" w:hAnsi="宋体" w:eastAsia="宋体" w:cs="Times New Roman"/>
          <w:b/>
          <w:color w:val="auto"/>
          <w:kern w:val="0"/>
          <w:szCs w:val="21"/>
          <w:highlight w:val="none"/>
          <w:lang w:val="zh-CN"/>
        </w:rPr>
        <w:t>作为非实质性响应投标而予以拒绝。</w:t>
      </w:r>
      <w:r>
        <w:rPr>
          <w:rFonts w:hint="eastAsia" w:ascii="宋体" w:hAnsi="宋体" w:eastAsia="宋体" w:cs="Times New Roman"/>
          <w:b/>
          <w:color w:val="auto"/>
          <w:kern w:val="0"/>
          <w:szCs w:val="21"/>
          <w:highlight w:val="none"/>
        </w:rPr>
        <w:t>投标人不得以低于企业自身成本的价格竞投</w:t>
      </w:r>
      <w:r>
        <w:rPr>
          <w:rFonts w:hint="eastAsia" w:ascii="宋体" w:hAnsi="宋体" w:eastAsia="宋体" w:cs="宋体"/>
          <w:b/>
          <w:color w:val="auto"/>
          <w:szCs w:val="21"/>
          <w:highlight w:val="none"/>
          <w:lang w:val="zh-CN"/>
        </w:rPr>
        <w:t>。</w:t>
      </w:r>
    </w:p>
    <w:p w14:paraId="0E4B167F">
      <w:pPr>
        <w:tabs>
          <w:tab w:val="left" w:pos="567"/>
        </w:tabs>
        <w:autoSpaceDE w:val="0"/>
        <w:autoSpaceDN w:val="0"/>
        <w:adjustRightInd w:val="0"/>
        <w:spacing w:line="360" w:lineRule="auto"/>
        <w:ind w:left="420" w:leftChars="200" w:firstLine="42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若投标人出现超低报价，有可能影响服务质量和不能诚信履约的，评标委员会将要求该投标人作出书面说明并提供相关证明材料，以确定投标人是否以低于企业成本价报价。若投标人不能合理说明或不能提供相关证明材料的，评标委员会将认定其投标报价低于成本，同时否决其投标。</w:t>
      </w:r>
    </w:p>
    <w:p w14:paraId="28A2015D">
      <w:pPr>
        <w:tabs>
          <w:tab w:val="left" w:pos="567"/>
        </w:tabs>
        <w:autoSpaceDE w:val="0"/>
        <w:autoSpaceDN w:val="0"/>
        <w:adjustRightInd w:val="0"/>
        <w:spacing w:line="360" w:lineRule="auto"/>
        <w:ind w:left="420" w:leftChars="200" w:firstLine="420"/>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对是否低于企业成本价报价的事宜有争议的投标文件，评标委员会成员将以记名方式表决，</w:t>
      </w:r>
      <w:r>
        <w:rPr>
          <w:rFonts w:hint="eastAsia" w:ascii="宋体" w:hAnsi="宋体" w:eastAsia="宋体" w:cs="宋体"/>
          <w:b/>
          <w:color w:val="auto"/>
          <w:szCs w:val="21"/>
          <w:highlight w:val="none"/>
          <w:lang w:val="en-US" w:eastAsia="zh-CN"/>
        </w:rPr>
        <w:t>根据少数服从多数的原则，获多数表决通过</w:t>
      </w:r>
      <w:r>
        <w:rPr>
          <w:rFonts w:hint="eastAsia" w:ascii="宋体" w:hAnsi="宋体" w:eastAsia="宋体" w:cs="宋体"/>
          <w:b/>
          <w:color w:val="auto"/>
          <w:szCs w:val="21"/>
          <w:highlight w:val="none"/>
          <w:lang w:val="zh-CN"/>
        </w:rPr>
        <w:t>的投标人才有资格进入下一阶段的评审，否则将按无效投标处理。</w:t>
      </w:r>
    </w:p>
    <w:p w14:paraId="6EA0122F">
      <w:pPr>
        <w:autoSpaceDE w:val="0"/>
        <w:autoSpaceDN w:val="0"/>
        <w:adjustRightInd w:val="0"/>
        <w:spacing w:line="360" w:lineRule="auto"/>
        <w:ind w:left="357" w:leftChars="-100" w:hanging="567"/>
        <w:rPr>
          <w:rFonts w:ascii="宋体" w:hAnsi="宋体" w:eastAsia="宋体" w:cs="宋体"/>
          <w:color w:val="auto"/>
          <w:kern w:val="0"/>
          <w:szCs w:val="21"/>
          <w:highlight w:val="none"/>
        </w:rPr>
      </w:pPr>
      <w:r>
        <w:rPr>
          <w:rFonts w:hint="eastAsia" w:ascii="宋体" w:hAnsi="宋体" w:eastAsia="宋体" w:cs="宋体"/>
          <w:color w:val="auto"/>
          <w:szCs w:val="21"/>
          <w:highlight w:val="none"/>
          <w:lang w:val="zh-CN"/>
        </w:rPr>
        <w:t>11.2</w:t>
      </w:r>
      <w:r>
        <w:rPr>
          <w:rFonts w:hint="eastAsia" w:ascii="宋体" w:hAnsi="宋体" w:eastAsia="宋体" w:cs="宋体"/>
          <w:color w:val="auto"/>
          <w:szCs w:val="21"/>
          <w:highlight w:val="none"/>
          <w:lang w:val="zh-CN"/>
        </w:rPr>
        <w:tab/>
      </w:r>
      <w:r>
        <w:rPr>
          <w:rFonts w:hint="eastAsia" w:ascii="宋体" w:hAnsi="宋体" w:eastAsia="宋体" w:cs="宋体"/>
          <w:color w:val="auto"/>
          <w:kern w:val="0"/>
          <w:szCs w:val="21"/>
          <w:highlight w:val="none"/>
        </w:rPr>
        <w:t xml:space="preserve">本采购项目投标报价已含投标人履行本招标内容全部义务的一切费用，包括但不限于： </w:t>
      </w:r>
    </w:p>
    <w:p w14:paraId="2B54AEE1">
      <w:pPr>
        <w:tabs>
          <w:tab w:val="left" w:pos="7140"/>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本招标文件所列货物、零配件、原材料及生产制造、检验、包装、利润、关税、保险、管理、运输（包括退货运输费）、装卸费、人工费、安装调试、人员培训、技术服务（包括技术资料、图纸的提供）、车辆入户登记费用、上牌服务费、车辆购置税、首年车船税、增值税、验车费、首年交强险、首年商业保险【机动车损失保险、第三者责任保险</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val="zh-CN"/>
        </w:rPr>
        <w:t>00万元保额、车上人员（</w:t>
      </w:r>
      <w:r>
        <w:rPr>
          <w:rFonts w:hint="eastAsia" w:ascii="宋体" w:hAnsi="宋体" w:eastAsia="宋体" w:cs="宋体"/>
          <w:color w:val="auto"/>
          <w:kern w:val="0"/>
          <w:szCs w:val="21"/>
          <w:highlight w:val="none"/>
        </w:rPr>
        <w:t>驾驶员和乘客，</w:t>
      </w:r>
      <w:r>
        <w:rPr>
          <w:rFonts w:hint="eastAsia" w:ascii="宋体" w:hAnsi="宋体" w:eastAsia="宋体" w:cs="宋体"/>
          <w:color w:val="auto"/>
          <w:sz w:val="21"/>
          <w:szCs w:val="21"/>
          <w:highlight w:val="none"/>
        </w:rPr>
        <w:t>核定座位数*</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0万元/</w:t>
      </w:r>
      <w:r>
        <w:rPr>
          <w:rFonts w:hint="eastAsia" w:ascii="宋体" w:hAnsi="宋体" w:eastAsia="宋体" w:cs="宋体"/>
          <w:color w:val="auto"/>
          <w:sz w:val="21"/>
          <w:szCs w:val="21"/>
          <w:highlight w:val="none"/>
          <w:lang w:val="en-US" w:eastAsia="zh-CN"/>
        </w:rPr>
        <w:t>座</w:t>
      </w:r>
      <w:r>
        <w:rPr>
          <w:rFonts w:hint="eastAsia" w:ascii="宋体" w:hAnsi="宋体" w:eastAsia="宋体" w:cs="宋体"/>
          <w:color w:val="auto"/>
          <w:sz w:val="21"/>
          <w:szCs w:val="21"/>
          <w:highlight w:val="none"/>
        </w:rPr>
        <w:t>保额</w:t>
      </w:r>
      <w:r>
        <w:rPr>
          <w:rFonts w:hint="eastAsia" w:ascii="宋体" w:hAnsi="宋体" w:eastAsia="宋体" w:cs="宋体"/>
          <w:color w:val="auto"/>
          <w:szCs w:val="21"/>
          <w:highlight w:val="none"/>
          <w:lang w:val="zh-CN"/>
        </w:rPr>
        <w:t>）责任保险】、车身喷涂（按招标人要求）、检测及验收合格之前及质保期内维修维护、售后服务等全部费用；</w:t>
      </w:r>
    </w:p>
    <w:p w14:paraId="0858D3A5">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（2）货物验收合格前发生的安全事故所产生的一切费用；</w:t>
      </w:r>
    </w:p>
    <w:p w14:paraId="6FC4E8F8">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（3）投标货物及其工艺所有制造方、使用方应支付的对专有技术、商标权、专利权和版权、设计或其他知识产权而需要向其他方支付的版税；</w:t>
      </w:r>
    </w:p>
    <w:p w14:paraId="48529BD5">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（4）技术培训，日常技术指导，免费的质保服务，包括但不限于免费现场质量问题处理或更换无效产品；</w:t>
      </w:r>
    </w:p>
    <w:p w14:paraId="5C6E0AB8">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（5）合理利润、税费（含货款的增值税专用发票的税金）、</w:t>
      </w:r>
      <w:r>
        <w:rPr>
          <w:rFonts w:hint="eastAsia" w:ascii="宋体" w:hAnsi="宋体" w:eastAsia="宋体" w:cs="宋体"/>
          <w:color w:val="auto"/>
          <w:szCs w:val="21"/>
          <w:highlight w:val="none"/>
          <w:lang w:val="en-US" w:eastAsia="zh-CN"/>
        </w:rPr>
        <w:t>中标服务费</w:t>
      </w:r>
      <w:r>
        <w:rPr>
          <w:rFonts w:hint="eastAsia" w:ascii="宋体" w:hAnsi="宋体" w:eastAsia="宋体" w:cs="宋体"/>
          <w:color w:val="auto"/>
          <w:szCs w:val="21"/>
          <w:highlight w:val="none"/>
          <w:lang w:val="zh-CN"/>
        </w:rPr>
        <w:t>等；</w:t>
      </w:r>
    </w:p>
    <w:p w14:paraId="5378A301">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（6）法律法规、商业公认、招标文件规定由投标人承担的其他直接及间接费用。</w:t>
      </w:r>
    </w:p>
    <w:p w14:paraId="4109BADE">
      <w:pPr>
        <w:autoSpaceDE w:val="0"/>
        <w:autoSpaceDN w:val="0"/>
        <w:adjustRightInd w:val="0"/>
        <w:spacing w:line="360" w:lineRule="auto"/>
        <w:ind w:left="357" w:leftChars="-100" w:hanging="567"/>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r>
        <w:rPr>
          <w:rFonts w:ascii="宋体" w:hAnsi="宋体" w:eastAsia="宋体" w:cs="宋体"/>
          <w:color w:val="auto"/>
          <w:kern w:val="0"/>
          <w:szCs w:val="21"/>
          <w:highlight w:val="none"/>
        </w:rPr>
        <w:t xml:space="preserve"> </w:t>
      </w:r>
      <w:r>
        <w:rPr>
          <w:rFonts w:hint="eastAsia" w:ascii="宋体" w:hAnsi="宋体" w:eastAsia="宋体" w:cs="Times New Roman"/>
          <w:color w:val="auto"/>
          <w:szCs w:val="21"/>
          <w:highlight w:val="none"/>
          <w:lang w:val="zh-CN"/>
        </w:rPr>
        <w:t>投标人根据</w:t>
      </w:r>
      <w:r>
        <w:rPr>
          <w:color w:val="auto"/>
          <w:highlight w:val="none"/>
        </w:rPr>
        <w:fldChar w:fldCharType="begin"/>
      </w:r>
      <w:r>
        <w:rPr>
          <w:color w:val="auto"/>
          <w:highlight w:val="none"/>
        </w:rP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rPr>
          <w:color w:val="auto"/>
          <w:highlight w:val="none"/>
        </w:rPr>
        <w:fldChar w:fldCharType="separate"/>
      </w:r>
      <w:r>
        <w:rPr>
          <w:rFonts w:hint="eastAsia" w:ascii="宋体" w:hAnsi="宋体" w:eastAsia="宋体" w:cs="Times New Roman"/>
          <w:color w:val="auto"/>
          <w:szCs w:val="21"/>
          <w:highlight w:val="none"/>
          <w:lang w:val="zh-CN"/>
        </w:rPr>
        <w:t>第</w:t>
      </w:r>
      <w:r>
        <w:rPr>
          <w:rFonts w:ascii="宋体" w:hAnsi="宋体" w:eastAsia="宋体" w:cs="Times New Roman"/>
          <w:color w:val="auto"/>
          <w:szCs w:val="21"/>
          <w:highlight w:val="none"/>
          <w:lang w:val="zh-CN"/>
        </w:rPr>
        <w:t>11.</w:t>
      </w:r>
      <w:r>
        <w:rPr>
          <w:rFonts w:hint="eastAsia" w:ascii="宋体" w:hAnsi="宋体" w:eastAsia="宋体" w:cs="Times New Roman"/>
          <w:color w:val="auto"/>
          <w:szCs w:val="21"/>
          <w:highlight w:val="none"/>
        </w:rPr>
        <w:t>2</w:t>
      </w:r>
      <w:r>
        <w:rPr>
          <w:rFonts w:hint="eastAsia" w:ascii="宋体" w:hAnsi="宋体" w:eastAsia="宋体" w:cs="Times New Roman"/>
          <w:color w:val="auto"/>
          <w:szCs w:val="21"/>
          <w:highlight w:val="none"/>
          <w:lang w:val="zh-CN"/>
        </w:rPr>
        <w:t>款</w:t>
      </w:r>
      <w:r>
        <w:rPr>
          <w:rFonts w:hint="eastAsia" w:ascii="宋体" w:hAnsi="宋体" w:eastAsia="宋体" w:cs="Times New Roman"/>
          <w:color w:val="auto"/>
          <w:szCs w:val="21"/>
          <w:highlight w:val="none"/>
          <w:lang w:val="zh-CN"/>
        </w:rPr>
        <w:fldChar w:fldCharType="end"/>
      </w:r>
      <w:r>
        <w:rPr>
          <w:rFonts w:hint="eastAsia" w:ascii="宋体" w:hAnsi="宋体" w:eastAsia="宋体" w:cs="Times New Roman"/>
          <w:color w:val="auto"/>
          <w:szCs w:val="21"/>
          <w:highlight w:val="none"/>
          <w:lang w:val="zh-CN"/>
        </w:rPr>
        <w:t>所报的价格分项仅供评标委员会评审时使用；在任何情况下不限制投标人以不同的条件中标的权利。</w:t>
      </w:r>
    </w:p>
    <w:p w14:paraId="1007EA19">
      <w:pPr>
        <w:autoSpaceDE w:val="0"/>
        <w:autoSpaceDN w:val="0"/>
        <w:adjustRightInd w:val="0"/>
        <w:spacing w:line="360" w:lineRule="auto"/>
        <w:ind w:left="268" w:leftChars="-100" w:hanging="478" w:hangingChars="228"/>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11.4 在合同期间，投标报价不随国家政策或法规、标准、市场因素及采购数量的变化而进行调整</w:t>
      </w:r>
      <w:r>
        <w:rPr>
          <w:rFonts w:hint="eastAsia" w:ascii="宋体" w:hAnsi="宋体" w:eastAsia="宋体" w:cs="Times New Roman"/>
          <w:color w:val="auto"/>
          <w:kern w:val="0"/>
          <w:szCs w:val="21"/>
          <w:highlight w:val="none"/>
          <w:lang w:val="zh-CN"/>
        </w:rPr>
        <w:t>。</w:t>
      </w:r>
      <w:r>
        <w:rPr>
          <w:rFonts w:hint="eastAsia" w:ascii="宋体" w:hAnsi="宋体" w:eastAsia="宋体" w:cs="宋体"/>
          <w:color w:val="auto"/>
          <w:kern w:val="0"/>
          <w:szCs w:val="21"/>
          <w:highlight w:val="none"/>
        </w:rPr>
        <w:t xml:space="preserve"> </w:t>
      </w:r>
    </w:p>
    <w:p w14:paraId="02FDB85B">
      <w:pPr>
        <w:autoSpaceDE w:val="0"/>
        <w:autoSpaceDN w:val="0"/>
        <w:adjustRightInd w:val="0"/>
        <w:spacing w:line="360" w:lineRule="auto"/>
        <w:ind w:left="357" w:leftChars="-100" w:hanging="567"/>
        <w:rPr>
          <w:rFonts w:ascii="宋体" w:hAnsi="宋体" w:eastAsia="宋体" w:cs="Times New Roman"/>
          <w:b/>
          <w:bCs/>
          <w:color w:val="auto"/>
          <w:szCs w:val="21"/>
          <w:highlight w:val="none"/>
          <w:lang w:val="zh-CN"/>
        </w:rPr>
      </w:pPr>
      <w:r>
        <w:rPr>
          <w:rFonts w:hint="eastAsia" w:ascii="宋体" w:hAnsi="宋体" w:eastAsia="宋体" w:cs="宋体"/>
          <w:color w:val="auto"/>
          <w:szCs w:val="21"/>
          <w:highlight w:val="none"/>
          <w:lang w:val="zh-CN"/>
        </w:rPr>
        <w:t xml:space="preserve">11.5 </w:t>
      </w:r>
      <w:r>
        <w:rPr>
          <w:rFonts w:hint="eastAsia" w:ascii="宋体" w:hAnsi="宋体" w:eastAsia="宋体" w:cs="Times New Roman"/>
          <w:b/>
          <w:bCs/>
          <w:color w:val="auto"/>
          <w:szCs w:val="21"/>
          <w:highlight w:val="none"/>
          <w:lang w:val="zh-CN"/>
        </w:rPr>
        <w:t>合同项下，招标人需要的货物及</w:t>
      </w:r>
      <w:r>
        <w:rPr>
          <w:rFonts w:hint="eastAsia" w:ascii="宋体" w:hAnsi="宋体" w:eastAsia="宋体" w:cs="Times New Roman"/>
          <w:b/>
          <w:bCs/>
          <w:color w:val="auto"/>
          <w:szCs w:val="21"/>
          <w:highlight w:val="none"/>
          <w:lang w:val="en-US" w:eastAsia="zh-CN"/>
        </w:rPr>
        <w:t>有关</w:t>
      </w:r>
      <w:r>
        <w:rPr>
          <w:rFonts w:hint="eastAsia" w:ascii="宋体" w:hAnsi="宋体" w:eastAsia="宋体" w:cs="Times New Roman"/>
          <w:b/>
          <w:bCs/>
          <w:color w:val="auto"/>
          <w:szCs w:val="21"/>
          <w:highlight w:val="none"/>
          <w:lang w:val="zh-CN"/>
        </w:rPr>
        <w:t>服务所需的费用，投标人都应计入投标报价总价。</w:t>
      </w:r>
    </w:p>
    <w:p w14:paraId="4983E289">
      <w:pPr>
        <w:autoSpaceDE w:val="0"/>
        <w:autoSpaceDN w:val="0"/>
        <w:adjustRightInd w:val="0"/>
        <w:spacing w:line="360" w:lineRule="auto"/>
        <w:ind w:left="357" w:leftChars="-100" w:hanging="567"/>
        <w:rPr>
          <w:rFonts w:ascii="宋体" w:hAnsi="宋体" w:eastAsia="宋体" w:cs="宋体"/>
          <w:b/>
          <w:color w:val="auto"/>
          <w:szCs w:val="21"/>
          <w:highlight w:val="none"/>
          <w:u w:val="single"/>
          <w:lang w:val="zh-CN"/>
        </w:rPr>
      </w:pPr>
      <w:r>
        <w:rPr>
          <w:rFonts w:hint="eastAsia" w:ascii="宋体" w:hAnsi="宋体" w:eastAsia="宋体" w:cs="宋体"/>
          <w:color w:val="auto"/>
          <w:szCs w:val="21"/>
          <w:highlight w:val="none"/>
          <w:lang w:val="zh-CN"/>
        </w:rPr>
        <w:t>11.6</w:t>
      </w:r>
      <w:r>
        <w:rPr>
          <w:rFonts w:hint="eastAsia" w:ascii="宋体" w:hAnsi="宋体" w:eastAsia="宋体" w:cs="Times New Roman"/>
          <w:b/>
          <w:bCs/>
          <w:color w:val="auto"/>
          <w:szCs w:val="21"/>
          <w:highlight w:val="none"/>
          <w:u w:val="single"/>
        </w:rPr>
        <w:t xml:space="preserve"> </w:t>
      </w:r>
      <w:r>
        <w:rPr>
          <w:rFonts w:hint="eastAsia" w:ascii="宋体" w:hAnsi="宋体" w:eastAsia="宋体" w:cs="宋体"/>
          <w:b/>
          <w:color w:val="auto"/>
          <w:szCs w:val="21"/>
          <w:highlight w:val="none"/>
          <w:u w:val="single"/>
          <w:lang w:val="zh-CN"/>
        </w:rPr>
        <w:t>投标人</w:t>
      </w:r>
      <w:r>
        <w:rPr>
          <w:rFonts w:hint="eastAsia" w:ascii="宋体" w:hAnsi="宋体" w:eastAsia="宋体" w:cs="Times New Roman"/>
          <w:b/>
          <w:bCs/>
          <w:color w:val="auto"/>
          <w:kern w:val="0"/>
          <w:szCs w:val="24"/>
          <w:highlight w:val="none"/>
          <w:u w:val="single"/>
        </w:rPr>
        <w:t>的综合单价或投标总报价高于本项目采购限价的，该投标人的投标文件将被视为无效投标</w:t>
      </w:r>
      <w:r>
        <w:rPr>
          <w:rFonts w:hint="eastAsia" w:ascii="宋体" w:hAnsi="宋体" w:eastAsia="宋体" w:cs="宋体"/>
          <w:b/>
          <w:color w:val="auto"/>
          <w:szCs w:val="21"/>
          <w:highlight w:val="none"/>
          <w:u w:val="single"/>
          <w:lang w:val="zh-CN"/>
        </w:rPr>
        <w:t>。</w:t>
      </w:r>
    </w:p>
    <w:p w14:paraId="2ECD25E9">
      <w:pPr>
        <w:autoSpaceDE w:val="0"/>
        <w:autoSpaceDN w:val="0"/>
        <w:adjustRightInd w:val="0"/>
        <w:spacing w:line="360" w:lineRule="auto"/>
        <w:ind w:left="357" w:leftChars="-100" w:hanging="567" w:firstLineChars="0"/>
        <w:rPr>
          <w:rFonts w:hint="eastAsia" w:ascii="宋体" w:hAnsi="宋体" w:eastAsia="宋体" w:cs="Times New Roman"/>
          <w:b/>
          <w:bCs/>
          <w:color w:val="auto"/>
          <w:szCs w:val="21"/>
          <w:highlight w:val="none"/>
          <w:lang w:val="en-US"/>
        </w:rPr>
      </w:pPr>
      <w:r>
        <w:rPr>
          <w:rFonts w:hint="eastAsia" w:ascii="宋体" w:hAnsi="宋体" w:eastAsia="宋体" w:cs="宋体"/>
          <w:b/>
          <w:bCs/>
          <w:color w:val="auto"/>
          <w:szCs w:val="21"/>
          <w:highlight w:val="none"/>
          <w:lang w:val="zh-CN"/>
        </w:rPr>
        <w:t>含税单价采购限价为：</w:t>
      </w:r>
      <w:r>
        <w:rPr>
          <w:rFonts w:hint="eastAsia" w:ascii="宋体" w:hAnsi="宋体" w:eastAsia="宋体" w:cs="Times New Roman"/>
          <w:b/>
          <w:bCs/>
          <w:color w:val="auto"/>
          <w:sz w:val="21"/>
          <w:szCs w:val="21"/>
          <w:highlight w:val="none"/>
          <w:lang w:val="en-US" w:eastAsia="zh-CN"/>
        </w:rPr>
        <w:t>233352</w:t>
      </w:r>
      <w:r>
        <w:rPr>
          <w:rFonts w:hint="eastAsia" w:ascii="宋体" w:hAnsi="宋体" w:eastAsia="宋体" w:cs="Times New Roman"/>
          <w:b/>
          <w:bCs/>
          <w:color w:val="auto"/>
          <w:szCs w:val="21"/>
          <w:highlight w:val="none"/>
          <w:lang w:val="en-US"/>
        </w:rPr>
        <w:t>元（大写：人民币</w:t>
      </w:r>
      <w:r>
        <w:rPr>
          <w:rFonts w:hint="eastAsia" w:ascii="宋体" w:hAnsi="宋体" w:eastAsia="宋体" w:cs="Times New Roman"/>
          <w:b/>
          <w:bCs/>
          <w:color w:val="auto"/>
          <w:szCs w:val="21"/>
          <w:highlight w:val="none"/>
          <w:lang w:val="en-US" w:eastAsia="zh-CN"/>
        </w:rPr>
        <w:t>贰拾叁万叁仟叁佰伍拾贰元整</w:t>
      </w:r>
      <w:r>
        <w:rPr>
          <w:rFonts w:hint="eastAsia" w:ascii="宋体" w:hAnsi="宋体" w:eastAsia="宋体" w:cs="Times New Roman"/>
          <w:b/>
          <w:bCs/>
          <w:color w:val="auto"/>
          <w:szCs w:val="21"/>
          <w:highlight w:val="none"/>
          <w:lang w:val="en-US"/>
        </w:rPr>
        <w:t>）；</w:t>
      </w:r>
    </w:p>
    <w:p w14:paraId="3B02F369">
      <w:pPr>
        <w:autoSpaceDE w:val="0"/>
        <w:autoSpaceDN w:val="0"/>
        <w:adjustRightInd w:val="0"/>
        <w:spacing w:line="360" w:lineRule="auto"/>
        <w:ind w:left="357" w:leftChars="-100" w:hanging="567" w:firstLineChars="0"/>
        <w:rPr>
          <w:rFonts w:hint="eastAsia" w:ascii="宋体" w:hAnsi="宋体" w:eastAsia="宋体" w:cs="Times New Roman"/>
          <w:b/>
          <w:bCs/>
          <w:color w:val="auto"/>
          <w:szCs w:val="21"/>
          <w:highlight w:val="none"/>
          <w:lang w:val="en-US"/>
        </w:rPr>
      </w:pPr>
      <w:r>
        <w:rPr>
          <w:rFonts w:hint="eastAsia" w:ascii="宋体" w:hAnsi="宋体" w:eastAsia="宋体" w:cs="Times New Roman"/>
          <w:b/>
          <w:bCs/>
          <w:color w:val="auto"/>
          <w:szCs w:val="21"/>
          <w:highlight w:val="none"/>
          <w:lang w:val="en-US"/>
        </w:rPr>
        <w:t>含税总采购限价为：</w:t>
      </w:r>
      <w:r>
        <w:rPr>
          <w:rFonts w:hint="eastAsia" w:ascii="宋体" w:hAnsi="宋体" w:eastAsia="宋体" w:cs="Times New Roman"/>
          <w:b/>
          <w:bCs/>
          <w:color w:val="auto"/>
          <w:sz w:val="21"/>
          <w:szCs w:val="21"/>
          <w:highlight w:val="none"/>
          <w:lang w:val="en-US" w:eastAsia="zh-CN"/>
        </w:rPr>
        <w:t>2100168</w:t>
      </w:r>
      <w:r>
        <w:rPr>
          <w:rFonts w:hint="eastAsia" w:ascii="宋体" w:hAnsi="宋体" w:eastAsia="宋体" w:cs="Times New Roman"/>
          <w:b/>
          <w:bCs/>
          <w:color w:val="auto"/>
          <w:szCs w:val="21"/>
          <w:highlight w:val="none"/>
          <w:lang w:val="en-US" w:eastAsia="zh-CN"/>
        </w:rPr>
        <w:t xml:space="preserve"> </w:t>
      </w:r>
      <w:r>
        <w:rPr>
          <w:rFonts w:hint="eastAsia" w:ascii="宋体" w:hAnsi="宋体" w:eastAsia="宋体" w:cs="Times New Roman"/>
          <w:b/>
          <w:bCs/>
          <w:color w:val="auto"/>
          <w:szCs w:val="21"/>
          <w:highlight w:val="none"/>
          <w:lang w:val="en-US"/>
        </w:rPr>
        <w:t>元（大写：人民币</w:t>
      </w:r>
      <w:r>
        <w:rPr>
          <w:rFonts w:hint="eastAsia" w:ascii="宋体" w:hAnsi="宋体" w:eastAsia="宋体" w:cs="Times New Roman"/>
          <w:b/>
          <w:bCs/>
          <w:color w:val="auto"/>
          <w:szCs w:val="21"/>
          <w:highlight w:val="none"/>
          <w:lang w:val="en-US" w:eastAsia="zh-CN"/>
        </w:rPr>
        <w:t>贰佰壹拾万壹佰陆拾捌元整</w:t>
      </w:r>
      <w:r>
        <w:rPr>
          <w:rFonts w:hint="eastAsia" w:ascii="宋体" w:hAnsi="宋体" w:eastAsia="宋体" w:cs="Times New Roman"/>
          <w:b/>
          <w:bCs/>
          <w:color w:val="auto"/>
          <w:szCs w:val="21"/>
          <w:highlight w:val="none"/>
          <w:lang w:val="en-US"/>
        </w:rPr>
        <w:t>）。</w:t>
      </w:r>
    </w:p>
    <w:p w14:paraId="5FF252FA">
      <w:pPr>
        <w:autoSpaceDE w:val="0"/>
        <w:autoSpaceDN w:val="0"/>
        <w:adjustRightInd w:val="0"/>
        <w:spacing w:line="360" w:lineRule="auto"/>
        <w:ind w:left="357" w:leftChars="-100" w:hanging="567"/>
        <w:rPr>
          <w:rFonts w:ascii="宋体" w:hAnsi="宋体" w:eastAsia="宋体" w:cs="宋体"/>
          <w:color w:val="auto"/>
          <w:szCs w:val="21"/>
          <w:highlight w:val="none"/>
        </w:rPr>
      </w:pPr>
      <w:r>
        <w:rPr>
          <w:rFonts w:ascii="宋体" w:hAnsi="宋体" w:eastAsia="宋体" w:cs="宋体"/>
          <w:color w:val="auto"/>
          <w:szCs w:val="21"/>
          <w:highlight w:val="none"/>
          <w:lang w:val="zh-CN"/>
        </w:rPr>
        <w:t xml:space="preserve">     </w:t>
      </w:r>
    </w:p>
    <w:p w14:paraId="1E25F319">
      <w:pPr>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lang w:val="zh-CN"/>
        </w:rPr>
      </w:pPr>
      <w:bookmarkStart w:id="129" w:name="_Toc14068"/>
      <w:bookmarkStart w:id="130" w:name="_Toc12103"/>
      <w:bookmarkStart w:id="131" w:name="_Toc486167676"/>
      <w:bookmarkStart w:id="132" w:name="_Toc450662862"/>
      <w:bookmarkStart w:id="133" w:name="_Toc142508326"/>
      <w:bookmarkStart w:id="134" w:name="_Toc635"/>
      <w:bookmarkStart w:id="135" w:name="_Toc30042_WPSOffice_Level3"/>
      <w:r>
        <w:rPr>
          <w:rFonts w:hint="eastAsia" w:ascii="宋体" w:hAnsi="宋体" w:eastAsia="宋体" w:cs="宋体"/>
          <w:b/>
          <w:color w:val="auto"/>
          <w:szCs w:val="21"/>
          <w:highlight w:val="none"/>
          <w:lang w:val="zh-CN"/>
        </w:rPr>
        <w:t>12</w:t>
      </w:r>
      <w:r>
        <w:rPr>
          <w:rFonts w:ascii="宋体" w:hAnsi="宋体" w:eastAsia="宋体" w:cs="宋体"/>
          <w:b/>
          <w:color w:val="auto"/>
          <w:szCs w:val="21"/>
          <w:highlight w:val="none"/>
          <w:lang w:val="zh-CN"/>
        </w:rPr>
        <w:t xml:space="preserve"> </w:t>
      </w:r>
      <w:r>
        <w:rPr>
          <w:rFonts w:hint="eastAsia" w:ascii="宋体" w:hAnsi="宋体" w:eastAsia="宋体" w:cs="宋体"/>
          <w:b/>
          <w:color w:val="auto"/>
          <w:szCs w:val="21"/>
          <w:highlight w:val="none"/>
          <w:lang w:val="zh-CN"/>
        </w:rPr>
        <w:t>投标报价货币</w:t>
      </w:r>
      <w:bookmarkEnd w:id="129"/>
      <w:bookmarkEnd w:id="130"/>
      <w:bookmarkEnd w:id="131"/>
      <w:bookmarkEnd w:id="132"/>
      <w:bookmarkEnd w:id="133"/>
      <w:bookmarkEnd w:id="134"/>
      <w:bookmarkEnd w:id="135"/>
    </w:p>
    <w:p w14:paraId="64AFD25E">
      <w:pPr>
        <w:autoSpaceDE w:val="0"/>
        <w:autoSpaceDN w:val="0"/>
        <w:adjustRightInd w:val="0"/>
        <w:spacing w:line="360" w:lineRule="auto"/>
        <w:ind w:left="265" w:leftChars="119" w:hanging="15"/>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投标</w:t>
      </w:r>
      <w:r>
        <w:rPr>
          <w:rFonts w:hint="eastAsia" w:ascii="宋体" w:hAnsi="宋体" w:eastAsia="宋体" w:cs="Times New Roman"/>
          <w:b/>
          <w:color w:val="auto"/>
          <w:szCs w:val="21"/>
          <w:highlight w:val="none"/>
          <w:lang w:val="zh-CN"/>
        </w:rPr>
        <w:t>报价表上的价格须以人民币报价，以其</w:t>
      </w:r>
      <w:r>
        <w:rPr>
          <w:rFonts w:hint="eastAsia" w:ascii="宋体" w:hAnsi="宋体" w:eastAsia="宋体" w:cs="Times New Roman"/>
          <w:b/>
          <w:color w:val="auto"/>
          <w:szCs w:val="21"/>
          <w:highlight w:val="none"/>
          <w:lang w:val="en-US" w:eastAsia="zh-CN"/>
        </w:rPr>
        <w:t>他</w:t>
      </w:r>
      <w:r>
        <w:rPr>
          <w:rFonts w:hint="eastAsia" w:ascii="宋体" w:hAnsi="宋体" w:eastAsia="宋体" w:cs="Times New Roman"/>
          <w:b/>
          <w:color w:val="auto"/>
          <w:szCs w:val="21"/>
          <w:highlight w:val="none"/>
          <w:lang w:val="zh-CN"/>
        </w:rPr>
        <w:t>货币标价的投标将予以拒绝</w:t>
      </w:r>
      <w:r>
        <w:rPr>
          <w:rFonts w:hint="eastAsia" w:ascii="宋体" w:hAnsi="宋体" w:eastAsia="宋体" w:cs="宋体"/>
          <w:b/>
          <w:color w:val="auto"/>
          <w:szCs w:val="21"/>
          <w:highlight w:val="none"/>
          <w:lang w:val="zh-CN"/>
        </w:rPr>
        <w:t>。</w:t>
      </w:r>
    </w:p>
    <w:p w14:paraId="7784AFCE">
      <w:pPr>
        <w:autoSpaceDE w:val="0"/>
        <w:autoSpaceDN w:val="0"/>
        <w:adjustRightInd w:val="0"/>
        <w:spacing w:line="360" w:lineRule="auto"/>
        <w:ind w:left="265" w:leftChars="119" w:hanging="15"/>
        <w:rPr>
          <w:rFonts w:ascii="宋体" w:hAnsi="宋体" w:eastAsia="宋体" w:cs="宋体"/>
          <w:color w:val="auto"/>
          <w:szCs w:val="21"/>
          <w:highlight w:val="none"/>
        </w:rPr>
      </w:pPr>
    </w:p>
    <w:p w14:paraId="44F9035D">
      <w:pPr>
        <w:tabs>
          <w:tab w:val="left" w:pos="57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36" w:name="_Toc486167677"/>
      <w:bookmarkStart w:id="137" w:name="_Toc9411_WPSOffice_Level3"/>
      <w:bookmarkStart w:id="138" w:name="_Toc20334"/>
      <w:bookmarkStart w:id="139" w:name="_Toc450662863"/>
      <w:bookmarkStart w:id="140" w:name="_Toc142508327"/>
      <w:bookmarkStart w:id="141" w:name="_Toc21258"/>
      <w:bookmarkStart w:id="142" w:name="_Toc25596"/>
      <w:r>
        <w:rPr>
          <w:rFonts w:hint="eastAsia" w:ascii="宋体" w:hAnsi="宋体" w:eastAsia="宋体" w:cs="宋体"/>
          <w:color w:val="auto"/>
          <w:szCs w:val="21"/>
          <w:highlight w:val="none"/>
          <w:lang w:val="zh-CN"/>
        </w:rPr>
        <w:t>13</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证明投标人的合格性和资格的声明文件</w:t>
      </w:r>
      <w:bookmarkEnd w:id="136"/>
      <w:bookmarkEnd w:id="137"/>
      <w:bookmarkEnd w:id="138"/>
      <w:bookmarkEnd w:id="139"/>
      <w:bookmarkEnd w:id="140"/>
      <w:bookmarkEnd w:id="141"/>
      <w:bookmarkEnd w:id="142"/>
    </w:p>
    <w:p w14:paraId="1FAF7AF5">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13.1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根据第2条、第13.2款规定，投标人须提交证明其有资格进行投标和有能力履行合同的文件，作为投标文件的一部分。</w:t>
      </w:r>
    </w:p>
    <w:p w14:paraId="615686B1">
      <w:pPr>
        <w:autoSpaceDE w:val="0"/>
        <w:autoSpaceDN w:val="0"/>
        <w:adjustRightInd w:val="0"/>
        <w:spacing w:line="360" w:lineRule="auto"/>
        <w:ind w:left="357" w:leftChars="-100" w:hanging="567"/>
        <w:rPr>
          <w:rFonts w:ascii="宋体" w:hAnsi="宋体" w:eastAsia="宋体" w:cs="宋体"/>
          <w:color w:val="auto"/>
          <w:szCs w:val="21"/>
          <w:highlight w:val="none"/>
          <w:vertAlign w:val="superscript"/>
          <w:lang w:val="zh-CN"/>
        </w:rPr>
      </w:pPr>
      <w:r>
        <w:rPr>
          <w:rFonts w:hint="eastAsia" w:ascii="宋体" w:hAnsi="宋体" w:eastAsia="宋体" w:cs="宋体"/>
          <w:color w:val="auto"/>
          <w:szCs w:val="21"/>
          <w:highlight w:val="none"/>
          <w:lang w:val="zh-CN"/>
        </w:rPr>
        <w:t>13.2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投标人提供的履行合同的资格声明文件应符合：</w:t>
      </w:r>
    </w:p>
    <w:p w14:paraId="3D73997E">
      <w:pPr>
        <w:autoSpaceDE w:val="0"/>
        <w:autoSpaceDN w:val="0"/>
        <w:adjustRightInd w:val="0"/>
        <w:spacing w:line="360" w:lineRule="auto"/>
        <w:ind w:left="355" w:leftChars="104" w:hanging="13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（1）符合《中华人民共和国招标投标法》《中华人民共和国招标投标法实施条例》投标人应当具备的条件；</w:t>
      </w:r>
    </w:p>
    <w:p w14:paraId="51C1F565">
      <w:pPr>
        <w:autoSpaceDE w:val="0"/>
        <w:autoSpaceDN w:val="0"/>
        <w:adjustRightInd w:val="0"/>
        <w:spacing w:line="360" w:lineRule="auto"/>
        <w:ind w:left="355" w:leftChars="104" w:hanging="13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（2）投标人具有履行本项目所必须的证明文件；</w:t>
      </w:r>
    </w:p>
    <w:p w14:paraId="54B16428">
      <w:pPr>
        <w:autoSpaceDE w:val="0"/>
        <w:autoSpaceDN w:val="0"/>
        <w:adjustRightInd w:val="0"/>
        <w:spacing w:line="360" w:lineRule="auto"/>
        <w:ind w:left="355" w:leftChars="104" w:hanging="13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（3）投标人证明其相应资格</w:t>
      </w:r>
      <w:r>
        <w:rPr>
          <w:rFonts w:hint="eastAsia" w:ascii="宋体" w:hAnsi="宋体" w:eastAsia="宋体" w:cs="Times New Roman"/>
          <w:color w:val="auto"/>
          <w:szCs w:val="21"/>
          <w:highlight w:val="none"/>
          <w:lang w:val="zh-CN"/>
        </w:rPr>
        <w:t>符合或</w:t>
      </w:r>
      <w:r>
        <w:rPr>
          <w:rFonts w:hint="eastAsia" w:ascii="宋体" w:hAnsi="宋体" w:eastAsia="宋体" w:cs="宋体"/>
          <w:color w:val="auto"/>
          <w:szCs w:val="21"/>
          <w:highlight w:val="none"/>
          <w:lang w:val="zh-CN"/>
        </w:rPr>
        <w:t>优于招标文件要求的其它文件。</w:t>
      </w:r>
    </w:p>
    <w:p w14:paraId="437FF4BC">
      <w:pPr>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13.3</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投标人</w:t>
      </w:r>
      <w:r>
        <w:rPr>
          <w:rFonts w:hint="eastAsia" w:ascii="宋体" w:hAnsi="宋体" w:eastAsia="宋体" w:cs="Times New Roman"/>
          <w:color w:val="auto"/>
          <w:szCs w:val="21"/>
          <w:highlight w:val="none"/>
          <w:lang w:val="zh-CN"/>
        </w:rPr>
        <w:t>根据招标文件载明的货物及有关服务要求的实际情况，拟在中标后将中标项目的非主体、非关键性专业工作交由他人完成的，应当在投标文件中载明，并提供他人的资质、能力证明材料</w:t>
      </w:r>
      <w:r>
        <w:rPr>
          <w:rFonts w:hint="eastAsia" w:ascii="宋体" w:hAnsi="宋体" w:eastAsia="宋体" w:cs="宋体"/>
          <w:color w:val="auto"/>
          <w:szCs w:val="21"/>
          <w:highlight w:val="none"/>
          <w:lang w:val="zh-CN"/>
        </w:rPr>
        <w:t>。</w:t>
      </w:r>
    </w:p>
    <w:p w14:paraId="185AFE19">
      <w:pPr>
        <w:autoSpaceDE w:val="0"/>
        <w:autoSpaceDN w:val="0"/>
        <w:adjustRightInd w:val="0"/>
        <w:spacing w:line="360" w:lineRule="auto"/>
        <w:ind w:left="560" w:leftChars="128" w:hanging="291" w:hangingChars="139"/>
        <w:rPr>
          <w:rFonts w:ascii="宋体" w:hAnsi="宋体" w:eastAsia="宋体" w:cs="宋体"/>
          <w:color w:val="auto"/>
          <w:szCs w:val="21"/>
          <w:highlight w:val="none"/>
        </w:rPr>
      </w:pPr>
    </w:p>
    <w:p w14:paraId="01A396C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43" w:name="_Toc486167678"/>
      <w:bookmarkStart w:id="144" w:name="_Toc27771_WPSOffice_Level3"/>
      <w:bookmarkStart w:id="145" w:name="_Toc30441"/>
      <w:bookmarkStart w:id="146" w:name="_Toc450662864"/>
      <w:bookmarkStart w:id="147" w:name="_Toc142508328"/>
      <w:bookmarkStart w:id="148" w:name="_Toc26559"/>
      <w:bookmarkStart w:id="149" w:name="_Toc26154"/>
      <w:r>
        <w:rPr>
          <w:rFonts w:hint="eastAsia" w:ascii="宋体" w:hAnsi="宋体" w:eastAsia="宋体" w:cs="宋体"/>
          <w:color w:val="auto"/>
          <w:szCs w:val="21"/>
          <w:highlight w:val="none"/>
          <w:lang w:val="zh-CN"/>
        </w:rPr>
        <w:t>14</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证明货物的合格性并符合招标文件规定的声明文件</w:t>
      </w:r>
      <w:bookmarkEnd w:id="143"/>
      <w:bookmarkEnd w:id="144"/>
      <w:bookmarkEnd w:id="145"/>
      <w:bookmarkEnd w:id="146"/>
      <w:bookmarkEnd w:id="147"/>
      <w:bookmarkEnd w:id="148"/>
      <w:bookmarkEnd w:id="149"/>
    </w:p>
    <w:p w14:paraId="666B3724">
      <w:pPr>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14.1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w:t>
      </w:r>
      <w:r>
        <w:rPr>
          <w:rFonts w:hint="eastAsia" w:ascii="宋体" w:hAnsi="宋体" w:eastAsia="宋体" w:cs="宋体"/>
          <w:color w:val="auto"/>
          <w:kern w:val="0"/>
          <w:szCs w:val="21"/>
          <w:highlight w:val="none"/>
        </w:rPr>
        <w:t>第9</w:t>
      </w:r>
      <w:r>
        <w:rPr>
          <w:rFonts w:hint="eastAsia" w:ascii="宋体" w:hAnsi="宋体" w:eastAsia="宋体" w:cs="宋体"/>
          <w:color w:val="auto"/>
          <w:szCs w:val="21"/>
          <w:highlight w:val="none"/>
          <w:lang w:val="zh-CN"/>
        </w:rPr>
        <w:t>条规定，投标人须提交证明其拟供货物的合格性并符合招标文件规定的声明文件，作为投标文件的一部分。</w:t>
      </w:r>
    </w:p>
    <w:p w14:paraId="2FA1DDC4">
      <w:pPr>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14.2  证明</w:t>
      </w:r>
      <w:r>
        <w:rPr>
          <w:rFonts w:hint="eastAsia" w:ascii="宋体" w:hAnsi="宋体" w:eastAsia="宋体" w:cs="宋体"/>
          <w:color w:val="auto"/>
          <w:kern w:val="0"/>
          <w:szCs w:val="21"/>
          <w:highlight w:val="none"/>
        </w:rPr>
        <w:t>货物及有关服务</w:t>
      </w:r>
      <w:r>
        <w:rPr>
          <w:rFonts w:hint="eastAsia" w:ascii="宋体" w:hAnsi="宋体" w:eastAsia="宋体" w:cs="宋体"/>
          <w:color w:val="auto"/>
          <w:szCs w:val="21"/>
          <w:highlight w:val="none"/>
          <w:lang w:val="zh-CN"/>
        </w:rPr>
        <w:t>与招标文件的要求相一致的文件可以是文字资料、图纸和数据资料。</w:t>
      </w:r>
    </w:p>
    <w:p w14:paraId="3F071EE0">
      <w:pPr>
        <w:autoSpaceDE w:val="0"/>
        <w:autoSpaceDN w:val="0"/>
        <w:adjustRightInd w:val="0"/>
        <w:spacing w:line="360" w:lineRule="auto"/>
        <w:ind w:left="317" w:leftChars="-100" w:hanging="527" w:hangingChars="251"/>
        <w:rPr>
          <w:rFonts w:ascii="宋体" w:hAnsi="宋体" w:eastAsia="宋体" w:cs="宋体"/>
          <w:b/>
          <w:color w:val="auto"/>
          <w:szCs w:val="21"/>
          <w:highlight w:val="none"/>
          <w:lang w:val="zh-CN"/>
        </w:rPr>
      </w:pPr>
      <w:r>
        <w:rPr>
          <w:rFonts w:hint="eastAsia" w:ascii="宋体" w:hAnsi="宋体" w:eastAsia="宋体" w:cs="宋体"/>
          <w:color w:val="auto"/>
          <w:szCs w:val="21"/>
          <w:highlight w:val="none"/>
          <w:lang w:val="zh-CN"/>
        </w:rPr>
        <w:t xml:space="preserve">14.3 </w:t>
      </w:r>
      <w:r>
        <w:rPr>
          <w:rFonts w:hint="eastAsia" w:ascii="宋体" w:hAnsi="宋体" w:eastAsia="宋体" w:cs="宋体"/>
          <w:b/>
          <w:color w:val="auto"/>
          <w:szCs w:val="21"/>
          <w:highlight w:val="none"/>
          <w:lang w:val="zh-CN"/>
        </w:rPr>
        <w:t>为说明第14.2款的规定，</w:t>
      </w:r>
      <w:r>
        <w:rPr>
          <w:rFonts w:hint="eastAsia" w:ascii="宋体" w:hAnsi="宋体" w:eastAsia="宋体" w:cs="Times New Roman"/>
          <w:b/>
          <w:color w:val="auto"/>
          <w:szCs w:val="21"/>
          <w:highlight w:val="none"/>
          <w:lang w:val="zh-CN"/>
        </w:rPr>
        <w:t>投标人应注意本招标文件在《用户需求书》中对货物的性能配置、技术参数、技术要求所描述的特征或说明只是概括性的，不能理解为所需要的全部产品工序的要求，投标人应按行业技术、质量和以往的研究、货物生产制造、售后服务经验，合格优质的完成采购内容和包含的全部服务。用户需求书中所有列出的相关货物技术要求和推荐品牌不是唯一指定，仅作参考，即投标人可就货物提出替代标准，只要相当于(或优于)规定的货物品质和性能等技术参数要求，并提供满足本招标文件要求的证明材料，则视为合格。但</w:t>
      </w:r>
      <w:r>
        <w:rPr>
          <w:rFonts w:ascii="宋体" w:hAnsi="宋体" w:eastAsia="宋体" w:cs="Times New Roman"/>
          <w:b/>
          <w:color w:val="auto"/>
          <w:szCs w:val="21"/>
          <w:highlight w:val="none"/>
          <w:lang w:val="zh-CN"/>
        </w:rPr>
        <w:t>凡标有“</w:t>
      </w:r>
      <w:r>
        <w:rPr>
          <w:rFonts w:hint="eastAsia" w:ascii="宋体" w:hAnsi="宋体" w:eastAsia="宋体" w:cs="Times New Roman"/>
          <w:b/>
          <w:color w:val="auto"/>
          <w:szCs w:val="21"/>
          <w:highlight w:val="none"/>
          <w:lang w:val="zh-CN"/>
        </w:rPr>
        <w:t>★</w:t>
      </w:r>
      <w:r>
        <w:rPr>
          <w:rFonts w:ascii="宋体" w:hAnsi="宋体" w:eastAsia="宋体" w:cs="Times New Roman"/>
          <w:b/>
          <w:color w:val="auto"/>
          <w:szCs w:val="21"/>
          <w:highlight w:val="none"/>
          <w:lang w:val="zh-CN"/>
        </w:rPr>
        <w:t>”的地方均被视为重要的技术指标要求或性能要求。投标</w:t>
      </w:r>
      <w:r>
        <w:rPr>
          <w:rFonts w:hint="eastAsia" w:ascii="宋体" w:hAnsi="宋体" w:eastAsia="宋体" w:cs="Times New Roman"/>
          <w:b/>
          <w:color w:val="auto"/>
          <w:szCs w:val="21"/>
          <w:highlight w:val="none"/>
          <w:lang w:val="zh-CN"/>
        </w:rPr>
        <w:t>人</w:t>
      </w:r>
      <w:r>
        <w:rPr>
          <w:rFonts w:ascii="宋体" w:hAnsi="宋体" w:eastAsia="宋体" w:cs="Times New Roman"/>
          <w:b/>
          <w:color w:val="auto"/>
          <w:szCs w:val="21"/>
          <w:highlight w:val="none"/>
          <w:lang w:val="zh-CN"/>
        </w:rPr>
        <w:t>要特别加以注意，必须对此回答并完全满足这些要求</w:t>
      </w:r>
      <w:r>
        <w:rPr>
          <w:rFonts w:hint="eastAsia" w:ascii="宋体" w:hAnsi="宋体" w:eastAsia="宋体" w:cs="Times New Roman"/>
          <w:b/>
          <w:color w:val="auto"/>
          <w:szCs w:val="21"/>
          <w:highlight w:val="none"/>
          <w:lang w:val="zh-CN"/>
        </w:rPr>
        <w:t>，</w:t>
      </w:r>
      <w:r>
        <w:rPr>
          <w:rFonts w:ascii="宋体" w:hAnsi="宋体" w:eastAsia="宋体" w:cs="Times New Roman"/>
          <w:b/>
          <w:color w:val="auto"/>
          <w:szCs w:val="21"/>
          <w:highlight w:val="none"/>
          <w:lang w:val="zh-CN"/>
        </w:rPr>
        <w:t>否则若有一项带“</w:t>
      </w:r>
      <w:r>
        <w:rPr>
          <w:rFonts w:hint="eastAsia" w:ascii="宋体" w:hAnsi="宋体" w:eastAsia="宋体" w:cs="Times New Roman"/>
          <w:b/>
          <w:color w:val="auto"/>
          <w:szCs w:val="21"/>
          <w:highlight w:val="none"/>
          <w:lang w:val="zh-CN"/>
        </w:rPr>
        <w:t>★</w:t>
      </w:r>
      <w:r>
        <w:rPr>
          <w:rFonts w:ascii="宋体" w:hAnsi="宋体" w:eastAsia="宋体" w:cs="Times New Roman"/>
          <w:b/>
          <w:color w:val="auto"/>
          <w:szCs w:val="21"/>
          <w:highlight w:val="none"/>
          <w:lang w:val="zh-CN"/>
        </w:rPr>
        <w:t>”的指标未响应或不满足，将按</w:t>
      </w:r>
      <w:r>
        <w:rPr>
          <w:rFonts w:hint="eastAsia" w:ascii="宋体" w:hAnsi="宋体" w:eastAsia="宋体" w:cs="Times New Roman"/>
          <w:b/>
          <w:color w:val="auto"/>
          <w:szCs w:val="21"/>
          <w:highlight w:val="none"/>
          <w:lang w:val="zh-CN"/>
        </w:rPr>
        <w:t>无效投标</w:t>
      </w:r>
      <w:r>
        <w:rPr>
          <w:rFonts w:ascii="宋体" w:hAnsi="宋体" w:eastAsia="宋体" w:cs="Times New Roman"/>
          <w:b/>
          <w:color w:val="auto"/>
          <w:szCs w:val="21"/>
          <w:highlight w:val="none"/>
          <w:lang w:val="zh-CN"/>
        </w:rPr>
        <w:t>处理</w:t>
      </w:r>
      <w:r>
        <w:rPr>
          <w:rFonts w:hint="eastAsia" w:ascii="宋体" w:hAnsi="宋体" w:eastAsia="宋体" w:cs="宋体"/>
          <w:b/>
          <w:color w:val="auto"/>
          <w:szCs w:val="21"/>
          <w:highlight w:val="none"/>
          <w:lang w:val="zh-CN"/>
        </w:rPr>
        <w:t>。</w:t>
      </w:r>
    </w:p>
    <w:p w14:paraId="0061A5B2">
      <w:pPr>
        <w:autoSpaceDE w:val="0"/>
        <w:autoSpaceDN w:val="0"/>
        <w:adjustRightInd w:val="0"/>
        <w:spacing w:line="360" w:lineRule="auto"/>
        <w:ind w:left="392" w:leftChars="-100" w:hanging="602" w:hangingChars="251"/>
        <w:rPr>
          <w:rFonts w:ascii="宋体" w:hAnsi="宋体" w:eastAsia="宋体" w:cs="Times New Roman"/>
          <w:color w:val="auto"/>
          <w:kern w:val="0"/>
          <w:sz w:val="24"/>
          <w:szCs w:val="24"/>
          <w:highlight w:val="none"/>
        </w:rPr>
      </w:pPr>
    </w:p>
    <w:p w14:paraId="7723F849">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50" w:name="_Toc4163"/>
      <w:bookmarkStart w:id="151" w:name="_Toc5356_WPSOffice_Level3"/>
      <w:bookmarkStart w:id="152" w:name="_Toc142508329"/>
      <w:bookmarkStart w:id="153" w:name="_Toc24774"/>
      <w:bookmarkStart w:id="154" w:name="_Toc486167679"/>
      <w:bookmarkStart w:id="155" w:name="_Toc7420"/>
      <w:r>
        <w:rPr>
          <w:rFonts w:hint="eastAsia" w:ascii="宋体" w:hAnsi="宋体" w:eastAsia="宋体" w:cs="宋体"/>
          <w:color w:val="auto"/>
          <w:szCs w:val="21"/>
          <w:highlight w:val="none"/>
          <w:lang w:val="zh-CN"/>
        </w:rPr>
        <w:t>15</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投标保证金</w:t>
      </w:r>
      <w:bookmarkEnd w:id="150"/>
      <w:bookmarkEnd w:id="151"/>
      <w:bookmarkEnd w:id="152"/>
      <w:bookmarkEnd w:id="153"/>
      <w:bookmarkEnd w:id="154"/>
      <w:bookmarkEnd w:id="155"/>
    </w:p>
    <w:p w14:paraId="1B0A2670">
      <w:pPr>
        <w:tabs>
          <w:tab w:val="left" w:pos="567"/>
        </w:tabs>
        <w:autoSpaceDE w:val="0"/>
        <w:autoSpaceDN w:val="0"/>
        <w:adjustRightInd w:val="0"/>
        <w:spacing w:line="360" w:lineRule="auto"/>
        <w:ind w:left="357" w:leftChars="-100" w:hanging="567"/>
        <w:jc w:val="left"/>
        <w:rPr>
          <w:rFonts w:ascii="宋体" w:hAnsi="宋体" w:eastAsia="宋体" w:cs="宋体"/>
          <w:color w:val="auto"/>
          <w:kern w:val="0"/>
          <w:szCs w:val="21"/>
          <w:highlight w:val="none"/>
        </w:rPr>
      </w:pPr>
      <w:r>
        <w:rPr>
          <w:rFonts w:hint="eastAsia" w:ascii="宋体" w:hAnsi="宋体" w:eastAsia="宋体" w:cs="宋体"/>
          <w:bCs/>
          <w:color w:val="auto"/>
          <w:kern w:val="0"/>
          <w:szCs w:val="21"/>
          <w:highlight w:val="none"/>
          <w:lang w:val="zh-CN"/>
        </w:rPr>
        <w:t>15.1</w:t>
      </w:r>
      <w:r>
        <w:rPr>
          <w:rFonts w:ascii="宋体" w:hAnsi="宋体" w:eastAsia="宋体" w:cs="宋体"/>
          <w:b/>
          <w:bCs/>
          <w:color w:val="auto"/>
          <w:kern w:val="0"/>
          <w:szCs w:val="21"/>
          <w:highlight w:val="none"/>
          <w:lang w:val="zh-CN"/>
        </w:rPr>
        <w:t xml:space="preserve"> </w:t>
      </w:r>
      <w:r>
        <w:rPr>
          <w:rFonts w:hint="eastAsia" w:ascii="宋体" w:hAnsi="宋体" w:eastAsia="宋体" w:cs="宋体"/>
          <w:b/>
          <w:bCs/>
          <w:color w:val="auto"/>
          <w:kern w:val="0"/>
          <w:szCs w:val="21"/>
          <w:highlight w:val="none"/>
          <w:u w:val="single"/>
          <w:lang w:val="zh-CN"/>
        </w:rPr>
        <w:t>投标人投标时须附有投标保证金</w:t>
      </w:r>
      <w:r>
        <w:rPr>
          <w:rFonts w:hint="eastAsia" w:ascii="宋体" w:hAnsi="宋体" w:eastAsia="宋体" w:cs="宋体"/>
          <w:b/>
          <w:bCs/>
          <w:color w:val="auto"/>
          <w:kern w:val="0"/>
          <w:szCs w:val="21"/>
          <w:highlight w:val="none"/>
          <w:u w:val="single"/>
          <w:lang w:val="en-US" w:eastAsia="zh-CN"/>
        </w:rPr>
        <w:t>18000</w:t>
      </w:r>
      <w:r>
        <w:rPr>
          <w:rFonts w:hint="eastAsia" w:ascii="宋体" w:hAnsi="宋体" w:eastAsia="宋体" w:cs="宋体"/>
          <w:b/>
          <w:color w:val="auto"/>
          <w:kern w:val="0"/>
          <w:szCs w:val="21"/>
          <w:highlight w:val="none"/>
          <w:u w:val="single"/>
        </w:rPr>
        <w:t>元（大写：人民币</w:t>
      </w:r>
      <w:r>
        <w:rPr>
          <w:rFonts w:hint="eastAsia" w:ascii="宋体" w:hAnsi="宋体" w:eastAsia="宋体" w:cs="宋体"/>
          <w:b/>
          <w:color w:val="auto"/>
          <w:kern w:val="0"/>
          <w:szCs w:val="21"/>
          <w:highlight w:val="none"/>
          <w:u w:val="single"/>
          <w:lang w:val="en-US" w:eastAsia="zh-CN"/>
        </w:rPr>
        <w:t>壹万捌仟元整</w:t>
      </w:r>
      <w:r>
        <w:rPr>
          <w:rFonts w:hint="eastAsia" w:ascii="宋体" w:hAnsi="宋体" w:eastAsia="宋体" w:cs="宋体"/>
          <w:b/>
          <w:color w:val="auto"/>
          <w:kern w:val="0"/>
          <w:szCs w:val="21"/>
          <w:highlight w:val="none"/>
          <w:u w:val="single"/>
        </w:rPr>
        <w:t>）</w:t>
      </w:r>
      <w:r>
        <w:rPr>
          <w:rFonts w:hint="eastAsia" w:ascii="宋体" w:hAnsi="宋体" w:eastAsia="宋体" w:cs="宋体"/>
          <w:b/>
          <w:color w:val="auto"/>
          <w:kern w:val="0"/>
          <w:szCs w:val="21"/>
          <w:highlight w:val="none"/>
        </w:rPr>
        <w:t>。</w:t>
      </w:r>
    </w:p>
    <w:p w14:paraId="231016E8">
      <w:pPr>
        <w:tabs>
          <w:tab w:val="left" w:pos="567"/>
        </w:tabs>
        <w:autoSpaceDE w:val="0"/>
        <w:autoSpaceDN w:val="0"/>
        <w:adjustRightInd w:val="0"/>
        <w:spacing w:line="360" w:lineRule="auto"/>
        <w:ind w:left="357" w:leftChars="-100" w:hanging="567" w:firstLineChars="0"/>
        <w:jc w:val="left"/>
        <w:rPr>
          <w:rFonts w:ascii="宋体" w:hAnsi="宋体" w:eastAsia="宋体" w:cs="宋体"/>
          <w:b/>
          <w:color w:val="auto"/>
          <w:kern w:val="0"/>
          <w:szCs w:val="21"/>
          <w:highlight w:val="none"/>
        </w:rPr>
      </w:pPr>
      <w:r>
        <w:rPr>
          <w:rFonts w:hint="eastAsia" w:ascii="宋体" w:hAnsi="宋体" w:eastAsia="宋体" w:cs="宋体"/>
          <w:bCs/>
          <w:color w:val="auto"/>
          <w:kern w:val="0"/>
          <w:szCs w:val="21"/>
          <w:highlight w:val="none"/>
          <w:lang w:val="zh-CN"/>
        </w:rPr>
        <w:t xml:space="preserve">15.2 </w:t>
      </w:r>
      <w:r>
        <w:rPr>
          <w:rFonts w:hint="eastAsia" w:ascii="宋体" w:hAnsi="宋体" w:eastAsia="宋体" w:cs="宋体"/>
          <w:color w:val="auto"/>
          <w:szCs w:val="21"/>
          <w:highlight w:val="none"/>
          <w:lang w:val="zh-CN"/>
        </w:rPr>
        <w:t>投标人</w:t>
      </w:r>
      <w:r>
        <w:rPr>
          <w:rFonts w:hint="eastAsia" w:ascii="宋体" w:hAnsi="宋体" w:eastAsia="宋体" w:cs="宋体"/>
          <w:color w:val="auto"/>
          <w:kern w:val="0"/>
          <w:szCs w:val="21"/>
          <w:highlight w:val="none"/>
        </w:rPr>
        <w:t>应按要求提交投标保证金，</w:t>
      </w:r>
      <w:r>
        <w:rPr>
          <w:rFonts w:hint="eastAsia" w:ascii="宋体" w:hAnsi="宋体" w:eastAsia="宋体" w:cs="Times New Roman"/>
          <w:b/>
          <w:color w:val="auto"/>
          <w:kern w:val="0"/>
          <w:szCs w:val="21"/>
          <w:highlight w:val="none"/>
          <w:u w:val="single"/>
        </w:rPr>
        <w:t>投标人必须通过本单位银行基本账户采用银行转账、电汇形式缴交，投标人与交款人名称必须一致，非投标人缴纳的或未通过其基本账户提交的投标保证金无效</w:t>
      </w:r>
      <w:r>
        <w:rPr>
          <w:rFonts w:hint="eastAsia" w:ascii="宋体" w:hAnsi="宋体" w:eastAsia="宋体" w:cs="宋体"/>
          <w:b/>
          <w:color w:val="auto"/>
          <w:kern w:val="0"/>
          <w:szCs w:val="21"/>
          <w:highlight w:val="none"/>
        </w:rPr>
        <w:t>。</w:t>
      </w:r>
    </w:p>
    <w:p w14:paraId="2329BCA9">
      <w:pPr>
        <w:tabs>
          <w:tab w:val="left" w:pos="567"/>
        </w:tabs>
        <w:autoSpaceDE w:val="0"/>
        <w:autoSpaceDN w:val="0"/>
        <w:adjustRightInd w:val="0"/>
        <w:spacing w:line="360" w:lineRule="auto"/>
        <w:ind w:left="357" w:leftChars="-100" w:hanging="567"/>
        <w:jc w:val="left"/>
        <w:rPr>
          <w:rFonts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15.3 提交保证金时应符合下列规定：</w:t>
      </w:r>
    </w:p>
    <w:p w14:paraId="21F190AD">
      <w:pPr>
        <w:spacing w:line="360" w:lineRule="auto"/>
        <w:ind w:firstLine="777" w:firstLineChars="37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必须通过本单位基本账户采用银行转账、电汇方式提交，且在递交投标文件截止时间前</w:t>
      </w:r>
      <w:r>
        <w:rPr>
          <w:rFonts w:hint="eastAsia" w:ascii="宋体" w:hAnsi="宋体" w:eastAsia="宋体" w:cs="Times New Roman"/>
          <w:color w:val="auto"/>
          <w:kern w:val="0"/>
          <w:szCs w:val="21"/>
          <w:highlight w:val="none"/>
        </w:rPr>
        <w:t>到达</w:t>
      </w:r>
      <w:r>
        <w:rPr>
          <w:rFonts w:hint="eastAsia" w:ascii="宋体" w:hAnsi="宋体" w:eastAsia="宋体" w:cs="宋体"/>
          <w:color w:val="auto"/>
          <w:kern w:val="0"/>
          <w:szCs w:val="21"/>
          <w:highlight w:val="none"/>
        </w:rPr>
        <w:t>以下账户上</w:t>
      </w:r>
      <w:r>
        <w:rPr>
          <w:rFonts w:hint="eastAsia" w:ascii="宋体" w:hAnsi="宋体" w:eastAsia="宋体" w:cs="宋体"/>
          <w:b/>
          <w:bCs/>
          <w:color w:val="auto"/>
          <w:kern w:val="0"/>
          <w:szCs w:val="21"/>
          <w:highlight w:val="none"/>
          <w:lang w:val="en-US" w:eastAsia="zh-CN"/>
        </w:rPr>
        <w:t>并注明招标编号</w:t>
      </w:r>
      <w:r>
        <w:rPr>
          <w:rFonts w:hint="eastAsia" w:ascii="宋体" w:hAnsi="宋体" w:eastAsia="宋体" w:cs="宋体"/>
          <w:color w:val="auto"/>
          <w:kern w:val="0"/>
          <w:szCs w:val="21"/>
          <w:highlight w:val="none"/>
        </w:rPr>
        <w:t>。</w:t>
      </w:r>
    </w:p>
    <w:p w14:paraId="232CE815">
      <w:pPr>
        <w:autoSpaceDE w:val="0"/>
        <w:autoSpaceDN w:val="0"/>
        <w:adjustRightInd w:val="0"/>
        <w:spacing w:line="360" w:lineRule="auto"/>
        <w:ind w:left="225" w:leftChars="107" w:firstLine="193" w:firstLineChars="92"/>
        <w:jc w:val="left"/>
        <w:rPr>
          <w:rFonts w:ascii="宋体" w:hAnsi="宋体" w:eastAsia="宋体" w:cs="Times New Roman"/>
          <w:color w:val="auto"/>
          <w:kern w:val="0"/>
          <w:szCs w:val="21"/>
          <w:highlight w:val="none"/>
          <w:lang w:val="zh-CN"/>
        </w:rPr>
      </w:pPr>
      <w:r>
        <w:rPr>
          <w:rFonts w:hint="eastAsia" w:ascii="宋体" w:hAnsi="宋体" w:eastAsia="宋体" w:cs="Times New Roman"/>
          <w:color w:val="auto"/>
          <w:kern w:val="0"/>
          <w:szCs w:val="21"/>
          <w:highlight w:val="none"/>
          <w:lang w:val="zh-CN"/>
        </w:rPr>
        <w:t>开户名称：</w:t>
      </w:r>
      <w:r>
        <w:rPr>
          <w:rFonts w:hint="eastAsia" w:ascii="宋体" w:hAnsi="宋体" w:eastAsia="宋体" w:cs="Times New Roman"/>
          <w:color w:val="auto"/>
          <w:kern w:val="0"/>
          <w:szCs w:val="21"/>
          <w:highlight w:val="none"/>
        </w:rPr>
        <w:t>东莞市水务环境投资控股集团管网有限公司</w:t>
      </w:r>
    </w:p>
    <w:p w14:paraId="0CE2AC85">
      <w:pPr>
        <w:autoSpaceDE w:val="0"/>
        <w:autoSpaceDN w:val="0"/>
        <w:adjustRightInd w:val="0"/>
        <w:spacing w:line="360" w:lineRule="auto"/>
        <w:ind w:left="225" w:leftChars="107" w:firstLine="193" w:firstLineChars="92"/>
        <w:jc w:val="left"/>
        <w:rPr>
          <w:rFonts w:ascii="宋体" w:hAnsi="宋体" w:eastAsia="宋体" w:cs="Times New Roman"/>
          <w:color w:val="auto"/>
          <w:kern w:val="0"/>
          <w:szCs w:val="21"/>
          <w:highlight w:val="none"/>
          <w:lang w:val="zh-CN"/>
        </w:rPr>
      </w:pPr>
      <w:r>
        <w:rPr>
          <w:rFonts w:hint="eastAsia" w:ascii="宋体" w:hAnsi="宋体" w:eastAsia="宋体" w:cs="Times New Roman"/>
          <w:color w:val="auto"/>
          <w:kern w:val="0"/>
          <w:szCs w:val="21"/>
          <w:highlight w:val="none"/>
          <w:lang w:val="zh-CN"/>
        </w:rPr>
        <w:t>开户银行：中信银行东莞分行营业部</w:t>
      </w:r>
    </w:p>
    <w:p w14:paraId="38CA52D4">
      <w:pPr>
        <w:autoSpaceDE w:val="0"/>
        <w:autoSpaceDN w:val="0"/>
        <w:adjustRightInd w:val="0"/>
        <w:spacing w:line="360" w:lineRule="auto"/>
        <w:ind w:left="225" w:leftChars="107" w:firstLine="193" w:firstLineChars="92"/>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银行账号：</w:t>
      </w:r>
      <w:r>
        <w:rPr>
          <w:rFonts w:hint="eastAsia" w:ascii="宋体" w:hAnsi="宋体" w:eastAsia="宋体" w:cs="Times New Roman"/>
          <w:color w:val="auto"/>
          <w:kern w:val="0"/>
          <w:szCs w:val="21"/>
          <w:highlight w:val="none"/>
        </w:rPr>
        <w:t>8114801014000043052</w:t>
      </w:r>
    </w:p>
    <w:p w14:paraId="7C2CCF55">
      <w:pPr>
        <w:spacing w:line="360" w:lineRule="auto"/>
        <w:ind w:left="210" w:leftChars="100" w:firstLine="211" w:firstLineChars="100"/>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u w:val="single"/>
        </w:rPr>
        <w:t>投标保证金未按规定时间到达指定账户或提交金额不足的，将被视为无效投标保证金</w:t>
      </w:r>
      <w:r>
        <w:rPr>
          <w:rFonts w:hint="eastAsia" w:ascii="宋体" w:hAnsi="宋体" w:eastAsia="宋体" w:cs="宋体"/>
          <w:b/>
          <w:color w:val="auto"/>
          <w:kern w:val="0"/>
          <w:szCs w:val="21"/>
          <w:highlight w:val="none"/>
        </w:rPr>
        <w:t>。</w:t>
      </w:r>
    </w:p>
    <w:p w14:paraId="5751B375">
      <w:pPr>
        <w:autoSpaceDE w:val="0"/>
        <w:autoSpaceDN w:val="0"/>
        <w:adjustRightInd w:val="0"/>
        <w:spacing w:line="360" w:lineRule="auto"/>
        <w:ind w:left="357" w:leftChars="-100" w:hanging="567" w:hangingChars="270"/>
        <w:jc w:val="left"/>
        <w:rPr>
          <w:rFonts w:ascii="宋体" w:hAnsi="宋体" w:eastAsia="宋体" w:cs="宋体"/>
          <w:b/>
          <w:bCs/>
          <w:color w:val="auto"/>
          <w:kern w:val="0"/>
          <w:szCs w:val="24"/>
          <w:highlight w:val="none"/>
        </w:rPr>
      </w:pPr>
      <w:r>
        <w:rPr>
          <w:rFonts w:hint="eastAsia" w:ascii="宋体" w:hAnsi="宋体" w:eastAsia="宋体" w:cs="宋体"/>
          <w:bCs/>
          <w:color w:val="auto"/>
          <w:szCs w:val="21"/>
          <w:highlight w:val="none"/>
          <w:lang w:val="zh-CN"/>
        </w:rPr>
        <w:t>15.4</w:t>
      </w:r>
      <w:r>
        <w:rPr>
          <w:rFonts w:ascii="宋体" w:hAnsi="宋体" w:eastAsia="宋体" w:cs="宋体"/>
          <w:bCs/>
          <w:color w:val="auto"/>
          <w:szCs w:val="21"/>
          <w:highlight w:val="none"/>
          <w:lang w:val="zh-CN"/>
        </w:rPr>
        <w:t xml:space="preserve"> </w:t>
      </w:r>
      <w:r>
        <w:rPr>
          <w:rFonts w:hint="eastAsia" w:ascii="宋体" w:hAnsi="宋体" w:eastAsia="宋体" w:cs="宋体"/>
          <w:b/>
          <w:color w:val="auto"/>
          <w:kern w:val="0"/>
          <w:szCs w:val="24"/>
          <w:highlight w:val="none"/>
          <w:u w:val="single"/>
        </w:rPr>
        <w:t>任何未按第15.1款、第15.2款、第15.3款规定提交投标保证金的投标，将被视为无效投标</w:t>
      </w:r>
      <w:r>
        <w:rPr>
          <w:rFonts w:hint="eastAsia" w:ascii="宋体" w:hAnsi="宋体" w:eastAsia="宋体" w:cs="宋体"/>
          <w:b/>
          <w:color w:val="auto"/>
          <w:kern w:val="0"/>
          <w:szCs w:val="24"/>
          <w:highlight w:val="none"/>
        </w:rPr>
        <w:t>。</w:t>
      </w:r>
    </w:p>
    <w:p w14:paraId="1C4A6789">
      <w:p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bCs/>
          <w:color w:val="auto"/>
          <w:szCs w:val="21"/>
          <w:highlight w:val="none"/>
          <w:lang w:val="zh-CN"/>
        </w:rPr>
        <w:t xml:space="preserve">15.5 </w:t>
      </w:r>
      <w:r>
        <w:rPr>
          <w:rFonts w:hint="eastAsia" w:ascii="宋体" w:hAnsi="宋体" w:eastAsia="宋体" w:cs="宋体"/>
          <w:color w:val="auto"/>
          <w:kern w:val="0"/>
          <w:szCs w:val="21"/>
          <w:highlight w:val="none"/>
        </w:rPr>
        <w:t>未</w:t>
      </w:r>
      <w:r>
        <w:rPr>
          <w:rFonts w:hint="eastAsia" w:ascii="宋体" w:hAnsi="宋体" w:eastAsia="宋体" w:cs="宋体"/>
          <w:color w:val="auto"/>
          <w:szCs w:val="21"/>
          <w:highlight w:val="none"/>
          <w:lang w:val="zh-CN"/>
        </w:rPr>
        <w:t>中标</w:t>
      </w:r>
      <w:r>
        <w:rPr>
          <w:rFonts w:hint="eastAsia" w:ascii="宋体" w:hAnsi="宋体" w:eastAsia="宋体" w:cs="宋体"/>
          <w:color w:val="auto"/>
          <w:kern w:val="0"/>
          <w:szCs w:val="21"/>
          <w:highlight w:val="none"/>
        </w:rPr>
        <w:t>的投标人的投标保证金，</w:t>
      </w:r>
      <w:r>
        <w:rPr>
          <w:rFonts w:hint="eastAsia" w:ascii="宋体" w:hAnsi="宋体" w:eastAsia="宋体" w:cs="宋体"/>
          <w:color w:val="auto"/>
          <w:kern w:val="0"/>
          <w:szCs w:val="21"/>
          <w:highlight w:val="none"/>
          <w:lang w:val="en-US" w:eastAsia="zh-CN"/>
        </w:rPr>
        <w:t>最</w:t>
      </w:r>
      <w:r>
        <w:rPr>
          <w:rFonts w:hint="eastAsia" w:ascii="宋体" w:hAnsi="宋体" w:eastAsia="宋体" w:cs="宋体"/>
          <w:color w:val="auto"/>
          <w:kern w:val="0"/>
          <w:szCs w:val="21"/>
          <w:highlight w:val="none"/>
          <w:lang w:eastAsia="zh-CN"/>
        </w:rPr>
        <w:t>迟</w:t>
      </w:r>
      <w:r>
        <w:rPr>
          <w:rFonts w:hint="eastAsia" w:ascii="宋体" w:hAnsi="宋体" w:eastAsia="宋体" w:cs="宋体"/>
          <w:color w:val="auto"/>
          <w:kern w:val="0"/>
          <w:szCs w:val="21"/>
          <w:highlight w:val="none"/>
          <w:lang w:val="en-US" w:eastAsia="zh-CN"/>
        </w:rPr>
        <w:t>应</w:t>
      </w:r>
      <w:r>
        <w:rPr>
          <w:rFonts w:hint="eastAsia" w:ascii="宋体" w:hAnsi="宋体" w:eastAsia="宋体" w:cs="宋体"/>
          <w:color w:val="auto"/>
          <w:kern w:val="0"/>
          <w:szCs w:val="21"/>
          <w:highlight w:val="none"/>
          <w:lang w:eastAsia="zh-CN"/>
        </w:rPr>
        <w:t>在本项目的书面合同签订后5日内</w:t>
      </w:r>
      <w:r>
        <w:rPr>
          <w:rFonts w:hint="eastAsia" w:ascii="宋体" w:hAnsi="宋体" w:eastAsia="宋体" w:cs="宋体"/>
          <w:color w:val="auto"/>
          <w:kern w:val="0"/>
          <w:szCs w:val="21"/>
          <w:highlight w:val="none"/>
        </w:rPr>
        <w:t>，按照其投标保证金支付凭证上注明的收款人名称和账号予以退还，除非</w:t>
      </w:r>
      <w:r>
        <w:rPr>
          <w:rFonts w:hint="eastAsia" w:ascii="宋体" w:hAnsi="宋体" w:eastAsia="宋体" w:cs="Times New Roman"/>
          <w:color w:val="auto"/>
          <w:kern w:val="0"/>
          <w:szCs w:val="21"/>
          <w:highlight w:val="none"/>
        </w:rPr>
        <w:t>投标保证金</w:t>
      </w:r>
      <w:r>
        <w:rPr>
          <w:rFonts w:hint="eastAsia" w:ascii="宋体" w:hAnsi="宋体" w:eastAsia="宋体" w:cs="宋体"/>
          <w:color w:val="auto"/>
          <w:kern w:val="0"/>
          <w:szCs w:val="21"/>
          <w:highlight w:val="none"/>
        </w:rPr>
        <w:t>有效期已延长。</w:t>
      </w:r>
    </w:p>
    <w:p w14:paraId="67D3E857">
      <w:pPr>
        <w:spacing w:line="360" w:lineRule="auto"/>
        <w:ind w:left="357" w:leftChars="-100" w:hanging="567" w:hangingChars="270"/>
        <w:rPr>
          <w:rFonts w:ascii="宋体" w:hAnsi="宋体" w:eastAsia="宋体" w:cs="宋体"/>
          <w:color w:val="auto"/>
          <w:kern w:val="0"/>
          <w:szCs w:val="21"/>
          <w:highlight w:val="none"/>
        </w:rPr>
      </w:pPr>
      <w:r>
        <w:rPr>
          <w:rFonts w:hint="eastAsia" w:ascii="宋体" w:hAnsi="宋体" w:eastAsia="宋体" w:cs="宋体"/>
          <w:bCs/>
          <w:color w:val="auto"/>
          <w:szCs w:val="21"/>
          <w:highlight w:val="none"/>
          <w:lang w:val="zh-CN"/>
        </w:rPr>
        <w:t xml:space="preserve">15.6 </w:t>
      </w:r>
      <w:r>
        <w:rPr>
          <w:rFonts w:hint="eastAsia" w:ascii="宋体" w:hAnsi="宋体" w:eastAsia="宋体" w:cs="宋体"/>
          <w:color w:val="auto"/>
          <w:kern w:val="0"/>
          <w:szCs w:val="21"/>
          <w:highlight w:val="none"/>
        </w:rPr>
        <w:t>中标人的投标保证金，满足下列要求，并</w:t>
      </w:r>
      <w:r>
        <w:rPr>
          <w:rFonts w:hint="eastAsia" w:ascii="宋体" w:hAnsi="宋体" w:eastAsia="宋体" w:cs="宋体"/>
          <w:color w:val="auto"/>
          <w:kern w:val="0"/>
          <w:szCs w:val="21"/>
          <w:highlight w:val="none"/>
          <w:lang w:val="en-US" w:eastAsia="zh-CN"/>
        </w:rPr>
        <w:t>最</w:t>
      </w:r>
      <w:r>
        <w:rPr>
          <w:rFonts w:hint="eastAsia" w:ascii="宋体" w:hAnsi="宋体" w:eastAsia="宋体" w:cs="宋体"/>
          <w:color w:val="auto"/>
          <w:kern w:val="0"/>
          <w:szCs w:val="21"/>
          <w:highlight w:val="none"/>
          <w:lang w:eastAsia="zh-CN"/>
        </w:rPr>
        <w:t>迟</w:t>
      </w:r>
      <w:r>
        <w:rPr>
          <w:rFonts w:hint="eastAsia" w:ascii="宋体" w:hAnsi="宋体" w:eastAsia="宋体" w:cs="宋体"/>
          <w:color w:val="auto"/>
          <w:kern w:val="0"/>
          <w:szCs w:val="21"/>
          <w:highlight w:val="none"/>
          <w:lang w:val="en-US" w:eastAsia="zh-CN"/>
        </w:rPr>
        <w:t>应</w:t>
      </w:r>
      <w:r>
        <w:rPr>
          <w:rFonts w:hint="eastAsia" w:ascii="宋体" w:hAnsi="宋体" w:eastAsia="宋体" w:cs="宋体"/>
          <w:color w:val="auto"/>
          <w:kern w:val="0"/>
          <w:szCs w:val="21"/>
          <w:highlight w:val="none"/>
          <w:lang w:eastAsia="zh-CN"/>
        </w:rPr>
        <w:t>在本项目的书面合同签订后5日内</w:t>
      </w:r>
      <w:r>
        <w:rPr>
          <w:rFonts w:hint="eastAsia" w:ascii="宋体" w:hAnsi="宋体" w:eastAsia="宋体" w:cs="宋体"/>
          <w:color w:val="auto"/>
          <w:kern w:val="0"/>
          <w:szCs w:val="21"/>
          <w:highlight w:val="none"/>
        </w:rPr>
        <w:t>退还。</w:t>
      </w:r>
    </w:p>
    <w:p w14:paraId="0785F437">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rPr>
        <w:t>（1）中标</w:t>
      </w:r>
      <w:r>
        <w:rPr>
          <w:rFonts w:hint="eastAsia" w:ascii="宋体" w:hAnsi="宋体" w:eastAsia="宋体" w:cs="宋体"/>
          <w:color w:val="auto"/>
          <w:szCs w:val="21"/>
          <w:highlight w:val="none"/>
          <w:lang w:val="zh-CN"/>
        </w:rPr>
        <w:t>人提交了履约担保；</w:t>
      </w:r>
    </w:p>
    <w:p w14:paraId="14FF3643">
      <w:pPr>
        <w:autoSpaceDE w:val="0"/>
        <w:autoSpaceDN w:val="0"/>
        <w:adjustRightInd w:val="0"/>
        <w:spacing w:line="360" w:lineRule="auto"/>
        <w:ind w:left="357" w:leftChars="-100" w:hanging="567"/>
        <w:rPr>
          <w:rFonts w:ascii="宋体" w:hAnsi="宋体" w:eastAsia="宋体" w:cs="宋体"/>
          <w:color w:val="auto"/>
          <w:kern w:val="0"/>
          <w:szCs w:val="21"/>
          <w:highlight w:val="none"/>
        </w:rPr>
      </w:pPr>
      <w:r>
        <w:rPr>
          <w:rFonts w:hint="eastAsia" w:ascii="宋体" w:hAnsi="宋体" w:eastAsia="宋体" w:cs="宋体"/>
          <w:color w:val="auto"/>
          <w:szCs w:val="21"/>
          <w:highlight w:val="none"/>
          <w:lang w:val="zh-CN"/>
        </w:rPr>
        <w:t>（2）在投标过程中</w:t>
      </w:r>
      <w:r>
        <w:rPr>
          <w:rFonts w:hint="eastAsia" w:ascii="宋体" w:hAnsi="宋体" w:eastAsia="宋体" w:cs="宋体"/>
          <w:color w:val="auto"/>
          <w:kern w:val="0"/>
          <w:szCs w:val="21"/>
          <w:highlight w:val="none"/>
        </w:rPr>
        <w:t>不存在违反本招标文件或《中华人民共和国招标投标法》及其实施条例等规定的行为。</w:t>
      </w:r>
    </w:p>
    <w:p w14:paraId="4715CC72">
      <w:pPr>
        <w:spacing w:line="360" w:lineRule="auto"/>
        <w:ind w:left="315" w:leftChars="-100" w:hanging="525" w:hangingChars="250"/>
        <w:rPr>
          <w:rFonts w:ascii="宋体" w:hAnsi="宋体" w:eastAsia="宋体" w:cs="宋体"/>
          <w:b/>
          <w:bCs/>
          <w:color w:val="auto"/>
          <w:kern w:val="0"/>
          <w:szCs w:val="20"/>
          <w:highlight w:val="none"/>
        </w:rPr>
      </w:pPr>
      <w:r>
        <w:rPr>
          <w:rFonts w:hint="eastAsia" w:ascii="宋体" w:hAnsi="宋体" w:eastAsia="宋体" w:cs="宋体"/>
          <w:bCs/>
          <w:color w:val="auto"/>
          <w:szCs w:val="21"/>
          <w:highlight w:val="none"/>
          <w:lang w:val="zh-CN"/>
        </w:rPr>
        <w:t xml:space="preserve">15.7 </w:t>
      </w:r>
      <w:r>
        <w:rPr>
          <w:rFonts w:hint="eastAsia" w:ascii="宋体" w:hAnsi="宋体" w:eastAsia="宋体" w:cs="宋体"/>
          <w:color w:val="auto"/>
          <w:kern w:val="0"/>
          <w:szCs w:val="20"/>
          <w:highlight w:val="none"/>
        </w:rPr>
        <w:t>若</w:t>
      </w:r>
      <w:r>
        <w:rPr>
          <w:rFonts w:hint="eastAsia" w:ascii="宋体" w:hAnsi="宋体" w:eastAsia="宋体" w:cs="宋体"/>
          <w:color w:val="auto"/>
          <w:szCs w:val="21"/>
          <w:highlight w:val="none"/>
          <w:lang w:val="zh-CN"/>
        </w:rPr>
        <w:t>发生</w:t>
      </w:r>
      <w:r>
        <w:rPr>
          <w:rFonts w:hint="eastAsia" w:ascii="宋体" w:hAnsi="宋体" w:eastAsia="宋体" w:cs="宋体"/>
          <w:color w:val="auto"/>
          <w:kern w:val="0"/>
          <w:szCs w:val="20"/>
          <w:highlight w:val="none"/>
        </w:rPr>
        <w:t>下列情况，招标人在书面通知投标人（或中标人）后有权不予退还投标保证金：</w:t>
      </w:r>
    </w:p>
    <w:p w14:paraId="5E315C63">
      <w:pPr>
        <w:numPr>
          <w:ilvl w:val="2"/>
          <w:numId w:val="0"/>
        </w:numPr>
        <w:autoSpaceDE w:val="0"/>
        <w:autoSpaceDN w:val="0"/>
        <w:adjustRightInd w:val="0"/>
        <w:spacing w:line="360" w:lineRule="auto"/>
        <w:ind w:left="853" w:leftChars="136" w:hanging="567"/>
        <w:jc w:val="left"/>
        <w:rPr>
          <w:rFonts w:ascii="宋体" w:hAnsi="宋体" w:eastAsia="宋体" w:cs="宋体"/>
          <w:color w:val="auto"/>
          <w:kern w:val="0"/>
          <w:szCs w:val="24"/>
          <w:highlight w:val="none"/>
        </w:rPr>
      </w:pPr>
      <w:r>
        <w:rPr>
          <w:rFonts w:hint="eastAsia" w:ascii="宋体" w:hAnsi="宋体" w:eastAsia="宋体" w:cs="宋体"/>
          <w:color w:val="auto"/>
          <w:kern w:val="0"/>
          <w:szCs w:val="24"/>
          <w:highlight w:val="none"/>
        </w:rPr>
        <w:t>如果投标人（或中标人）：</w:t>
      </w:r>
    </w:p>
    <w:p w14:paraId="6C4DB1A9">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rPr>
        <w:t>（1）投标</w:t>
      </w:r>
      <w:r>
        <w:rPr>
          <w:rFonts w:hint="eastAsia" w:ascii="宋体" w:hAnsi="宋体" w:eastAsia="宋体" w:cs="宋体"/>
          <w:color w:val="auto"/>
          <w:szCs w:val="21"/>
          <w:highlight w:val="none"/>
          <w:lang w:val="zh-CN"/>
        </w:rPr>
        <w:t>人在规定的投标截止时间后至投标有效期满之前撤销或修改其投标文件；</w:t>
      </w:r>
    </w:p>
    <w:p w14:paraId="4C767190">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（2）中标人未能在规定期限内提交履约担保；</w:t>
      </w:r>
    </w:p>
    <w:p w14:paraId="3A385D7B">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（3）未根据第34条规定签署合同；</w:t>
      </w:r>
    </w:p>
    <w:p w14:paraId="5F6702E6">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4</w:t>
      </w:r>
      <w:r>
        <w:rPr>
          <w:rFonts w:hint="eastAsia" w:ascii="宋体" w:hAnsi="宋体" w:eastAsia="宋体" w:cs="宋体"/>
          <w:color w:val="auto"/>
          <w:szCs w:val="21"/>
          <w:highlight w:val="none"/>
          <w:lang w:val="zh-CN"/>
        </w:rPr>
        <w:t>）将中标项目转让给他人，或者在投标文件中未说明，且未经招标人同意，将中标项目的合同</w:t>
      </w:r>
      <w:r>
        <w:rPr>
          <w:rFonts w:ascii="宋体" w:hAnsi="宋体" w:eastAsia="宋体" w:cs="宋体"/>
          <w:color w:val="auto"/>
          <w:szCs w:val="21"/>
          <w:highlight w:val="none"/>
          <w:lang w:val="zh-CN"/>
        </w:rPr>
        <w:t>的权利义务转让</w:t>
      </w:r>
      <w:r>
        <w:rPr>
          <w:rFonts w:hint="eastAsia" w:ascii="宋体" w:hAnsi="宋体" w:eastAsia="宋体" w:cs="宋体"/>
          <w:color w:val="auto"/>
          <w:szCs w:val="21"/>
          <w:highlight w:val="none"/>
          <w:lang w:val="zh-CN"/>
        </w:rPr>
        <w:t>给第三</w:t>
      </w:r>
      <w:r>
        <w:rPr>
          <w:rFonts w:ascii="宋体" w:hAnsi="宋体" w:eastAsia="宋体" w:cs="宋体"/>
          <w:color w:val="auto"/>
          <w:szCs w:val="21"/>
          <w:highlight w:val="none"/>
          <w:lang w:val="zh-CN"/>
        </w:rPr>
        <w:t>方</w:t>
      </w:r>
      <w:r>
        <w:rPr>
          <w:rFonts w:hint="eastAsia" w:ascii="宋体" w:hAnsi="宋体" w:eastAsia="宋体" w:cs="宋体"/>
          <w:color w:val="auto"/>
          <w:szCs w:val="21"/>
          <w:highlight w:val="none"/>
          <w:lang w:val="zh-CN"/>
        </w:rPr>
        <w:t>的；</w:t>
      </w:r>
    </w:p>
    <w:p w14:paraId="308D3A02">
      <w:pPr>
        <w:autoSpaceDE w:val="0"/>
        <w:autoSpaceDN w:val="0"/>
        <w:adjustRightInd w:val="0"/>
        <w:spacing w:line="360" w:lineRule="auto"/>
        <w:ind w:left="357" w:leftChars="-100" w:hanging="567"/>
        <w:rPr>
          <w:rFonts w:ascii="宋体" w:hAnsi="宋体" w:eastAsia="宋体" w:cs="宋体"/>
          <w:color w:val="auto"/>
          <w:kern w:val="0"/>
          <w:szCs w:val="21"/>
          <w:highlight w:val="none"/>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5</w:t>
      </w:r>
      <w:r>
        <w:rPr>
          <w:rFonts w:hint="eastAsia" w:ascii="宋体" w:hAnsi="宋体" w:eastAsia="宋体" w:cs="宋体"/>
          <w:color w:val="auto"/>
          <w:szCs w:val="21"/>
          <w:highlight w:val="none"/>
          <w:lang w:val="zh-CN"/>
        </w:rPr>
        <w:t>）提供虚假投标文</w:t>
      </w:r>
      <w:r>
        <w:rPr>
          <w:rFonts w:hint="eastAsia" w:ascii="宋体" w:hAnsi="宋体" w:eastAsia="宋体" w:cs="宋体"/>
          <w:color w:val="auto"/>
          <w:kern w:val="0"/>
          <w:szCs w:val="21"/>
          <w:highlight w:val="none"/>
        </w:rPr>
        <w:t>件或虚假补充文件的，或违反《中华人民共和国招标投标法》等有关法律、法规、规章及招标投标相关规定的行为。</w:t>
      </w:r>
    </w:p>
    <w:p w14:paraId="0DEE7CB8">
      <w:pPr>
        <w:tabs>
          <w:tab w:val="left" w:pos="1134"/>
        </w:tabs>
        <w:autoSpaceDE w:val="0"/>
        <w:autoSpaceDN w:val="0"/>
        <w:adjustRightInd w:val="0"/>
        <w:spacing w:line="360" w:lineRule="auto"/>
        <w:ind w:left="840" w:leftChars="150" w:hanging="525" w:hangingChars="250"/>
        <w:jc w:val="left"/>
        <w:rPr>
          <w:rFonts w:ascii="宋体" w:hAnsi="宋体" w:eastAsia="宋体" w:cs="宋体"/>
          <w:color w:val="auto"/>
          <w:kern w:val="0"/>
          <w:szCs w:val="21"/>
          <w:highlight w:val="none"/>
        </w:rPr>
      </w:pPr>
    </w:p>
    <w:p w14:paraId="18A7698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56" w:name="_Toc142508330"/>
      <w:bookmarkStart w:id="157" w:name="_Toc2942"/>
      <w:bookmarkStart w:id="158" w:name="_Toc450662865"/>
      <w:bookmarkStart w:id="159" w:name="_Toc20393"/>
      <w:bookmarkStart w:id="160" w:name="_Toc22649_WPSOffice_Level3"/>
      <w:bookmarkStart w:id="161" w:name="_Toc486167680"/>
      <w:bookmarkStart w:id="162" w:name="_Toc10550"/>
      <w:r>
        <w:rPr>
          <w:rFonts w:hint="eastAsia" w:ascii="宋体" w:hAnsi="宋体" w:eastAsia="宋体" w:cs="宋体"/>
          <w:color w:val="auto"/>
          <w:szCs w:val="21"/>
          <w:highlight w:val="none"/>
          <w:lang w:val="zh-CN"/>
        </w:rPr>
        <w:t>16</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投标有效期</w:t>
      </w:r>
      <w:bookmarkEnd w:id="156"/>
      <w:bookmarkEnd w:id="157"/>
      <w:bookmarkEnd w:id="158"/>
      <w:bookmarkEnd w:id="159"/>
      <w:bookmarkEnd w:id="160"/>
      <w:bookmarkEnd w:id="161"/>
      <w:bookmarkEnd w:id="162"/>
    </w:p>
    <w:p w14:paraId="78862038">
      <w:pPr>
        <w:tabs>
          <w:tab w:val="left" w:pos="567"/>
        </w:tabs>
        <w:autoSpaceDE w:val="0"/>
        <w:autoSpaceDN w:val="0"/>
        <w:adjustRightInd w:val="0"/>
        <w:spacing w:line="360" w:lineRule="auto"/>
        <w:ind w:left="357" w:leftChars="-100" w:hanging="567"/>
        <w:rPr>
          <w:rFonts w:ascii="宋体" w:hAnsi="宋体" w:eastAsia="宋体" w:cs="宋体"/>
          <w:b/>
          <w:bCs/>
          <w:color w:val="auto"/>
          <w:szCs w:val="21"/>
          <w:highlight w:val="none"/>
          <w:lang w:val="zh-CN"/>
        </w:rPr>
      </w:pPr>
      <w:r>
        <w:rPr>
          <w:rFonts w:hint="eastAsia" w:ascii="宋体" w:hAnsi="宋体" w:eastAsia="宋体" w:cs="宋体"/>
          <w:color w:val="auto"/>
          <w:szCs w:val="21"/>
          <w:highlight w:val="none"/>
          <w:lang w:val="zh-CN"/>
        </w:rPr>
        <w:t>16.1</w:t>
      </w:r>
      <w:r>
        <w:rPr>
          <w:rFonts w:hint="eastAsia" w:ascii="宋体" w:hAnsi="宋体" w:eastAsia="宋体" w:cs="宋体"/>
          <w:color w:val="auto"/>
          <w:szCs w:val="21"/>
          <w:highlight w:val="none"/>
          <w:lang w:val="zh-CN"/>
        </w:rPr>
        <w:tab/>
      </w:r>
      <w:r>
        <w:rPr>
          <w:rFonts w:hint="eastAsia" w:ascii="宋体" w:hAnsi="宋体" w:eastAsia="宋体" w:cs="宋体"/>
          <w:b/>
          <w:bCs/>
          <w:color w:val="auto"/>
          <w:szCs w:val="21"/>
          <w:highlight w:val="none"/>
          <w:u w:val="single"/>
          <w:lang w:val="zh-CN"/>
        </w:rPr>
        <w:t>投标文件将在递交投标文件截止时间届满后90日内有效。投标有效期比规定时间短的按无效投标文件处理</w:t>
      </w:r>
      <w:r>
        <w:rPr>
          <w:rFonts w:hint="eastAsia" w:ascii="宋体" w:hAnsi="宋体" w:eastAsia="宋体" w:cs="宋体"/>
          <w:b/>
          <w:bCs/>
          <w:color w:val="auto"/>
          <w:szCs w:val="21"/>
          <w:highlight w:val="none"/>
          <w:lang w:val="zh-CN"/>
        </w:rPr>
        <w:t>。</w:t>
      </w:r>
    </w:p>
    <w:p w14:paraId="56490592">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16.2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中标人的投标文件作为合同附件，合同失效时同时失效。</w:t>
      </w:r>
    </w:p>
    <w:p w14:paraId="37FE59B6">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16.3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在特殊情况下，招标代理机构可于投标有效期满之前要求投标人同意延长投标有效期。要求与答复均应为书面形式往来。投标人可以拒绝上述要求</w:t>
      </w:r>
      <w:r>
        <w:rPr>
          <w:rFonts w:hint="eastAsia" w:ascii="宋体" w:hAnsi="宋体" w:eastAsia="宋体" w:cs="Times New Roman"/>
          <w:color w:val="auto"/>
          <w:szCs w:val="21"/>
          <w:highlight w:val="none"/>
          <w:lang w:val="zh-CN"/>
        </w:rPr>
        <w:t>，招标</w:t>
      </w:r>
      <w:r>
        <w:rPr>
          <w:rFonts w:hint="eastAsia" w:ascii="宋体" w:hAnsi="宋体" w:eastAsia="宋体" w:cs="Times New Roman"/>
          <w:color w:val="auto"/>
          <w:szCs w:val="21"/>
          <w:highlight w:val="none"/>
          <w:lang w:val="en-US" w:eastAsia="zh-CN"/>
        </w:rPr>
        <w:t>人</w:t>
      </w:r>
      <w:r>
        <w:rPr>
          <w:rFonts w:hint="eastAsia" w:ascii="宋体" w:hAnsi="宋体" w:eastAsia="宋体" w:cs="Times New Roman"/>
          <w:color w:val="auto"/>
          <w:szCs w:val="21"/>
          <w:highlight w:val="none"/>
          <w:lang w:val="zh-CN"/>
        </w:rPr>
        <w:t>将退还</w:t>
      </w:r>
      <w:r>
        <w:rPr>
          <w:rFonts w:hint="eastAsia" w:ascii="宋体" w:hAnsi="宋体" w:eastAsia="宋体" w:cs="宋体"/>
          <w:color w:val="auto"/>
          <w:szCs w:val="21"/>
          <w:highlight w:val="none"/>
          <w:lang w:val="zh-CN"/>
        </w:rPr>
        <w:t>其投标保证金。对于同意该要求的投标人，既不要求也不允许其修改投标文件，但将要求其相应延长投标保证金的有效期。第15条投标保证金的有关规定在投标保证金延长期内仍适用。</w:t>
      </w:r>
    </w:p>
    <w:p w14:paraId="4975CF8C">
      <w:pPr>
        <w:autoSpaceDE w:val="0"/>
        <w:autoSpaceDN w:val="0"/>
        <w:adjustRightInd w:val="0"/>
        <w:spacing w:line="360" w:lineRule="auto"/>
        <w:ind w:left="357" w:leftChars="-100" w:hanging="567"/>
        <w:rPr>
          <w:rFonts w:ascii="宋体" w:hAnsi="宋体" w:eastAsia="宋体" w:cs="宋体"/>
          <w:color w:val="auto"/>
          <w:szCs w:val="21"/>
          <w:highlight w:val="none"/>
          <w:lang w:val="zh-CN"/>
        </w:rPr>
      </w:pPr>
    </w:p>
    <w:p w14:paraId="07A6EA3E">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63" w:name="_Toc486167681"/>
      <w:bookmarkStart w:id="164" w:name="_Toc358"/>
      <w:bookmarkStart w:id="165" w:name="_Toc6565"/>
      <w:bookmarkStart w:id="166" w:name="_Toc13311"/>
      <w:bookmarkStart w:id="167" w:name="_Toc450662866"/>
      <w:bookmarkStart w:id="168" w:name="_Toc142508331"/>
      <w:bookmarkStart w:id="169" w:name="_Toc25637_WPSOffice_Level3"/>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投标文件的式样和签署</w:t>
      </w:r>
      <w:bookmarkEnd w:id="163"/>
      <w:bookmarkEnd w:id="164"/>
      <w:bookmarkEnd w:id="165"/>
      <w:bookmarkEnd w:id="166"/>
      <w:bookmarkEnd w:id="167"/>
      <w:bookmarkEnd w:id="168"/>
      <w:bookmarkEnd w:id="169"/>
    </w:p>
    <w:p w14:paraId="55194959">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17.1</w:t>
      </w:r>
      <w:r>
        <w:rPr>
          <w:rFonts w:hint="eastAsia" w:ascii="宋体" w:hAnsi="宋体" w:eastAsia="宋体" w:cs="宋体"/>
          <w:color w:val="auto"/>
          <w:szCs w:val="21"/>
          <w:highlight w:val="none"/>
          <w:lang w:val="zh-CN"/>
        </w:rPr>
        <w:tab/>
      </w:r>
      <w:r>
        <w:rPr>
          <w:rFonts w:hint="eastAsia" w:ascii="宋体" w:hAnsi="宋体" w:eastAsia="宋体" w:cs="宋体"/>
          <w:b/>
          <w:color w:val="auto"/>
          <w:szCs w:val="21"/>
          <w:highlight w:val="none"/>
          <w:u w:val="single"/>
          <w:lang w:val="zh-CN"/>
        </w:rPr>
        <w:t>投标人应准备一份“唱标信封”、</w:t>
      </w:r>
      <w:r>
        <w:rPr>
          <w:rFonts w:hint="eastAsia" w:ascii="宋体" w:hAnsi="宋体" w:eastAsia="宋体" w:cs="Times New Roman"/>
          <w:b/>
          <w:color w:val="auto"/>
          <w:szCs w:val="21"/>
          <w:highlight w:val="none"/>
          <w:u w:val="single"/>
          <w:lang w:val="zh-CN"/>
        </w:rPr>
        <w:t>一份投标文件电子文件、</w:t>
      </w:r>
      <w:r>
        <w:rPr>
          <w:rFonts w:hint="eastAsia" w:ascii="宋体" w:hAnsi="宋体" w:eastAsia="宋体" w:cs="宋体"/>
          <w:b/>
          <w:color w:val="auto"/>
          <w:szCs w:val="21"/>
          <w:highlight w:val="none"/>
          <w:u w:val="single"/>
          <w:lang w:val="zh-CN"/>
        </w:rPr>
        <w:t>一份正本和五份副本“投标文件”</w:t>
      </w:r>
      <w:r>
        <w:rPr>
          <w:rFonts w:hint="eastAsia" w:ascii="宋体" w:hAnsi="宋体" w:eastAsia="宋体" w:cs="宋体"/>
          <w:color w:val="auto"/>
          <w:szCs w:val="21"/>
          <w:highlight w:val="none"/>
          <w:lang w:val="zh-CN"/>
        </w:rPr>
        <w:t>，</w:t>
      </w:r>
      <w:r>
        <w:rPr>
          <w:rFonts w:hint="eastAsia" w:ascii="宋体" w:hAnsi="宋体" w:eastAsia="宋体" w:cs="Times New Roman"/>
          <w:color w:val="auto"/>
          <w:szCs w:val="21"/>
          <w:highlight w:val="none"/>
          <w:lang w:val="zh-CN"/>
        </w:rPr>
        <w:t>在每一份投标文件上编上目录（目录内的页码必须与实际内容对应）、页次，装订成册（不允许使用活页夹），并要明确注明“正本”或“副本”，一旦正本和副本发现差异，以正本为准</w:t>
      </w:r>
      <w:r>
        <w:rPr>
          <w:rFonts w:hint="eastAsia" w:ascii="宋体" w:hAnsi="宋体" w:eastAsia="宋体" w:cs="宋体"/>
          <w:color w:val="auto"/>
          <w:szCs w:val="21"/>
          <w:highlight w:val="none"/>
          <w:lang w:val="zh-CN"/>
        </w:rPr>
        <w:t>。</w:t>
      </w:r>
    </w:p>
    <w:p w14:paraId="4577E8C2">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17.2</w:t>
      </w:r>
      <w:r>
        <w:rPr>
          <w:rFonts w:hint="eastAsia" w:ascii="宋体" w:hAnsi="宋体" w:eastAsia="宋体" w:cs="宋体"/>
          <w:color w:val="auto"/>
          <w:szCs w:val="21"/>
          <w:highlight w:val="none"/>
          <w:lang w:val="zh-CN"/>
        </w:rPr>
        <w:tab/>
      </w:r>
      <w:r>
        <w:rPr>
          <w:rFonts w:hint="eastAsia" w:ascii="宋体" w:hAnsi="宋体" w:eastAsia="宋体" w:cs="Times New Roman"/>
          <w:bCs/>
          <w:color w:val="auto"/>
          <w:szCs w:val="21"/>
          <w:highlight w:val="none"/>
          <w:lang w:val="zh-CN"/>
        </w:rPr>
        <w:t>投标文件正本和副本须打印或用不褪色墨水书写，招标文件提供的格式文件或投标文件中明确要求签署的，由投标人法定代表人或其授权代表签字（或盖私章），后者须将</w:t>
      </w:r>
      <w:r>
        <w:rPr>
          <w:rFonts w:hint="eastAsia" w:ascii="宋体" w:hAnsi="宋体" w:eastAsia="宋体" w:cs="宋体"/>
          <w:bCs/>
          <w:color w:val="auto"/>
          <w:szCs w:val="21"/>
          <w:highlight w:val="none"/>
          <w:lang w:val="zh-CN"/>
        </w:rPr>
        <w:t>“</w:t>
      </w:r>
      <w:r>
        <w:rPr>
          <w:rFonts w:hint="eastAsia" w:ascii="宋体" w:hAnsi="宋体" w:eastAsia="宋体" w:cs="宋体"/>
          <w:color w:val="auto"/>
          <w:szCs w:val="21"/>
          <w:highlight w:val="none"/>
          <w:lang w:val="zh-CN"/>
        </w:rPr>
        <w:t>法定代表人授权书</w:t>
      </w:r>
      <w:r>
        <w:rPr>
          <w:rFonts w:hint="eastAsia" w:ascii="宋体" w:hAnsi="宋体" w:eastAsia="宋体" w:cs="宋体"/>
          <w:bCs/>
          <w:color w:val="auto"/>
          <w:szCs w:val="21"/>
          <w:highlight w:val="none"/>
          <w:lang w:val="zh-CN"/>
        </w:rPr>
        <w:t>”</w:t>
      </w:r>
      <w:r>
        <w:rPr>
          <w:rFonts w:hint="eastAsia" w:ascii="宋体" w:hAnsi="宋体" w:eastAsia="宋体" w:cs="Times New Roman"/>
          <w:bCs/>
          <w:color w:val="auto"/>
          <w:szCs w:val="21"/>
          <w:highlight w:val="none"/>
          <w:lang w:val="zh-CN"/>
        </w:rPr>
        <w:t>以书面形式附在投标文件中。</w:t>
      </w:r>
      <w:r>
        <w:rPr>
          <w:rFonts w:hint="eastAsia" w:ascii="宋体" w:hAnsi="宋体" w:eastAsia="宋体" w:cs="Times New Roman"/>
          <w:color w:val="auto"/>
          <w:szCs w:val="21"/>
          <w:highlight w:val="none"/>
          <w:lang w:val="zh-CN"/>
        </w:rPr>
        <w:t>副本文件可由正本文件复印而成。</w:t>
      </w:r>
    </w:p>
    <w:p w14:paraId="2B31E3FE">
      <w:pPr>
        <w:autoSpaceDE w:val="0"/>
        <w:autoSpaceDN w:val="0"/>
        <w:adjustRightInd w:val="0"/>
        <w:spacing w:line="360" w:lineRule="auto"/>
        <w:ind w:left="357" w:leftChars="-100" w:hanging="567"/>
        <w:rPr>
          <w:rFonts w:ascii="宋体" w:hAnsi="宋体" w:eastAsia="宋体" w:cs="宋体"/>
          <w:bCs/>
          <w:color w:val="auto"/>
          <w:szCs w:val="21"/>
          <w:highlight w:val="none"/>
          <w:lang w:val="zh-CN"/>
        </w:rPr>
      </w:pPr>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除投标人对错处作必要修改外，投标文件中不许有加行、涂抹或改写。</w:t>
      </w:r>
      <w:r>
        <w:rPr>
          <w:rFonts w:hint="eastAsia" w:ascii="宋体" w:hAnsi="宋体" w:eastAsia="宋体" w:cs="宋体"/>
          <w:bCs/>
          <w:color w:val="auto"/>
          <w:szCs w:val="21"/>
          <w:highlight w:val="none"/>
          <w:lang w:val="zh-CN"/>
        </w:rPr>
        <w:t>若有修改须由签署投标文件的人进行签字（或盖私章），并加盖投标人</w:t>
      </w:r>
      <w:r>
        <w:rPr>
          <w:rFonts w:hint="eastAsia" w:ascii="宋体" w:hAnsi="宋体" w:eastAsia="宋体" w:cs="Times New Roman"/>
          <w:bCs/>
          <w:color w:val="auto"/>
          <w:szCs w:val="21"/>
          <w:highlight w:val="none"/>
          <w:lang w:val="zh-CN"/>
        </w:rPr>
        <w:t>法人</w:t>
      </w:r>
      <w:r>
        <w:rPr>
          <w:rFonts w:hint="eastAsia" w:ascii="宋体" w:hAnsi="宋体" w:eastAsia="宋体" w:cs="宋体"/>
          <w:bCs/>
          <w:color w:val="auto"/>
          <w:szCs w:val="21"/>
          <w:highlight w:val="none"/>
          <w:lang w:val="zh-CN"/>
        </w:rPr>
        <w:t>公章。</w:t>
      </w:r>
    </w:p>
    <w:p w14:paraId="58583B54">
      <w:pPr>
        <w:autoSpaceDE w:val="0"/>
        <w:autoSpaceDN w:val="0"/>
        <w:adjustRightInd w:val="0"/>
        <w:spacing w:line="360" w:lineRule="auto"/>
        <w:ind w:left="357" w:leftChars="-100" w:hanging="567"/>
        <w:rPr>
          <w:rFonts w:ascii="宋体" w:hAnsi="宋体" w:eastAsia="宋体" w:cs="宋体"/>
          <w:b/>
          <w:bCs/>
          <w:color w:val="auto"/>
          <w:szCs w:val="21"/>
          <w:highlight w:val="none"/>
          <w:u w:val="single"/>
          <w:lang w:val="zh-CN"/>
        </w:rPr>
      </w:pPr>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4</w:t>
      </w:r>
      <w:r>
        <w:rPr>
          <w:rFonts w:hint="eastAsia" w:ascii="宋体" w:hAnsi="宋体" w:eastAsia="宋体" w:cs="宋体"/>
          <w:color w:val="auto"/>
          <w:szCs w:val="21"/>
          <w:highlight w:val="none"/>
          <w:lang w:val="zh-CN"/>
        </w:rPr>
        <w:t xml:space="preserve">  投标文件的封面应注明“项目名称、招标编号、投标人名称、投标日期等”。</w:t>
      </w:r>
    </w:p>
    <w:p w14:paraId="286C861F">
      <w:pPr>
        <w:autoSpaceDE w:val="0"/>
        <w:autoSpaceDN w:val="0"/>
        <w:adjustRightInd w:val="0"/>
        <w:spacing w:line="360" w:lineRule="auto"/>
        <w:ind w:left="357" w:leftChars="-100" w:hanging="567"/>
        <w:rPr>
          <w:rFonts w:ascii="宋体" w:hAnsi="宋体" w:eastAsia="宋体" w:cs="宋体"/>
          <w:b/>
          <w:bCs/>
          <w:color w:val="auto"/>
          <w:szCs w:val="21"/>
          <w:highlight w:val="none"/>
          <w:lang w:val="zh-CN"/>
        </w:rPr>
      </w:pPr>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5</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电子文件内容包括：电子文件不可设置密码，用DVD或CD-R光盘或U盘储存，</w:t>
      </w:r>
      <w:r>
        <w:rPr>
          <w:rFonts w:hint="eastAsia" w:ascii="宋体" w:hAnsi="宋体" w:eastAsia="宋体" w:cs="Times New Roman"/>
          <w:color w:val="auto"/>
          <w:szCs w:val="21"/>
          <w:highlight w:val="none"/>
          <w:lang w:val="zh-CN"/>
        </w:rPr>
        <w:t>可密封于</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唱标信封</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内（若电子文件单独密封，其包装封面需注明项目名称、招标编号、投标人单位名称，并加盖投标人法人公章）</w:t>
      </w:r>
      <w:r>
        <w:rPr>
          <w:rFonts w:hint="eastAsia" w:ascii="宋体" w:hAnsi="宋体" w:eastAsia="宋体" w:cs="宋体"/>
          <w:color w:val="auto"/>
          <w:szCs w:val="21"/>
          <w:highlight w:val="none"/>
          <w:lang w:val="zh-CN"/>
        </w:rPr>
        <w:t>。</w:t>
      </w:r>
    </w:p>
    <w:p w14:paraId="2CBD7D68">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6</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电报、电传、传真的投标概不接受。</w:t>
      </w:r>
    </w:p>
    <w:p w14:paraId="7341C8CE">
      <w:pPr>
        <w:autoSpaceDE w:val="0"/>
        <w:autoSpaceDN w:val="0"/>
        <w:adjustRightInd w:val="0"/>
        <w:jc w:val="left"/>
        <w:rPr>
          <w:rFonts w:ascii="宋体" w:hAnsi="宋体" w:eastAsia="宋体" w:cs="宋体"/>
          <w:color w:val="auto"/>
          <w:kern w:val="0"/>
          <w:sz w:val="24"/>
          <w:szCs w:val="24"/>
          <w:highlight w:val="none"/>
        </w:rPr>
      </w:pPr>
      <w:bookmarkStart w:id="170" w:name="_Toc450662867"/>
    </w:p>
    <w:p w14:paraId="64B39C2C">
      <w:pPr>
        <w:keepNext/>
        <w:keepLines/>
        <w:tabs>
          <w:tab w:val="left" w:pos="509"/>
        </w:tabs>
        <w:autoSpaceDE w:val="0"/>
        <w:autoSpaceDN w:val="0"/>
        <w:adjustRightInd w:val="0"/>
        <w:spacing w:line="360" w:lineRule="auto"/>
        <w:jc w:val="left"/>
        <w:outlineLvl w:val="0"/>
        <w:rPr>
          <w:rFonts w:ascii="宋体" w:hAnsi="宋体" w:eastAsia="宋体" w:cs="宋体"/>
          <w:color w:val="auto"/>
          <w:kern w:val="0"/>
          <w:sz w:val="24"/>
          <w:szCs w:val="24"/>
          <w:highlight w:val="none"/>
        </w:rPr>
      </w:pPr>
      <w:bookmarkStart w:id="171" w:name="_Toc486167682"/>
      <w:bookmarkStart w:id="172" w:name="_Toc18968"/>
      <w:bookmarkStart w:id="173" w:name="_Toc11345"/>
      <w:bookmarkStart w:id="174" w:name="_Toc22356_WPSOffice_Level2"/>
      <w:bookmarkStart w:id="175" w:name="_Toc142508332"/>
      <w:bookmarkStart w:id="176" w:name="_Toc140596891"/>
      <w:bookmarkStart w:id="177" w:name="_Toc17608"/>
      <w:r>
        <w:rPr>
          <w:rFonts w:hint="eastAsia" w:ascii="宋体" w:hAnsi="宋体" w:eastAsia="宋体" w:cs="宋体"/>
          <w:b/>
          <w:bCs/>
          <w:color w:val="auto"/>
          <w:kern w:val="44"/>
          <w:szCs w:val="21"/>
          <w:highlight w:val="none"/>
          <w:lang w:val="zh-CN"/>
        </w:rPr>
        <w:t>四、投标文件的递交</w:t>
      </w:r>
      <w:bookmarkEnd w:id="170"/>
      <w:bookmarkEnd w:id="171"/>
      <w:bookmarkEnd w:id="172"/>
      <w:bookmarkEnd w:id="173"/>
      <w:bookmarkEnd w:id="174"/>
      <w:bookmarkEnd w:id="175"/>
      <w:bookmarkEnd w:id="176"/>
      <w:bookmarkEnd w:id="177"/>
    </w:p>
    <w:p w14:paraId="1DF0230B">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78" w:name="_Toc12342"/>
      <w:bookmarkStart w:id="179" w:name="_Toc9900"/>
      <w:bookmarkStart w:id="180" w:name="_Toc486167683"/>
      <w:bookmarkStart w:id="181" w:name="_Toc450662868"/>
      <w:bookmarkStart w:id="182" w:name="_Toc31579"/>
      <w:bookmarkStart w:id="183" w:name="_Toc142508333"/>
      <w:bookmarkStart w:id="184" w:name="_Toc12192_WPSOffice_Level3"/>
      <w:r>
        <w:rPr>
          <w:rFonts w:hint="eastAsia" w:ascii="宋体" w:hAnsi="宋体" w:eastAsia="宋体" w:cs="宋体"/>
          <w:color w:val="auto"/>
          <w:szCs w:val="21"/>
          <w:highlight w:val="none"/>
          <w:lang w:val="zh-CN"/>
        </w:rPr>
        <w:t>18</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投标文件的密封和标记</w:t>
      </w:r>
      <w:bookmarkEnd w:id="178"/>
      <w:bookmarkEnd w:id="179"/>
      <w:bookmarkEnd w:id="180"/>
      <w:bookmarkEnd w:id="181"/>
      <w:bookmarkEnd w:id="182"/>
      <w:bookmarkEnd w:id="183"/>
      <w:bookmarkEnd w:id="184"/>
    </w:p>
    <w:p w14:paraId="52FF3289">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18.1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投标人应将正本和副本投标文件（本处不含唱标信封</w:t>
      </w:r>
      <w:r>
        <w:rPr>
          <w:rFonts w:hint="eastAsia" w:ascii="宋体" w:hAnsi="宋体" w:eastAsia="宋体" w:cs="Times New Roman"/>
          <w:color w:val="auto"/>
          <w:szCs w:val="21"/>
          <w:highlight w:val="none"/>
          <w:lang w:val="zh-CN"/>
        </w:rPr>
        <w:t>、投标文件电子文件</w:t>
      </w:r>
      <w:r>
        <w:rPr>
          <w:rFonts w:hint="eastAsia" w:ascii="宋体" w:hAnsi="宋体" w:eastAsia="宋体" w:cs="宋体"/>
          <w:color w:val="auto"/>
          <w:szCs w:val="21"/>
          <w:highlight w:val="none"/>
          <w:lang w:val="zh-CN"/>
        </w:rPr>
        <w:t>）密封在不透明的外层封装中。</w:t>
      </w:r>
    </w:p>
    <w:p w14:paraId="310436E4">
      <w:pPr>
        <w:autoSpaceDE w:val="0"/>
        <w:autoSpaceDN w:val="0"/>
        <w:adjustRightInd w:val="0"/>
        <w:spacing w:line="360" w:lineRule="auto"/>
        <w:ind w:left="357" w:leftChars="-100" w:hanging="567"/>
        <w:rPr>
          <w:rFonts w:ascii="宋体" w:hAnsi="宋体" w:eastAsia="宋体" w:cs="宋体"/>
          <w:b/>
          <w:bCs/>
          <w:color w:val="auto"/>
          <w:szCs w:val="21"/>
          <w:highlight w:val="none"/>
          <w:u w:val="single"/>
          <w:lang w:val="zh-CN"/>
        </w:rPr>
      </w:pPr>
      <w:r>
        <w:rPr>
          <w:rFonts w:hint="eastAsia" w:ascii="宋体" w:hAnsi="宋体" w:eastAsia="宋体" w:cs="宋体"/>
          <w:color w:val="auto"/>
          <w:szCs w:val="21"/>
          <w:highlight w:val="none"/>
          <w:lang w:val="zh-CN"/>
        </w:rPr>
        <w:t>18.2</w:t>
      </w:r>
      <w:r>
        <w:rPr>
          <w:rFonts w:hint="eastAsia" w:ascii="宋体" w:hAnsi="宋体" w:eastAsia="宋体" w:cs="宋体"/>
          <w:color w:val="auto"/>
          <w:szCs w:val="21"/>
          <w:highlight w:val="none"/>
          <w:lang w:val="zh-CN"/>
        </w:rPr>
        <w:tab/>
      </w:r>
      <w:r>
        <w:rPr>
          <w:rFonts w:hint="eastAsia" w:ascii="宋体" w:hAnsi="宋体" w:eastAsia="宋体" w:cs="宋体"/>
          <w:b/>
          <w:bCs/>
          <w:color w:val="auto"/>
          <w:szCs w:val="21"/>
          <w:highlight w:val="none"/>
          <w:lang w:val="zh-CN"/>
        </w:rPr>
        <w:t>唱标信封应单独密封</w:t>
      </w:r>
      <w:r>
        <w:rPr>
          <w:rFonts w:hint="eastAsia" w:ascii="宋体" w:hAnsi="宋体" w:eastAsia="宋体" w:cs="Times New Roman"/>
          <w:b/>
          <w:bCs/>
          <w:color w:val="auto"/>
          <w:szCs w:val="21"/>
          <w:highlight w:val="none"/>
          <w:lang w:val="zh-CN"/>
        </w:rPr>
        <w:t>，与18.1款的投标文件一同提交。</w:t>
      </w:r>
    </w:p>
    <w:p w14:paraId="0F0887A9">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18.3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投标文件密封封装标记：</w:t>
      </w:r>
    </w:p>
    <w:p w14:paraId="08F7B4E6">
      <w:pPr>
        <w:autoSpaceDE w:val="0"/>
        <w:autoSpaceDN w:val="0"/>
        <w:adjustRightInd w:val="0"/>
        <w:spacing w:line="360" w:lineRule="auto"/>
        <w:ind w:left="319" w:leftChars="-118" w:hanging="567" w:hangingChars="27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rPr>
        <w:t>1</w:t>
      </w:r>
      <w:r>
        <w:rPr>
          <w:rFonts w:hint="eastAsia" w:ascii="宋体" w:hAnsi="宋体" w:eastAsia="宋体" w:cs="Times New Roman"/>
          <w:color w:val="auto"/>
          <w:szCs w:val="21"/>
          <w:highlight w:val="none"/>
          <w:lang w:val="zh-CN"/>
        </w:rPr>
        <w:t>）外层密封封装表面应正确注明项目名称、招标编号、投标人单位名称、并注明投标文件递交截止时间之前不得开封（在封口位置的封条上标注注明），封口位置的封条上须加盖投标人法人公章；</w:t>
      </w:r>
    </w:p>
    <w:p w14:paraId="13CD39DA">
      <w:pPr>
        <w:autoSpaceDE w:val="0"/>
        <w:autoSpaceDN w:val="0"/>
        <w:adjustRightInd w:val="0"/>
        <w:spacing w:line="360" w:lineRule="auto"/>
        <w:ind w:left="319" w:leftChars="-118" w:hanging="567" w:hangingChars="27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rPr>
        <w:t>2</w:t>
      </w:r>
      <w:r>
        <w:rPr>
          <w:rFonts w:hint="eastAsia" w:ascii="宋体" w:hAnsi="宋体" w:eastAsia="宋体" w:cs="Times New Roman"/>
          <w:color w:val="auto"/>
          <w:szCs w:val="21"/>
          <w:highlight w:val="none"/>
          <w:lang w:val="zh-CN"/>
        </w:rPr>
        <w:t>）投标文件已密封但不按前述标志封包，由此而引起的提前开封或错放责任由投标人承担；</w:t>
      </w:r>
    </w:p>
    <w:p w14:paraId="67BF24A0">
      <w:pPr>
        <w:autoSpaceDE w:val="0"/>
        <w:autoSpaceDN w:val="0"/>
        <w:adjustRightInd w:val="0"/>
        <w:spacing w:line="360" w:lineRule="auto"/>
        <w:ind w:left="319" w:leftChars="-118" w:hanging="567" w:hangingChars="27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（3）不足以造成投标文件可以从外包装内散出而导致投标文件泄密的，不认定为投标文件未密封。</w:t>
      </w:r>
    </w:p>
    <w:p w14:paraId="5B49961A">
      <w:pPr>
        <w:tabs>
          <w:tab w:val="left" w:pos="567"/>
        </w:tabs>
        <w:autoSpaceDE w:val="0"/>
        <w:autoSpaceDN w:val="0"/>
        <w:adjustRightInd w:val="0"/>
        <w:spacing w:line="360" w:lineRule="auto"/>
        <w:ind w:left="357" w:leftChars="-100" w:right="15" w:rightChars="7" w:hanging="567"/>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18.4</w:t>
      </w:r>
      <w:r>
        <w:rPr>
          <w:rFonts w:hint="eastAsia" w:ascii="宋体" w:hAnsi="宋体" w:eastAsia="宋体" w:cs="宋体"/>
          <w:b/>
          <w:color w:val="auto"/>
          <w:szCs w:val="21"/>
          <w:highlight w:val="none"/>
          <w:lang w:val="zh-CN"/>
        </w:rPr>
        <w:tab/>
      </w:r>
      <w:r>
        <w:rPr>
          <w:rFonts w:hint="eastAsia" w:ascii="宋体" w:hAnsi="宋体" w:eastAsia="宋体" w:cs="宋体"/>
          <w:b/>
          <w:color w:val="auto"/>
          <w:szCs w:val="21"/>
          <w:highlight w:val="none"/>
          <w:lang w:val="zh-CN"/>
        </w:rPr>
        <w:t>如果</w:t>
      </w:r>
      <w:r>
        <w:rPr>
          <w:rFonts w:hint="eastAsia" w:ascii="宋体" w:hAnsi="宋体" w:eastAsia="宋体" w:cs="Times New Roman"/>
          <w:b/>
          <w:color w:val="auto"/>
          <w:szCs w:val="21"/>
          <w:highlight w:val="none"/>
          <w:lang w:val="zh-CN"/>
        </w:rPr>
        <w:t>密封封装未按本款规定密封和标记，招标代理机构对投标文件的误投或提前拆封不负责任。对由此造成提前开封的投标文件，招标代理机构予以拒绝，并退回投标人</w:t>
      </w:r>
      <w:r>
        <w:rPr>
          <w:rFonts w:hint="eastAsia" w:ascii="宋体" w:hAnsi="宋体" w:eastAsia="宋体" w:cs="宋体"/>
          <w:b/>
          <w:color w:val="auto"/>
          <w:szCs w:val="21"/>
          <w:highlight w:val="none"/>
          <w:lang w:val="zh-CN"/>
        </w:rPr>
        <w:t>。</w:t>
      </w:r>
    </w:p>
    <w:p w14:paraId="6F1D738E">
      <w:pPr>
        <w:autoSpaceDE w:val="0"/>
        <w:autoSpaceDN w:val="0"/>
        <w:adjustRightInd w:val="0"/>
        <w:spacing w:line="360" w:lineRule="auto"/>
        <w:ind w:left="355" w:leftChars="-101" w:right="15" w:rightChars="7" w:hanging="567" w:hangingChars="27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18.5 开标前，</w:t>
      </w:r>
      <w:r>
        <w:rPr>
          <w:rFonts w:hint="eastAsia" w:ascii="宋体" w:hAnsi="宋体" w:eastAsia="宋体" w:cs="Times New Roman"/>
          <w:color w:val="auto"/>
          <w:szCs w:val="21"/>
          <w:highlight w:val="none"/>
          <w:lang w:val="zh-CN"/>
        </w:rPr>
        <w:t>由投标人代表</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第一位递交投标文件的投标人代表及主动自愿参与检查的投标人代表</w:t>
      </w:r>
      <w:r>
        <w:rPr>
          <w:rFonts w:ascii="宋体" w:hAnsi="宋体" w:eastAsia="宋体" w:cs="Times New Roman"/>
          <w:color w:val="auto"/>
          <w:szCs w:val="21"/>
          <w:highlight w:val="none"/>
          <w:lang w:val="zh-CN"/>
        </w:rPr>
        <w:t>）和招标人代表</w:t>
      </w:r>
      <w:r>
        <w:rPr>
          <w:rFonts w:hint="eastAsia" w:ascii="宋体" w:hAnsi="宋体" w:eastAsia="宋体" w:cs="Times New Roman"/>
          <w:color w:val="auto"/>
          <w:kern w:val="0"/>
          <w:szCs w:val="21"/>
          <w:highlight w:val="none"/>
          <w:lang w:val="zh-CN"/>
        </w:rPr>
        <w:t>将对所有的投标文件的密封性进行检查</w:t>
      </w:r>
      <w:r>
        <w:rPr>
          <w:rFonts w:ascii="宋体" w:hAnsi="宋体" w:eastAsia="宋体" w:cs="Times New Roman"/>
          <w:color w:val="auto"/>
          <w:szCs w:val="21"/>
          <w:highlight w:val="none"/>
          <w:lang w:val="zh-CN"/>
        </w:rPr>
        <w:t>，并签署进行确认</w:t>
      </w:r>
      <w:r>
        <w:rPr>
          <w:rFonts w:hint="eastAsia" w:ascii="宋体" w:hAnsi="宋体" w:eastAsia="宋体" w:cs="宋体"/>
          <w:color w:val="auto"/>
          <w:szCs w:val="21"/>
          <w:highlight w:val="none"/>
          <w:lang w:val="zh-CN"/>
        </w:rPr>
        <w:t>。</w:t>
      </w:r>
    </w:p>
    <w:p w14:paraId="684C4C0C">
      <w:pPr>
        <w:tabs>
          <w:tab w:val="left" w:pos="567"/>
        </w:tabs>
        <w:autoSpaceDE w:val="0"/>
        <w:autoSpaceDN w:val="0"/>
        <w:adjustRightInd w:val="0"/>
        <w:spacing w:line="360" w:lineRule="auto"/>
        <w:ind w:right="15" w:rightChars="7" w:firstLine="525" w:firstLineChars="250"/>
        <w:rPr>
          <w:rFonts w:ascii="宋体" w:hAnsi="宋体" w:eastAsia="宋体" w:cs="宋体"/>
          <w:color w:val="auto"/>
          <w:szCs w:val="21"/>
          <w:highlight w:val="none"/>
          <w:lang w:val="zh-CN"/>
        </w:rPr>
      </w:pPr>
    </w:p>
    <w:p w14:paraId="2E7495E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85" w:name="_Toc486167684"/>
      <w:bookmarkStart w:id="186" w:name="_Toc450662869"/>
      <w:bookmarkStart w:id="187" w:name="_Toc142508334"/>
      <w:bookmarkStart w:id="188" w:name="_Toc3384"/>
      <w:bookmarkStart w:id="189" w:name="_Toc28525"/>
      <w:bookmarkStart w:id="190" w:name="_Toc32205"/>
      <w:bookmarkStart w:id="191" w:name="_Toc29665_WPSOffice_Level3"/>
      <w:r>
        <w:rPr>
          <w:rFonts w:hint="eastAsia" w:ascii="宋体" w:hAnsi="宋体" w:eastAsia="宋体" w:cs="宋体"/>
          <w:color w:val="auto"/>
          <w:szCs w:val="21"/>
          <w:highlight w:val="none"/>
          <w:lang w:val="zh-CN"/>
        </w:rPr>
        <w:t>19</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递交投标文件的截止日期</w:t>
      </w:r>
      <w:bookmarkEnd w:id="185"/>
      <w:bookmarkEnd w:id="186"/>
      <w:bookmarkEnd w:id="187"/>
      <w:bookmarkEnd w:id="188"/>
      <w:bookmarkEnd w:id="189"/>
      <w:bookmarkEnd w:id="190"/>
      <w:bookmarkEnd w:id="191"/>
    </w:p>
    <w:p w14:paraId="61B587E7">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19.1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w:t>
      </w:r>
      <w:r>
        <w:rPr>
          <w:rFonts w:hint="eastAsia" w:ascii="宋体" w:hAnsi="宋体" w:eastAsia="宋体" w:cs="Times New Roman"/>
          <w:color w:val="auto"/>
          <w:szCs w:val="21"/>
          <w:highlight w:val="none"/>
          <w:lang w:val="zh-CN"/>
        </w:rPr>
        <w:t>收到投标文件的时间不得迟于第一篇</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招标公告</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中规定的截止时间</w:t>
      </w:r>
      <w:r>
        <w:rPr>
          <w:rFonts w:hint="eastAsia" w:ascii="宋体" w:hAnsi="宋体" w:eastAsia="宋体" w:cs="宋体"/>
          <w:color w:val="auto"/>
          <w:szCs w:val="21"/>
          <w:highlight w:val="none"/>
          <w:lang w:val="zh-CN"/>
        </w:rPr>
        <w:t>。</w:t>
      </w:r>
    </w:p>
    <w:p w14:paraId="43666F7C">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19.2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w:t>
      </w:r>
      <w:r>
        <w:rPr>
          <w:rFonts w:hint="eastAsia" w:ascii="宋体" w:hAnsi="宋体" w:eastAsia="宋体" w:cs="Times New Roman"/>
          <w:color w:val="auto"/>
          <w:szCs w:val="21"/>
          <w:highlight w:val="none"/>
          <w:lang w:val="zh-CN"/>
        </w:rPr>
        <w:t>可按照第</w:t>
      </w:r>
      <w:r>
        <w:rPr>
          <w:rFonts w:ascii="宋体" w:hAnsi="宋体" w:eastAsia="宋体" w:cs="Times New Roman"/>
          <w:color w:val="auto"/>
          <w:szCs w:val="21"/>
          <w:highlight w:val="none"/>
          <w:lang w:val="zh-CN"/>
        </w:rPr>
        <w:t>7</w:t>
      </w:r>
      <w:r>
        <w:rPr>
          <w:rFonts w:hint="eastAsia" w:ascii="宋体" w:hAnsi="宋体" w:eastAsia="宋体" w:cs="Times New Roman"/>
          <w:color w:val="auto"/>
          <w:szCs w:val="21"/>
          <w:highlight w:val="none"/>
          <w:lang w:val="zh-CN"/>
        </w:rPr>
        <w:t>条的规定修改招标文件并酌情延长递交投标文件的截止时间，因此，已规定的招标代理机构和投标人的一切权利和义务将按延期后的递交投标文件截止时间履行</w:t>
      </w:r>
      <w:r>
        <w:rPr>
          <w:rFonts w:hint="eastAsia" w:ascii="宋体" w:hAnsi="宋体" w:eastAsia="宋体" w:cs="宋体"/>
          <w:color w:val="auto"/>
          <w:szCs w:val="21"/>
          <w:highlight w:val="none"/>
          <w:lang w:val="zh-CN"/>
        </w:rPr>
        <w:t>。</w:t>
      </w:r>
    </w:p>
    <w:p w14:paraId="2396E4BF">
      <w:pPr>
        <w:autoSpaceDE w:val="0"/>
        <w:autoSpaceDN w:val="0"/>
        <w:adjustRightInd w:val="0"/>
        <w:spacing w:line="360" w:lineRule="auto"/>
        <w:ind w:left="357" w:leftChars="-100" w:hanging="567"/>
        <w:rPr>
          <w:rFonts w:ascii="宋体" w:hAnsi="宋体" w:eastAsia="宋体" w:cs="宋体"/>
          <w:color w:val="auto"/>
          <w:szCs w:val="21"/>
          <w:highlight w:val="none"/>
          <w:lang w:val="zh-CN"/>
        </w:rPr>
      </w:pPr>
    </w:p>
    <w:p w14:paraId="35CBBC1B">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kern w:val="0"/>
          <w:sz w:val="24"/>
          <w:szCs w:val="24"/>
          <w:highlight w:val="none"/>
        </w:rPr>
      </w:pPr>
      <w:bookmarkStart w:id="192" w:name="_Toc142508335"/>
      <w:bookmarkStart w:id="193" w:name="_Toc19193"/>
      <w:bookmarkStart w:id="194" w:name="_Toc5446"/>
      <w:bookmarkStart w:id="195" w:name="_Toc22431_WPSOffice_Level3"/>
      <w:bookmarkStart w:id="196" w:name="_Toc486167685"/>
      <w:bookmarkStart w:id="197" w:name="_Toc6684"/>
      <w:bookmarkStart w:id="198" w:name="_Toc450662870"/>
      <w:r>
        <w:rPr>
          <w:rFonts w:hint="eastAsia" w:ascii="宋体" w:hAnsi="宋体" w:eastAsia="宋体" w:cs="宋体"/>
          <w:color w:val="auto"/>
          <w:szCs w:val="21"/>
          <w:highlight w:val="none"/>
          <w:lang w:val="zh-CN"/>
        </w:rPr>
        <w:t>20 迟交的投标文件</w:t>
      </w:r>
      <w:bookmarkEnd w:id="192"/>
      <w:bookmarkEnd w:id="193"/>
      <w:bookmarkEnd w:id="194"/>
      <w:bookmarkEnd w:id="195"/>
      <w:bookmarkEnd w:id="196"/>
      <w:bookmarkEnd w:id="197"/>
      <w:bookmarkEnd w:id="198"/>
    </w:p>
    <w:p w14:paraId="1F4F6D1B">
      <w:pPr>
        <w:autoSpaceDE w:val="0"/>
        <w:autoSpaceDN w:val="0"/>
        <w:adjustRightInd w:val="0"/>
        <w:spacing w:line="360" w:lineRule="auto"/>
        <w:ind w:firstLine="315" w:firstLineChars="150"/>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根据第19条规定，招标代理机构将拒绝任何晚于递交投标文件的截止时间交到的投标文件。</w:t>
      </w:r>
    </w:p>
    <w:p w14:paraId="171DE1A3">
      <w:pPr>
        <w:autoSpaceDE w:val="0"/>
        <w:autoSpaceDN w:val="0"/>
        <w:adjustRightInd w:val="0"/>
        <w:jc w:val="left"/>
        <w:rPr>
          <w:rFonts w:ascii="宋体" w:hAnsi="宋体" w:eastAsia="宋体" w:cs="宋体"/>
          <w:color w:val="auto"/>
          <w:kern w:val="0"/>
          <w:sz w:val="24"/>
          <w:szCs w:val="24"/>
          <w:highlight w:val="none"/>
        </w:rPr>
      </w:pPr>
    </w:p>
    <w:p w14:paraId="744A636F">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99" w:name="_Toc16964"/>
      <w:bookmarkStart w:id="200" w:name="_Toc142508336"/>
      <w:bookmarkStart w:id="201" w:name="_Toc450662871"/>
      <w:bookmarkStart w:id="202" w:name="_Toc486167686"/>
      <w:bookmarkStart w:id="203" w:name="_Toc4269"/>
      <w:bookmarkStart w:id="204" w:name="_Toc15452"/>
      <w:bookmarkStart w:id="205" w:name="_Toc4883_WPSOffice_Level3"/>
      <w:r>
        <w:rPr>
          <w:rFonts w:hint="eastAsia" w:ascii="宋体" w:hAnsi="宋体" w:eastAsia="宋体" w:cs="宋体"/>
          <w:color w:val="auto"/>
          <w:szCs w:val="21"/>
          <w:highlight w:val="none"/>
          <w:lang w:val="zh-CN"/>
        </w:rPr>
        <w:t>21</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投标文件的修改和撤回</w:t>
      </w:r>
      <w:bookmarkEnd w:id="199"/>
      <w:bookmarkEnd w:id="200"/>
      <w:bookmarkEnd w:id="201"/>
      <w:bookmarkEnd w:id="202"/>
      <w:bookmarkEnd w:id="203"/>
      <w:bookmarkEnd w:id="204"/>
      <w:bookmarkEnd w:id="205"/>
    </w:p>
    <w:p w14:paraId="43410C68">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21.1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投标人在提交投标文件后可对其投标文件进行修改或撤回，但招标代理机构须在提交投标文件截止日期前收到该修改或撤回的书面通知。</w:t>
      </w:r>
    </w:p>
    <w:p w14:paraId="556D5E66">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21.2</w:t>
      </w:r>
      <w:r>
        <w:rPr>
          <w:rFonts w:hint="eastAsia" w:ascii="宋体" w:hAnsi="宋体" w:eastAsia="宋体" w:cs="宋体"/>
          <w:color w:val="auto"/>
          <w:szCs w:val="21"/>
          <w:highlight w:val="none"/>
          <w:lang w:val="zh-CN"/>
        </w:rPr>
        <w:tab/>
      </w:r>
      <w:r>
        <w:rPr>
          <w:rFonts w:hint="eastAsia" w:ascii="宋体" w:hAnsi="宋体" w:eastAsia="宋体" w:cs="Times New Roman"/>
          <w:color w:val="auto"/>
          <w:szCs w:val="21"/>
          <w:highlight w:val="none"/>
          <w:lang w:val="zh-CN"/>
        </w:rPr>
        <w:t>投标人对投标文件的修改或撤回的通知应按第</w:t>
      </w:r>
      <w:r>
        <w:rPr>
          <w:rFonts w:ascii="宋体" w:hAnsi="宋体" w:eastAsia="宋体" w:cs="Times New Roman"/>
          <w:color w:val="auto"/>
          <w:szCs w:val="21"/>
          <w:highlight w:val="none"/>
          <w:lang w:val="zh-CN"/>
        </w:rPr>
        <w:t>17</w:t>
      </w:r>
      <w:r>
        <w:rPr>
          <w:rFonts w:hint="eastAsia" w:ascii="宋体" w:hAnsi="宋体" w:eastAsia="宋体" w:cs="Times New Roman"/>
          <w:color w:val="auto"/>
          <w:szCs w:val="21"/>
          <w:highlight w:val="none"/>
          <w:lang w:val="zh-CN"/>
        </w:rPr>
        <w:t>条和第18条规定进行准备、密封、标注和递送</w:t>
      </w:r>
      <w:r>
        <w:rPr>
          <w:rFonts w:hint="eastAsia" w:ascii="宋体" w:hAnsi="宋体" w:eastAsia="宋体" w:cs="宋体"/>
          <w:color w:val="auto"/>
          <w:szCs w:val="21"/>
          <w:highlight w:val="none"/>
          <w:lang w:val="zh-CN"/>
        </w:rPr>
        <w:t>。</w:t>
      </w:r>
    </w:p>
    <w:p w14:paraId="3A47C9CC">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21.3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递交投标文件截止时间后不得修改投标文件。</w:t>
      </w:r>
    </w:p>
    <w:p w14:paraId="47832EBC">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21.4</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投标人不得在递交投标文件截止时间起至第16条规定的投标文件有效期期满前撤销投标文件。否则招标</w:t>
      </w:r>
      <w:r>
        <w:rPr>
          <w:rFonts w:hint="eastAsia" w:ascii="宋体" w:hAnsi="宋体" w:eastAsia="宋体" w:cs="宋体"/>
          <w:color w:val="auto"/>
          <w:szCs w:val="21"/>
          <w:highlight w:val="none"/>
          <w:lang w:val="en-US" w:eastAsia="zh-CN"/>
        </w:rPr>
        <w:t>人</w:t>
      </w:r>
      <w:r>
        <w:rPr>
          <w:rFonts w:hint="eastAsia" w:ascii="宋体" w:hAnsi="宋体" w:eastAsia="宋体" w:cs="宋体"/>
          <w:color w:val="auto"/>
          <w:szCs w:val="21"/>
          <w:highlight w:val="none"/>
          <w:lang w:val="zh-CN"/>
        </w:rPr>
        <w:t>将按第15.7款（1）规定不予退还其投标保证金。</w:t>
      </w:r>
    </w:p>
    <w:p w14:paraId="282CC5F8">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p>
    <w:p w14:paraId="57A9D2F1">
      <w:pPr>
        <w:keepNext/>
        <w:keepLines/>
        <w:tabs>
          <w:tab w:val="left" w:pos="509"/>
        </w:tab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206" w:name="_Toc20817"/>
      <w:bookmarkStart w:id="207" w:name="_Toc486167687"/>
      <w:bookmarkStart w:id="208" w:name="_Toc140596896"/>
      <w:bookmarkStart w:id="209" w:name="_Toc142508337"/>
      <w:bookmarkStart w:id="210" w:name="_Toc450662872"/>
      <w:bookmarkStart w:id="211" w:name="_Toc6702"/>
      <w:bookmarkStart w:id="212" w:name="_Toc27648"/>
      <w:bookmarkStart w:id="213" w:name="_Toc1049_WPSOffice_Level2"/>
      <w:r>
        <w:rPr>
          <w:rFonts w:hint="eastAsia" w:ascii="宋体" w:hAnsi="宋体" w:eastAsia="宋体" w:cs="宋体"/>
          <w:b/>
          <w:bCs/>
          <w:color w:val="auto"/>
          <w:kern w:val="44"/>
          <w:szCs w:val="21"/>
          <w:highlight w:val="none"/>
          <w:lang w:val="zh-CN"/>
        </w:rPr>
        <w:t>五、开标与评标</w:t>
      </w:r>
      <w:bookmarkEnd w:id="206"/>
      <w:bookmarkEnd w:id="207"/>
      <w:bookmarkEnd w:id="208"/>
      <w:bookmarkEnd w:id="209"/>
      <w:bookmarkEnd w:id="210"/>
      <w:bookmarkEnd w:id="211"/>
      <w:bookmarkEnd w:id="212"/>
      <w:bookmarkEnd w:id="213"/>
    </w:p>
    <w:p w14:paraId="31735FD8">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14" w:name="_Toc486167688"/>
      <w:bookmarkStart w:id="215" w:name="_Toc29881"/>
      <w:bookmarkStart w:id="216" w:name="_Toc144_WPSOffice_Level3"/>
      <w:bookmarkStart w:id="217" w:name="_Toc142508338"/>
      <w:bookmarkStart w:id="218" w:name="_Toc18892"/>
      <w:bookmarkStart w:id="219" w:name="_Toc7200"/>
      <w:bookmarkStart w:id="220" w:name="_Toc450662873"/>
      <w:r>
        <w:rPr>
          <w:rFonts w:hint="eastAsia" w:ascii="宋体" w:hAnsi="宋体" w:eastAsia="宋体" w:cs="宋体"/>
          <w:color w:val="auto"/>
          <w:szCs w:val="21"/>
          <w:highlight w:val="none"/>
          <w:lang w:val="zh-CN"/>
        </w:rPr>
        <w:t>22</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开标</w:t>
      </w:r>
      <w:bookmarkEnd w:id="214"/>
      <w:bookmarkEnd w:id="215"/>
      <w:bookmarkEnd w:id="216"/>
      <w:bookmarkEnd w:id="217"/>
      <w:bookmarkEnd w:id="218"/>
      <w:bookmarkEnd w:id="219"/>
      <w:bookmarkEnd w:id="220"/>
    </w:p>
    <w:p w14:paraId="73F86331">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招标代理机构在投标人代表自愿出席的情况下，在第一篇“招标公告”规定的地点和时间开标, 出席代表需登记以示出席。</w:t>
      </w:r>
    </w:p>
    <w:p w14:paraId="202A799D">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按照第21条规定，提交了可接受的“撤回”通知的投标文件将不予开封。</w:t>
      </w:r>
    </w:p>
    <w:p w14:paraId="4B8F9650">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22.3 开标时，招标代理机构将当众宣读投标人名称、投标报价以及招标代理机构认为合适的其他内容。若招标代理机构宣读的结果与投标文件不符时，投标人有权在开标现场提出异议，经招标人采购活动的监督人员</w:t>
      </w:r>
      <w:r>
        <w:rPr>
          <w:rFonts w:hint="eastAsia" w:ascii="宋体" w:hAnsi="宋体" w:eastAsia="宋体" w:cs="宋体"/>
          <w:color w:val="auto"/>
          <w:szCs w:val="21"/>
          <w:highlight w:val="none"/>
          <w:lang w:val="en-US" w:eastAsia="zh-CN"/>
        </w:rPr>
        <w:t>当</w:t>
      </w:r>
      <w:r>
        <w:rPr>
          <w:rFonts w:hint="eastAsia" w:ascii="宋体" w:hAnsi="宋体" w:eastAsia="宋体" w:cs="宋体"/>
          <w:color w:val="auto"/>
          <w:szCs w:val="21"/>
          <w:highlight w:val="none"/>
          <w:lang w:val="zh-CN"/>
        </w:rPr>
        <w:t>场核查确认之后，可重新宣读其投标文件</w:t>
      </w:r>
      <w:r>
        <w:rPr>
          <w:rFonts w:hint="eastAsia" w:ascii="宋体" w:hAnsi="宋体" w:eastAsia="宋体" w:cs="宋体"/>
          <w:color w:val="auto"/>
          <w:szCs w:val="21"/>
          <w:highlight w:val="none"/>
          <w:lang w:val="en-US" w:eastAsia="zh-CN"/>
        </w:rPr>
        <w:t>相关内容</w:t>
      </w:r>
      <w:r>
        <w:rPr>
          <w:rFonts w:hint="eastAsia" w:ascii="宋体" w:hAnsi="宋体" w:eastAsia="宋体" w:cs="宋体"/>
          <w:color w:val="auto"/>
          <w:szCs w:val="21"/>
          <w:highlight w:val="none"/>
          <w:lang w:val="zh-CN"/>
        </w:rPr>
        <w:t>。若投标人现场未提出异议，则视为投标人确认宣读的结果。</w:t>
      </w:r>
    </w:p>
    <w:p w14:paraId="57DB2E2B">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22.4</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投标文件的投标总报价大写金额和小写金额不一致的，以大写金额为准；</w:t>
      </w:r>
      <w:r>
        <w:rPr>
          <w:rFonts w:hint="eastAsia" w:ascii="宋体" w:hAnsi="宋体" w:eastAsia="宋体" w:cs="宋体"/>
          <w:color w:val="auto"/>
          <w:kern w:val="0"/>
          <w:szCs w:val="21"/>
          <w:highlight w:val="none"/>
        </w:rPr>
        <w:t>投标报价表内投标总报价金额与按综合单价计算的总金额不一致的，以综合单价计算结果为准，综合单价金额小数点有明显错位的，应以总价为准，并修正综合单价；</w:t>
      </w:r>
      <w:r>
        <w:rPr>
          <w:rFonts w:hint="eastAsia" w:ascii="宋体" w:hAnsi="宋体" w:eastAsia="宋体" w:cs="宋体"/>
          <w:color w:val="auto"/>
          <w:szCs w:val="21"/>
          <w:highlight w:val="none"/>
          <w:lang w:val="zh-CN"/>
        </w:rPr>
        <w:t>对不同文字文本投标文件的解释发生异议的，以中文文本为准。</w:t>
      </w:r>
    </w:p>
    <w:p w14:paraId="56695936">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22.5 投标人对开标有异议的，应当在开标现场提出，招标代理机构应当当场作出答复，并制作记录。投标人法定代表人或其授权代表未出席的，视同认可开标结果。</w:t>
      </w:r>
    </w:p>
    <w:p w14:paraId="732234AC">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22.6 招标代理机构将做开标记录，开标记录包括第22.5款发生的异议及答复、按第22.3款的规定在开标时宣读的全部内容。</w:t>
      </w:r>
    </w:p>
    <w:p w14:paraId="25758401">
      <w:pPr>
        <w:autoSpaceDE w:val="0"/>
        <w:autoSpaceDN w:val="0"/>
        <w:adjustRightInd w:val="0"/>
        <w:spacing w:line="360" w:lineRule="auto"/>
        <w:ind w:left="357" w:leftChars="-100" w:right="15" w:rightChars="7" w:hanging="567"/>
        <w:rPr>
          <w:rFonts w:ascii="宋体" w:hAnsi="宋体" w:eastAsia="宋体" w:cs="宋体"/>
          <w:color w:val="auto"/>
          <w:kern w:val="0"/>
          <w:szCs w:val="21"/>
          <w:highlight w:val="none"/>
        </w:rPr>
      </w:pPr>
    </w:p>
    <w:p w14:paraId="44839929">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21" w:name="_Toc450662874"/>
      <w:bookmarkStart w:id="222" w:name="_Toc2038"/>
      <w:bookmarkStart w:id="223" w:name="_Toc30804"/>
      <w:bookmarkStart w:id="224" w:name="_Toc486167689"/>
      <w:bookmarkStart w:id="225" w:name="_Toc142508339"/>
      <w:bookmarkStart w:id="226" w:name="_Toc12165_WPSOffice_Level3"/>
      <w:bookmarkStart w:id="227" w:name="_Toc11072"/>
      <w:r>
        <w:rPr>
          <w:rFonts w:hint="eastAsia" w:ascii="宋体" w:hAnsi="宋体" w:eastAsia="宋体" w:cs="宋体"/>
          <w:color w:val="auto"/>
          <w:szCs w:val="21"/>
          <w:highlight w:val="none"/>
          <w:lang w:val="zh-CN"/>
        </w:rPr>
        <w:t>23</w:t>
      </w:r>
      <w:r>
        <w:rPr>
          <w:rFonts w:ascii="宋体" w:hAnsi="宋体" w:eastAsia="宋体" w:cs="宋体"/>
          <w:color w:val="auto"/>
          <w:szCs w:val="21"/>
          <w:highlight w:val="none"/>
          <w:lang w:val="zh-CN"/>
        </w:rPr>
        <w:t xml:space="preserve"> </w:t>
      </w:r>
      <w:r>
        <w:rPr>
          <w:rFonts w:hint="eastAsia" w:ascii="宋体" w:hAnsi="宋体" w:eastAsia="宋体" w:cs="宋体"/>
          <w:color w:val="auto"/>
          <w:kern w:val="0"/>
          <w:szCs w:val="24"/>
          <w:highlight w:val="none"/>
        </w:rPr>
        <w:t>评标过程的保密性</w:t>
      </w:r>
      <w:bookmarkEnd w:id="221"/>
      <w:bookmarkEnd w:id="222"/>
      <w:bookmarkEnd w:id="223"/>
      <w:bookmarkEnd w:id="224"/>
      <w:bookmarkEnd w:id="225"/>
      <w:bookmarkEnd w:id="226"/>
      <w:bookmarkEnd w:id="227"/>
    </w:p>
    <w:p w14:paraId="24BB9F55">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23.1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递交投标文件后，</w:t>
      </w:r>
      <w:r>
        <w:rPr>
          <w:rFonts w:hint="eastAsia" w:ascii="宋体" w:hAnsi="宋体" w:eastAsia="宋体" w:cs="Times New Roman"/>
          <w:color w:val="auto"/>
          <w:szCs w:val="21"/>
          <w:highlight w:val="none"/>
          <w:lang w:val="zh-CN"/>
        </w:rPr>
        <w:t>直至向中标人授予合同期间，凡与审查、澄清、评估和比较投标报价的有关资料以及意见等，均不得向投标人及与评审无关的其他人透露，否则追究有关当事人的法律责任</w:t>
      </w:r>
      <w:r>
        <w:rPr>
          <w:rFonts w:hint="eastAsia" w:ascii="宋体" w:hAnsi="宋体" w:eastAsia="宋体" w:cs="宋体"/>
          <w:color w:val="auto"/>
          <w:szCs w:val="21"/>
          <w:highlight w:val="none"/>
          <w:lang w:val="zh-CN"/>
        </w:rPr>
        <w:t>。</w:t>
      </w:r>
    </w:p>
    <w:p w14:paraId="2850A2FF">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23.2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在评标过程中，如果投标人试图在投标文件审查、澄清、比较及授予合同方面向招标代理机构和招标人施加任何影响，其投标文件将被拒绝。</w:t>
      </w:r>
    </w:p>
    <w:p w14:paraId="24218D9D">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p>
    <w:p w14:paraId="595900D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28" w:name="_Toc142508340"/>
      <w:bookmarkStart w:id="229" w:name="_Toc486167690"/>
      <w:bookmarkStart w:id="230" w:name="_Toc450662875"/>
      <w:bookmarkStart w:id="231" w:name="_Toc3908"/>
      <w:bookmarkStart w:id="232" w:name="_Toc3748"/>
      <w:bookmarkStart w:id="233" w:name="_Toc833"/>
      <w:bookmarkStart w:id="234" w:name="_Toc15565_WPSOffice_Level3"/>
      <w:r>
        <w:rPr>
          <w:rFonts w:hint="eastAsia" w:ascii="宋体" w:hAnsi="宋体" w:eastAsia="宋体" w:cs="宋体"/>
          <w:color w:val="auto"/>
          <w:szCs w:val="21"/>
          <w:highlight w:val="none"/>
          <w:lang w:val="zh-CN"/>
        </w:rPr>
        <w:t>24</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评标委员会</w:t>
      </w:r>
      <w:bookmarkEnd w:id="228"/>
      <w:bookmarkEnd w:id="229"/>
      <w:bookmarkEnd w:id="230"/>
      <w:bookmarkEnd w:id="231"/>
      <w:bookmarkEnd w:id="232"/>
      <w:bookmarkEnd w:id="233"/>
      <w:bookmarkEnd w:id="234"/>
    </w:p>
    <w:p w14:paraId="70B1D527">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24.1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依法组建评标委员会。评标委员会的成员在评审过程中必须严格遵守国家及地方招标投标的有关规定。</w:t>
      </w:r>
    </w:p>
    <w:p w14:paraId="70F1A73F">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24.2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评标委员会依法根据招标文件的规定，进行投标文件的评审、得出评审结果，并向招标人推荐中标候选人。</w:t>
      </w:r>
    </w:p>
    <w:p w14:paraId="54EF97C9">
      <w:pPr>
        <w:autoSpaceDE w:val="0"/>
        <w:autoSpaceDN w:val="0"/>
        <w:adjustRightInd w:val="0"/>
        <w:spacing w:line="360" w:lineRule="auto"/>
        <w:ind w:left="357" w:leftChars="-100" w:hanging="567"/>
        <w:rPr>
          <w:rFonts w:ascii="宋体" w:hAnsi="宋体" w:eastAsia="宋体" w:cs="宋体"/>
          <w:color w:val="auto"/>
          <w:szCs w:val="21"/>
          <w:highlight w:val="none"/>
          <w:lang w:val="zh-CN"/>
        </w:rPr>
      </w:pPr>
    </w:p>
    <w:p w14:paraId="7EA97571">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lang w:val="zh-CN"/>
        </w:rPr>
      </w:pPr>
      <w:bookmarkStart w:id="235" w:name="_Toc486167691"/>
      <w:bookmarkStart w:id="236" w:name="_Toc31399"/>
      <w:bookmarkStart w:id="237" w:name="_Toc25484"/>
      <w:bookmarkStart w:id="238" w:name="_Toc142508341"/>
      <w:bookmarkStart w:id="239" w:name="_Toc28910_WPSOffice_Level3"/>
      <w:bookmarkStart w:id="240" w:name="_Toc830"/>
      <w:bookmarkStart w:id="241" w:name="_Toc450662876"/>
      <w:r>
        <w:rPr>
          <w:rFonts w:hint="eastAsia" w:ascii="宋体" w:hAnsi="宋体" w:eastAsia="宋体" w:cs="宋体"/>
          <w:b/>
          <w:color w:val="auto"/>
          <w:szCs w:val="21"/>
          <w:highlight w:val="none"/>
          <w:lang w:val="zh-CN"/>
        </w:rPr>
        <w:t>25</w:t>
      </w:r>
      <w:r>
        <w:rPr>
          <w:rFonts w:ascii="宋体" w:hAnsi="宋体" w:eastAsia="宋体" w:cs="宋体"/>
          <w:b/>
          <w:color w:val="auto"/>
          <w:szCs w:val="21"/>
          <w:highlight w:val="none"/>
          <w:lang w:val="zh-CN"/>
        </w:rPr>
        <w:t xml:space="preserve"> </w:t>
      </w:r>
      <w:r>
        <w:rPr>
          <w:rFonts w:hint="eastAsia" w:ascii="宋体" w:hAnsi="宋体" w:eastAsia="宋体" w:cs="宋体"/>
          <w:b/>
          <w:color w:val="auto"/>
          <w:szCs w:val="21"/>
          <w:highlight w:val="none"/>
          <w:lang w:val="zh-CN"/>
        </w:rPr>
        <w:t>投标文件的初审</w:t>
      </w:r>
      <w:bookmarkEnd w:id="235"/>
      <w:bookmarkEnd w:id="236"/>
      <w:bookmarkEnd w:id="237"/>
      <w:bookmarkEnd w:id="238"/>
      <w:bookmarkEnd w:id="239"/>
      <w:bookmarkEnd w:id="240"/>
      <w:bookmarkEnd w:id="241"/>
    </w:p>
    <w:p w14:paraId="48EF2604">
      <w:pPr>
        <w:autoSpaceDE w:val="0"/>
        <w:autoSpaceDN w:val="0"/>
        <w:adjustRightInd w:val="0"/>
        <w:spacing w:line="360" w:lineRule="auto"/>
        <w:ind w:left="357" w:leftChars="-100" w:hanging="567"/>
        <w:rPr>
          <w:rFonts w:ascii="宋体" w:hAnsi="宋体" w:eastAsia="宋体" w:cs="宋体"/>
          <w:b/>
          <w:color w:val="auto"/>
          <w:szCs w:val="21"/>
          <w:highlight w:val="none"/>
        </w:rPr>
      </w:pPr>
      <w:r>
        <w:rPr>
          <w:rFonts w:hint="eastAsia" w:ascii="宋体" w:hAnsi="宋体" w:eastAsia="宋体" w:cs="宋体"/>
          <w:b/>
          <w:color w:val="auto"/>
          <w:szCs w:val="21"/>
          <w:highlight w:val="none"/>
          <w:lang w:val="zh-CN"/>
        </w:rPr>
        <w:t>25.1 资格性检查：依据法律法规和招标文件的规定，对投标文件中的资格证明、投标保证金等进行审查，以确定投标人是否具备投标资格。</w:t>
      </w:r>
    </w:p>
    <w:p w14:paraId="0C308586">
      <w:pPr>
        <w:autoSpaceDE w:val="0"/>
        <w:autoSpaceDN w:val="0"/>
        <w:adjustRightInd w:val="0"/>
        <w:spacing w:line="360" w:lineRule="auto"/>
        <w:ind w:left="330" w:leftChars="-100" w:hanging="540"/>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25.2 符合性检查：依据招标文件的规定，从投标文件的有效性、完整性和对招标文件的响应程度进行审查，以确定是否对招标文件的实质性要求作出响应。</w:t>
      </w:r>
    </w:p>
    <w:p w14:paraId="200F8C96">
      <w:pPr>
        <w:autoSpaceDE w:val="0"/>
        <w:autoSpaceDN w:val="0"/>
        <w:adjustRightInd w:val="0"/>
        <w:spacing w:line="360" w:lineRule="auto"/>
        <w:ind w:left="330" w:leftChars="-100" w:hanging="540"/>
        <w:rPr>
          <w:rFonts w:ascii="宋体" w:hAnsi="宋体" w:eastAsia="宋体" w:cs="宋体"/>
          <w:b/>
          <w:color w:val="auto"/>
          <w:szCs w:val="21"/>
          <w:highlight w:val="none"/>
          <w:lang w:val="zh-CN"/>
        </w:rPr>
      </w:pPr>
    </w:p>
    <w:p w14:paraId="6ECC31DE">
      <w:pPr>
        <w:tabs>
          <w:tab w:val="left" w:pos="52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42" w:name="_Toc450662877"/>
      <w:bookmarkStart w:id="243" w:name="_Toc338_WPSOffice_Level3"/>
      <w:bookmarkStart w:id="244" w:name="_Toc142508342"/>
      <w:bookmarkStart w:id="245" w:name="_Toc9436"/>
      <w:bookmarkStart w:id="246" w:name="_Toc10130"/>
      <w:bookmarkStart w:id="247" w:name="_Toc486167692"/>
      <w:bookmarkStart w:id="248" w:name="_Toc22879"/>
      <w:r>
        <w:rPr>
          <w:rFonts w:hint="eastAsia" w:ascii="宋体" w:hAnsi="宋体" w:eastAsia="宋体" w:cs="宋体"/>
          <w:color w:val="auto"/>
          <w:szCs w:val="21"/>
          <w:highlight w:val="none"/>
          <w:lang w:val="zh-CN"/>
        </w:rPr>
        <w:t>26</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投标文件的澄清</w:t>
      </w:r>
      <w:bookmarkEnd w:id="242"/>
      <w:bookmarkEnd w:id="243"/>
      <w:bookmarkEnd w:id="244"/>
      <w:bookmarkEnd w:id="245"/>
      <w:bookmarkEnd w:id="246"/>
      <w:bookmarkEnd w:id="247"/>
      <w:bookmarkEnd w:id="248"/>
    </w:p>
    <w:p w14:paraId="04F5B495">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p w14:paraId="290815AE">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bookmarkStart w:id="249" w:name="_Toc450662879"/>
      <w:r>
        <w:rPr>
          <w:rFonts w:hint="eastAsia" w:ascii="宋体" w:hAnsi="宋体" w:eastAsia="宋体" w:cs="宋体"/>
          <w:color w:val="auto"/>
          <w:szCs w:val="21"/>
          <w:highlight w:val="none"/>
          <w:lang w:val="zh-CN"/>
        </w:rPr>
        <w:t xml:space="preserve">26.2 </w:t>
      </w:r>
      <w:r>
        <w:rPr>
          <w:rFonts w:hint="eastAsia" w:ascii="宋体" w:hAnsi="宋体" w:eastAsia="宋体" w:cs="宋体"/>
          <w:color w:val="auto"/>
          <w:szCs w:val="21"/>
          <w:highlight w:val="none"/>
          <w:lang w:val="en-US" w:eastAsia="zh-CN"/>
        </w:rPr>
        <w:t>开标当天</w:t>
      </w:r>
      <w:r>
        <w:rPr>
          <w:rFonts w:hint="eastAsia" w:ascii="宋体" w:hAnsi="宋体" w:eastAsia="宋体" w:cs="宋体"/>
          <w:color w:val="auto"/>
          <w:szCs w:val="21"/>
          <w:highlight w:val="none"/>
          <w:lang w:val="zh-CN"/>
        </w:rPr>
        <w:t>，投标人法定代表人或法定代表人授权书列明的被授权人的联系电话应保持开机状态，以便在评标期间，评标委员会要求投标人对投标文件进行澄清时能够收到有关通知，否则视为投标人放弃澄清的权利，对评标委员会就该项内容的评审意见无异议。</w:t>
      </w:r>
    </w:p>
    <w:bookmarkEnd w:id="249"/>
    <w:p w14:paraId="5A536FE2">
      <w:pPr>
        <w:tabs>
          <w:tab w:val="left" w:pos="525"/>
        </w:tabs>
        <w:autoSpaceDE w:val="0"/>
        <w:autoSpaceDN w:val="0"/>
        <w:adjustRightInd w:val="0"/>
        <w:spacing w:line="360" w:lineRule="auto"/>
        <w:ind w:left="357" w:leftChars="-100" w:hanging="567"/>
        <w:jc w:val="left"/>
        <w:outlineLvl w:val="9"/>
        <w:rPr>
          <w:rFonts w:hint="eastAsia" w:ascii="宋体" w:hAnsi="宋体" w:eastAsia="宋体" w:cs="宋体"/>
          <w:color w:val="auto"/>
          <w:szCs w:val="21"/>
          <w:highlight w:val="none"/>
          <w:lang w:val="zh-CN"/>
        </w:rPr>
      </w:pPr>
      <w:bookmarkStart w:id="250" w:name="_Toc18368_WPSOffice_Level3"/>
      <w:bookmarkStart w:id="251" w:name="_Toc522047355"/>
      <w:bookmarkStart w:id="252" w:name="_Toc521918096"/>
      <w:bookmarkStart w:id="253" w:name="_Toc142508343"/>
    </w:p>
    <w:p w14:paraId="6F302F74">
      <w:pPr>
        <w:tabs>
          <w:tab w:val="left" w:pos="52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54" w:name="_Toc9746"/>
      <w:bookmarkStart w:id="255" w:name="_Toc26392"/>
      <w:bookmarkStart w:id="256" w:name="_Toc15022"/>
      <w:r>
        <w:rPr>
          <w:rFonts w:hint="eastAsia" w:ascii="宋体" w:hAnsi="宋体" w:eastAsia="宋体" w:cs="宋体"/>
          <w:color w:val="auto"/>
          <w:szCs w:val="21"/>
          <w:highlight w:val="none"/>
          <w:lang w:val="zh-CN"/>
        </w:rPr>
        <w:t>27</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对投标文件的比较和评价</w:t>
      </w:r>
      <w:bookmarkEnd w:id="250"/>
      <w:bookmarkEnd w:id="251"/>
      <w:bookmarkEnd w:id="252"/>
      <w:bookmarkEnd w:id="253"/>
      <w:bookmarkEnd w:id="254"/>
      <w:bookmarkEnd w:id="255"/>
      <w:bookmarkEnd w:id="256"/>
    </w:p>
    <w:p w14:paraId="171B23CD">
      <w:pPr>
        <w:tabs>
          <w:tab w:val="left" w:pos="540"/>
        </w:tabs>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评标委员会将对资格性检查和符合性检查合格的投标文件进行比较和评价，包括商务、技术和价格的详细评审。</w:t>
      </w:r>
    </w:p>
    <w:p w14:paraId="70A8BB86">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对投标文件商务的评审详见评标工作大纲。</w:t>
      </w:r>
    </w:p>
    <w:p w14:paraId="1893F0E9">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对投标文件技术的评审详见评标工作大纲。</w:t>
      </w:r>
    </w:p>
    <w:p w14:paraId="546A6FCE">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27.4</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对投标价格的评审详见评标工作大纲。</w:t>
      </w:r>
    </w:p>
    <w:p w14:paraId="53C0D514">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27.5</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本次评标的评分权重详见评标工作大纲。</w:t>
      </w:r>
    </w:p>
    <w:p w14:paraId="7D4818CF">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27.6</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根据上述商务、技术及价格综合评价的权重分配计算出各投标人的综合得分。</w:t>
      </w:r>
    </w:p>
    <w:p w14:paraId="38161440">
      <w:pPr>
        <w:tabs>
          <w:tab w:val="left" w:pos="567"/>
        </w:tabs>
        <w:autoSpaceDE w:val="0"/>
        <w:autoSpaceDN w:val="0"/>
        <w:adjustRightInd w:val="0"/>
        <w:spacing w:line="360" w:lineRule="auto"/>
        <w:ind w:left="357" w:leftChars="-100" w:hanging="567"/>
        <w:jc w:val="left"/>
        <w:rPr>
          <w:rFonts w:ascii="宋体" w:hAnsi="宋体" w:eastAsia="宋体" w:cs="宋体"/>
          <w:color w:val="auto"/>
          <w:szCs w:val="21"/>
          <w:highlight w:val="none"/>
          <w:lang w:val="zh-CN"/>
        </w:rPr>
      </w:pPr>
      <w:bookmarkStart w:id="257" w:name="_Toc522047356"/>
      <w:bookmarkStart w:id="258" w:name="_Toc521918097"/>
    </w:p>
    <w:p w14:paraId="2649BCB2">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59" w:name="_Toc31279"/>
      <w:bookmarkStart w:id="260" w:name="_Toc18255"/>
      <w:bookmarkStart w:id="261" w:name="_Toc25314"/>
      <w:bookmarkStart w:id="262" w:name="_Toc142508344"/>
      <w:bookmarkStart w:id="263" w:name="_Toc21460_WPSOffice_Level3"/>
      <w:r>
        <w:rPr>
          <w:rFonts w:hint="eastAsia" w:ascii="宋体" w:hAnsi="宋体" w:eastAsia="宋体" w:cs="宋体"/>
          <w:color w:val="auto"/>
          <w:szCs w:val="21"/>
          <w:highlight w:val="none"/>
          <w:lang w:val="zh-CN"/>
        </w:rPr>
        <w:t>28</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评标原则及方法</w:t>
      </w:r>
      <w:bookmarkEnd w:id="257"/>
      <w:bookmarkEnd w:id="258"/>
      <w:bookmarkEnd w:id="259"/>
      <w:bookmarkEnd w:id="260"/>
      <w:bookmarkEnd w:id="261"/>
      <w:bookmarkEnd w:id="262"/>
      <w:bookmarkEnd w:id="263"/>
    </w:p>
    <w:p w14:paraId="7B2DE2A2">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28.1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对所有投标文件的评审，都采用相同的程序和标准。按步骤先进行初步评审，再进行商务、技术、价格评审。</w:t>
      </w:r>
    </w:p>
    <w:p w14:paraId="36D0A33A">
      <w:pPr>
        <w:tabs>
          <w:tab w:val="left" w:pos="36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28.2 评标严格按照招标文件的要求和条件进行。</w:t>
      </w:r>
    </w:p>
    <w:p w14:paraId="48084A55">
      <w:pPr>
        <w:tabs>
          <w:tab w:val="left" w:pos="36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在评标时将根据第27</w:t>
      </w:r>
      <w:r>
        <w:rPr>
          <w:rFonts w:hint="eastAsia" w:ascii="宋体" w:hAnsi="宋体" w:eastAsia="宋体" w:cs="Times New Roman"/>
          <w:color w:val="auto"/>
          <w:szCs w:val="21"/>
          <w:highlight w:val="none"/>
          <w:lang w:val="zh-CN"/>
        </w:rPr>
        <w:t>条</w:t>
      </w:r>
      <w:r>
        <w:rPr>
          <w:rFonts w:hint="eastAsia" w:ascii="宋体" w:hAnsi="宋体" w:eastAsia="宋体" w:cs="宋体"/>
          <w:color w:val="auto"/>
          <w:szCs w:val="21"/>
          <w:highlight w:val="none"/>
          <w:lang w:val="zh-CN"/>
        </w:rPr>
        <w:t>，采用综合评分法的评审方法，对所有实质响应性投标文件进行综合打分。</w:t>
      </w:r>
    </w:p>
    <w:p w14:paraId="03588F58">
      <w:pPr>
        <w:autoSpaceDE w:val="0"/>
        <w:autoSpaceDN w:val="0"/>
        <w:adjustRightInd w:val="0"/>
        <w:spacing w:line="360" w:lineRule="auto"/>
        <w:ind w:left="441" w:leftChars="-95" w:hanging="640" w:hangingChars="305"/>
        <w:rPr>
          <w:rFonts w:hint="eastAsia" w:ascii="宋体" w:hAnsi="宋体" w:eastAsia="宋体" w:cs="宋体"/>
          <w:b/>
          <w:bCs/>
          <w:color w:val="auto"/>
          <w:szCs w:val="21"/>
          <w:highlight w:val="none"/>
          <w:lang w:val="zh-CN"/>
        </w:rPr>
      </w:pPr>
      <w:r>
        <w:rPr>
          <w:rFonts w:hint="eastAsia" w:ascii="宋体" w:hAnsi="宋体" w:eastAsia="宋体" w:cs="宋体"/>
          <w:color w:val="auto"/>
          <w:szCs w:val="21"/>
          <w:highlight w:val="none"/>
          <w:lang w:val="zh-CN"/>
        </w:rPr>
        <w:t xml:space="preserve">28.3 </w:t>
      </w:r>
      <w:r>
        <w:rPr>
          <w:rFonts w:hint="eastAsia" w:ascii="宋体" w:hAnsi="宋体" w:eastAsia="宋体" w:cs="宋体"/>
          <w:b/>
          <w:bCs/>
          <w:color w:val="auto"/>
          <w:szCs w:val="21"/>
          <w:highlight w:val="none"/>
          <w:lang w:val="zh-CN"/>
        </w:rPr>
        <w:t>（1）若本次招标过程中，参与投标的投标人不足3个时，本项目公开招标失败。</w:t>
      </w:r>
    </w:p>
    <w:p w14:paraId="7758E1D5">
      <w:pPr>
        <w:autoSpaceDE w:val="0"/>
        <w:autoSpaceDN w:val="0"/>
        <w:adjustRightInd w:val="0"/>
        <w:spacing w:line="360" w:lineRule="auto"/>
        <w:ind w:left="0" w:leftChars="0" w:firstLine="0" w:firstLineChars="0"/>
        <w:rPr>
          <w:rFonts w:ascii="宋体" w:hAnsi="宋体" w:eastAsia="宋体" w:cs="宋体"/>
          <w:color w:val="auto"/>
          <w:szCs w:val="21"/>
          <w:highlight w:val="none"/>
          <w:lang w:val="zh-CN"/>
        </w:rPr>
      </w:pPr>
      <w:r>
        <w:rPr>
          <w:rFonts w:hint="eastAsia" w:ascii="宋体" w:hAnsi="宋体" w:eastAsia="宋体" w:cs="宋体"/>
          <w:b/>
          <w:bCs/>
          <w:color w:val="auto"/>
          <w:szCs w:val="21"/>
          <w:highlight w:val="none"/>
          <w:lang w:val="zh-CN"/>
        </w:rPr>
        <w:t>（2）当参与投标的投标人不少于3个，经评标委员会评审，有效投标人只有2个时，经评标委员会对招标文件进行论证，招标文件没有不合理条款、招标程序符合规定的，本项目将根据招标文件附件一 评标工作大纲的要求继续进行评审；当有效投标人只有1个时，本项目公开招标失败。</w:t>
      </w:r>
    </w:p>
    <w:p w14:paraId="67A816C1">
      <w:pPr>
        <w:tabs>
          <w:tab w:val="left" w:pos="525"/>
        </w:tabs>
        <w:autoSpaceDE w:val="0"/>
        <w:autoSpaceDN w:val="0"/>
        <w:adjustRightInd w:val="0"/>
        <w:spacing w:line="360" w:lineRule="auto"/>
        <w:ind w:left="0" w:leftChars="0" w:firstLine="0"/>
        <w:jc w:val="left"/>
        <w:outlineLvl w:val="2"/>
        <w:rPr>
          <w:rFonts w:ascii="宋体" w:hAnsi="宋体" w:eastAsia="宋体" w:cs="宋体"/>
          <w:color w:val="auto"/>
          <w:szCs w:val="21"/>
          <w:highlight w:val="none"/>
          <w:lang w:val="zh-CN"/>
        </w:rPr>
      </w:pPr>
      <w:bookmarkStart w:id="264" w:name="_Toc15841"/>
      <w:bookmarkStart w:id="265" w:name="_Toc466882017"/>
      <w:bookmarkStart w:id="266" w:name="_Toc32498_WPSOffice_Level3"/>
      <w:bookmarkStart w:id="267" w:name="_Toc486167694"/>
      <w:bookmarkStart w:id="268" w:name="_Toc31588"/>
      <w:bookmarkStart w:id="269" w:name="_Toc142508345"/>
      <w:bookmarkStart w:id="270" w:name="_Toc25047"/>
      <w:bookmarkStart w:id="271" w:name="_Toc465358969"/>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 xml:space="preserve">9 </w:t>
      </w:r>
      <w:r>
        <w:rPr>
          <w:rFonts w:hint="eastAsia" w:ascii="宋体" w:hAnsi="宋体" w:eastAsia="宋体" w:cs="宋体"/>
          <w:color w:val="auto"/>
          <w:szCs w:val="21"/>
          <w:highlight w:val="none"/>
          <w:lang w:val="zh-CN"/>
        </w:rPr>
        <w:t>评标结果公</w:t>
      </w:r>
      <w:r>
        <w:rPr>
          <w:rFonts w:hint="eastAsia" w:ascii="宋体" w:hAnsi="宋体" w:eastAsia="宋体" w:cs="Times New Roman"/>
          <w:color w:val="auto"/>
          <w:szCs w:val="21"/>
          <w:highlight w:val="none"/>
          <w:lang w:val="zh-CN"/>
        </w:rPr>
        <w:t>示</w:t>
      </w:r>
      <w:r>
        <w:rPr>
          <w:rFonts w:hint="eastAsia" w:ascii="宋体" w:hAnsi="宋体" w:eastAsia="宋体" w:cs="宋体"/>
          <w:color w:val="auto"/>
          <w:szCs w:val="21"/>
          <w:highlight w:val="none"/>
          <w:lang w:val="zh-CN"/>
        </w:rPr>
        <w:t>及异议、投诉</w:t>
      </w:r>
      <w:bookmarkEnd w:id="264"/>
      <w:bookmarkEnd w:id="265"/>
      <w:bookmarkEnd w:id="266"/>
      <w:bookmarkEnd w:id="267"/>
      <w:bookmarkEnd w:id="268"/>
      <w:bookmarkEnd w:id="269"/>
      <w:bookmarkEnd w:id="270"/>
      <w:bookmarkEnd w:id="271"/>
    </w:p>
    <w:p w14:paraId="54946039">
      <w:pPr>
        <w:tabs>
          <w:tab w:val="left" w:pos="36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.1</w:t>
      </w:r>
      <w:r>
        <w:rPr>
          <w:rFonts w:ascii="宋体" w:hAnsi="宋体" w:eastAsia="宋体" w:cs="宋体"/>
          <w:color w:val="auto"/>
          <w:szCs w:val="21"/>
          <w:highlight w:val="none"/>
          <w:lang w:val="zh-CN"/>
        </w:rPr>
        <w:t xml:space="preserve"> </w:t>
      </w:r>
      <w:r>
        <w:rPr>
          <w:rFonts w:hint="eastAsia" w:ascii="宋体" w:hAnsi="宋体" w:eastAsia="宋体" w:cs="Times New Roman"/>
          <w:color w:val="auto"/>
          <w:szCs w:val="21"/>
          <w:highlight w:val="none"/>
          <w:lang w:val="zh-CN"/>
        </w:rPr>
        <w:t>招标代理机构在招标公告发布媒介公示中标候选人，公示期不得少于3日（最后一日是节假日或公休日的，应顺延到节假日或公休日后第一个工作日）。投标人或者其他利害关系人对评标结果有异议的，应当在</w:t>
      </w:r>
      <w:r>
        <w:rPr>
          <w:rFonts w:hint="eastAsia" w:ascii="宋体" w:hAnsi="宋体" w:eastAsia="宋体" w:cs="Times New Roman"/>
          <w:color w:val="auto"/>
          <w:szCs w:val="21"/>
          <w:highlight w:val="none"/>
        </w:rPr>
        <w:t>评标结果</w:t>
      </w:r>
      <w:r>
        <w:rPr>
          <w:rFonts w:hint="eastAsia" w:ascii="宋体" w:hAnsi="宋体" w:eastAsia="宋体" w:cs="Times New Roman"/>
          <w:color w:val="auto"/>
          <w:szCs w:val="21"/>
          <w:highlight w:val="none"/>
          <w:lang w:val="zh-CN"/>
        </w:rPr>
        <w:t>公示期间向招标代理机构以书面的形式提出，</w:t>
      </w:r>
      <w:r>
        <w:rPr>
          <w:rFonts w:ascii="宋体" w:hAnsi="宋体" w:eastAsia="宋体" w:cs="Times New Roman"/>
          <w:color w:val="auto"/>
          <w:szCs w:val="21"/>
          <w:highlight w:val="none"/>
          <w:lang w:val="zh-CN"/>
        </w:rPr>
        <w:t>并</w:t>
      </w:r>
      <w:r>
        <w:rPr>
          <w:rFonts w:hint="eastAsia" w:ascii="宋体" w:hAnsi="宋体" w:eastAsia="宋体" w:cs="Times New Roman"/>
          <w:color w:val="auto"/>
          <w:szCs w:val="21"/>
          <w:highlight w:val="none"/>
          <w:lang w:val="zh-CN"/>
        </w:rPr>
        <w:t>将完整的异议书面材料原件</w:t>
      </w:r>
      <w:r>
        <w:rPr>
          <w:rFonts w:ascii="宋体" w:hAnsi="宋体" w:eastAsia="宋体" w:cs="Times New Roman"/>
          <w:color w:val="auto"/>
          <w:szCs w:val="21"/>
          <w:highlight w:val="none"/>
          <w:lang w:val="zh-CN"/>
        </w:rPr>
        <w:t>送</w:t>
      </w:r>
      <w:r>
        <w:rPr>
          <w:rFonts w:hint="eastAsia" w:ascii="宋体" w:hAnsi="宋体" w:eastAsia="宋体" w:cs="Times New Roman"/>
          <w:color w:val="auto"/>
          <w:szCs w:val="21"/>
          <w:highlight w:val="none"/>
          <w:lang w:val="zh-CN"/>
        </w:rPr>
        <w:t>达招标代理机构，</w:t>
      </w:r>
      <w:r>
        <w:rPr>
          <w:rFonts w:ascii="宋体" w:hAnsi="宋体" w:eastAsia="宋体" w:cs="Times New Roman"/>
          <w:color w:val="auto"/>
          <w:szCs w:val="21"/>
          <w:highlight w:val="none"/>
          <w:lang w:val="zh-CN"/>
        </w:rPr>
        <w:t>逾期则视为</w:t>
      </w:r>
      <w:r>
        <w:rPr>
          <w:rFonts w:hint="eastAsia" w:ascii="宋体" w:hAnsi="宋体" w:eastAsia="宋体" w:cs="Times New Roman"/>
          <w:color w:val="auto"/>
          <w:szCs w:val="21"/>
          <w:highlight w:val="none"/>
          <w:lang w:val="zh-CN"/>
        </w:rPr>
        <w:t>对评标结果无异议。超出提交异议截止时间而提出的任何疑问，招标代理机构可不予答复</w:t>
      </w:r>
      <w:r>
        <w:rPr>
          <w:rFonts w:hint="eastAsia" w:ascii="宋体" w:hAnsi="宋体" w:eastAsia="宋体" w:cs="宋体"/>
          <w:color w:val="auto"/>
          <w:szCs w:val="21"/>
          <w:highlight w:val="none"/>
          <w:lang w:val="zh-CN"/>
        </w:rPr>
        <w:t>。</w:t>
      </w:r>
    </w:p>
    <w:p w14:paraId="6042BB0E">
      <w:pPr>
        <w:autoSpaceDE w:val="0"/>
        <w:autoSpaceDN w:val="0"/>
        <w:adjustRightInd w:val="0"/>
        <w:snapToGrid w:val="0"/>
        <w:spacing w:line="360" w:lineRule="auto"/>
        <w:ind w:left="210" w:leftChars="100" w:firstLine="525" w:firstLineChars="250"/>
        <w:jc w:val="left"/>
        <w:rPr>
          <w:rFonts w:ascii="宋体" w:hAnsi="宋体" w:eastAsia="宋体" w:cs="宋体"/>
          <w:color w:val="auto"/>
          <w:kern w:val="0"/>
          <w:szCs w:val="21"/>
          <w:highlight w:val="none"/>
          <w:lang w:val="zh-CN"/>
        </w:rPr>
      </w:pPr>
      <w:r>
        <w:rPr>
          <w:rFonts w:hint="eastAsia" w:ascii="宋体" w:hAnsi="宋体" w:eastAsia="宋体" w:cs="Times New Roman"/>
          <w:color w:val="auto"/>
          <w:szCs w:val="21"/>
          <w:highlight w:val="none"/>
          <w:lang w:val="zh-CN"/>
        </w:rPr>
        <w:t>招标代理机构将拒收未能提供完整异议书面材料的异议，完整的异议书面材料必须同时包含：异议书（加盖法人</w:t>
      </w:r>
      <w:r>
        <w:rPr>
          <w:rFonts w:ascii="宋体" w:hAnsi="宋体" w:eastAsia="宋体" w:cs="Times New Roman"/>
          <w:color w:val="auto"/>
          <w:szCs w:val="21"/>
          <w:highlight w:val="none"/>
          <w:lang w:val="zh-CN"/>
        </w:rPr>
        <w:t>公章</w:t>
      </w:r>
      <w:r>
        <w:rPr>
          <w:rFonts w:hint="eastAsia" w:ascii="宋体" w:hAnsi="宋体" w:eastAsia="宋体" w:cs="Times New Roman"/>
          <w:color w:val="auto"/>
          <w:szCs w:val="21"/>
          <w:highlight w:val="none"/>
          <w:lang w:val="zh-CN"/>
        </w:rPr>
        <w:t>，并注明联系人、联系电话、联系地址）、授权提交异议的法定代表人授权书原件、反映异议人主体资格的营业执照复印件（加盖法人</w:t>
      </w:r>
      <w:r>
        <w:rPr>
          <w:rFonts w:ascii="宋体" w:hAnsi="宋体" w:eastAsia="宋体" w:cs="Times New Roman"/>
          <w:color w:val="auto"/>
          <w:szCs w:val="21"/>
          <w:highlight w:val="none"/>
          <w:lang w:val="zh-CN"/>
        </w:rPr>
        <w:t>公章</w:t>
      </w:r>
      <w:r>
        <w:rPr>
          <w:rFonts w:hint="eastAsia" w:ascii="宋体" w:hAnsi="宋体" w:eastAsia="宋体" w:cs="Times New Roman"/>
          <w:color w:val="auto"/>
          <w:szCs w:val="21"/>
          <w:highlight w:val="none"/>
          <w:lang w:val="zh-CN"/>
        </w:rPr>
        <w:t>）、以及合法来源的证据证明材料</w:t>
      </w:r>
      <w:r>
        <w:rPr>
          <w:rFonts w:hint="eastAsia" w:ascii="宋体" w:hAnsi="宋体" w:eastAsia="宋体" w:cs="宋体"/>
          <w:color w:val="auto"/>
          <w:kern w:val="0"/>
          <w:szCs w:val="21"/>
          <w:highlight w:val="none"/>
          <w:lang w:val="zh-CN"/>
        </w:rPr>
        <w:t>。</w:t>
      </w:r>
    </w:p>
    <w:p w14:paraId="4883AD0E">
      <w:pPr>
        <w:autoSpaceDE w:val="0"/>
        <w:autoSpaceDN w:val="0"/>
        <w:adjustRightInd w:val="0"/>
        <w:spacing w:line="360" w:lineRule="auto"/>
        <w:ind w:left="284" w:hanging="568"/>
        <w:rPr>
          <w:rFonts w:ascii="宋体" w:hAnsi="宋体" w:eastAsia="宋体" w:cs="Times New Roman"/>
          <w:b/>
          <w:color w:val="auto"/>
          <w:szCs w:val="21"/>
          <w:highlight w:val="none"/>
          <w:lang w:val="zh-CN"/>
        </w:rPr>
      </w:pPr>
      <w:r>
        <w:rPr>
          <w:rFonts w:hint="eastAsia" w:ascii="宋体" w:hAnsi="宋体" w:eastAsia="宋体" w:cs="Times New Roman"/>
          <w:b/>
          <w:color w:val="auto"/>
          <w:szCs w:val="21"/>
          <w:highlight w:val="none"/>
        </w:rPr>
        <w:t xml:space="preserve">29.2 </w:t>
      </w:r>
      <w:r>
        <w:rPr>
          <w:rFonts w:hint="eastAsia" w:ascii="宋体" w:hAnsi="宋体" w:eastAsia="宋体" w:cs="Times New Roman"/>
          <w:b/>
          <w:color w:val="auto"/>
          <w:szCs w:val="21"/>
          <w:highlight w:val="none"/>
          <w:lang w:val="zh-CN"/>
        </w:rPr>
        <w:t>结果公示后，招标人有权要求中标候选人在结果公示之日起3日（最后一日是节假日或公休日的，应顺延到节假日或公休日后第一个工作日）内提交投标文件中所提供的资格证明文件、业绩证明文件、对招标文件实质性条款响应文件、履约能力证明文件的原件供招标人核查。招标人如有需要，中标候选人有义务提供投标文件外其他相关证明资料原件（包括但不限于业绩合同对应的发票等）供招标人核查。招标人如发现投标人提供虚假证明文件、虚假响应文件等弄虚作假行为骗取中标的，招标人将取消其中标资格，不予退还其投标保证金。涉嫌违法犯罪的，将</w:t>
      </w:r>
      <w:r>
        <w:rPr>
          <w:rFonts w:ascii="宋体" w:hAnsi="宋体" w:eastAsia="宋体" w:cs="Times New Roman"/>
          <w:b/>
          <w:color w:val="auto"/>
          <w:szCs w:val="21"/>
          <w:highlight w:val="none"/>
          <w:lang w:val="zh-CN"/>
        </w:rPr>
        <w:t>移交司法机关处理</w:t>
      </w:r>
      <w:r>
        <w:rPr>
          <w:rFonts w:hint="eastAsia" w:ascii="宋体" w:hAnsi="宋体" w:eastAsia="宋体" w:cs="Times New Roman"/>
          <w:b/>
          <w:color w:val="auto"/>
          <w:szCs w:val="21"/>
          <w:highlight w:val="none"/>
          <w:lang w:val="zh-CN"/>
        </w:rPr>
        <w:t>。</w:t>
      </w:r>
    </w:p>
    <w:p w14:paraId="76CBA5C5">
      <w:pPr>
        <w:autoSpaceDE w:val="0"/>
        <w:autoSpaceDN w:val="0"/>
        <w:adjustRightInd w:val="0"/>
        <w:snapToGrid w:val="0"/>
        <w:spacing w:line="360" w:lineRule="auto"/>
        <w:ind w:left="246" w:leftChars="117" w:firstLine="422" w:firstLineChars="200"/>
        <w:jc w:val="left"/>
        <w:rPr>
          <w:rFonts w:ascii="宋体" w:hAnsi="宋体" w:eastAsia="宋体" w:cs="Times New Roman"/>
          <w:b/>
          <w:color w:val="auto"/>
          <w:szCs w:val="21"/>
          <w:highlight w:val="none"/>
          <w:lang w:val="zh-CN"/>
        </w:rPr>
      </w:pPr>
      <w:r>
        <w:rPr>
          <w:rFonts w:hint="eastAsia" w:ascii="宋体" w:hAnsi="宋体" w:eastAsia="宋体" w:cs="Times New Roman"/>
          <w:b/>
          <w:color w:val="auto"/>
          <w:szCs w:val="21"/>
          <w:highlight w:val="none"/>
          <w:lang w:val="zh-CN"/>
        </w:rPr>
        <w:t>当招标人（或其委托的招标代理机构）向中标候选人发出提供上述投标文件或投标文件外其他相关（包括但不限于业绩合同对应的发票等）的证明资料原件进行核查的书面通知后，</w:t>
      </w:r>
      <w:r>
        <w:rPr>
          <w:rFonts w:hint="eastAsia" w:ascii="宋体" w:hAnsi="宋体" w:eastAsia="宋体" w:cs="Times New Roman"/>
          <w:b/>
          <w:color w:val="auto"/>
          <w:kern w:val="0"/>
          <w:szCs w:val="21"/>
          <w:highlight w:val="none"/>
        </w:rPr>
        <w:t>第一中标候选人未能在招标人（或其委托的招标代理机构</w:t>
      </w:r>
      <w:r>
        <w:rPr>
          <w:rFonts w:ascii="宋体" w:hAnsi="宋体" w:eastAsia="宋体" w:cs="Times New Roman"/>
          <w:b/>
          <w:color w:val="auto"/>
          <w:kern w:val="0"/>
          <w:szCs w:val="21"/>
          <w:highlight w:val="none"/>
        </w:rPr>
        <w:t>) 书面要求的时间(一般不少于三个工作日) 内提供完整的材料原件进行核查的</w:t>
      </w:r>
      <w:r>
        <w:rPr>
          <w:rFonts w:hint="eastAsia" w:ascii="宋体" w:hAnsi="宋体" w:eastAsia="宋体" w:cs="Times New Roman"/>
          <w:b/>
          <w:color w:val="auto"/>
          <w:szCs w:val="21"/>
          <w:highlight w:val="none"/>
          <w:lang w:val="zh-CN"/>
        </w:rPr>
        <w:t>，视为其无法提供真实的资料，招标人有权取消其中标候选人资格。</w:t>
      </w:r>
    </w:p>
    <w:p w14:paraId="47AB11B8">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.3 投标人或者其他利害关系人认为招标投标活动不符合法律、行政法规规定的，可以自知道或者应当知道之日起10日内，按程序向招标人采购活动的监督部门投诉。投诉应当提供纸质投诉书及必要的证明材料。投诉书应当包括下列内容：</w:t>
      </w:r>
    </w:p>
    <w:p w14:paraId="57F3C2CE">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（一）投诉人和被投诉人的姓名或者名称、通讯地址、邮编、联系人及联系电话；</w:t>
      </w:r>
    </w:p>
    <w:p w14:paraId="738E60EC">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（二）异议和异议答复情况说明及相关证明材料；</w:t>
      </w:r>
    </w:p>
    <w:p w14:paraId="1F1C1271">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（三）具体、明确的投诉事项和与投诉事项相关的投诉请求；</w:t>
      </w:r>
    </w:p>
    <w:p w14:paraId="57AC8368">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（四）事实依据；</w:t>
      </w:r>
    </w:p>
    <w:p w14:paraId="64656E27">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（五）法律依据；</w:t>
      </w:r>
    </w:p>
    <w:p w14:paraId="5DBB45E7">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（六）提起投诉的日期。</w:t>
      </w:r>
    </w:p>
    <w:p w14:paraId="14809339">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投诉人为法人或者其他组织的，应当由法定代表人、主要负责人，或者其授权代表签字或者盖章，并加盖公章。</w:t>
      </w:r>
    </w:p>
    <w:p w14:paraId="5144B767">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投诉人投诉的事项不得超出已异议事项的范围，但基于异议答复内容提出的投诉事项除外。</w:t>
      </w:r>
    </w:p>
    <w:p w14:paraId="1B398981">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监督部门：东莞市水务环境投资控股集团有限公司，联系人：</w:t>
      </w:r>
      <w:r>
        <w:rPr>
          <w:rFonts w:hint="eastAsia" w:ascii="宋体" w:hAnsi="宋体" w:eastAsia="宋体" w:cs="宋体"/>
          <w:color w:val="auto"/>
          <w:szCs w:val="21"/>
          <w:highlight w:val="none"/>
          <w:lang w:val="en-US" w:eastAsia="zh-CN"/>
        </w:rPr>
        <w:t>邓</w:t>
      </w:r>
      <w:r>
        <w:rPr>
          <w:rFonts w:hint="eastAsia" w:ascii="宋体" w:hAnsi="宋体" w:eastAsia="宋体" w:cs="宋体"/>
          <w:color w:val="auto"/>
          <w:szCs w:val="21"/>
          <w:highlight w:val="none"/>
          <w:lang w:val="zh-CN"/>
        </w:rPr>
        <w:t>先生，联系电话：0769-28823251。</w:t>
      </w:r>
    </w:p>
    <w:p w14:paraId="1730AD04">
      <w:pPr>
        <w:autoSpaceDE w:val="0"/>
        <w:autoSpaceDN w:val="0"/>
        <w:adjustRightInd w:val="0"/>
        <w:snapToGrid w:val="0"/>
        <w:spacing w:line="360" w:lineRule="auto"/>
        <w:ind w:left="296" w:leftChars="100" w:hanging="86" w:hangingChars="41"/>
        <w:jc w:val="left"/>
        <w:rPr>
          <w:rFonts w:ascii="宋体" w:hAnsi="宋体" w:eastAsia="宋体" w:cs="宋体"/>
          <w:color w:val="auto"/>
          <w:szCs w:val="21"/>
          <w:highlight w:val="none"/>
          <w:lang w:val="zh-CN"/>
        </w:rPr>
      </w:pPr>
    </w:p>
    <w:p w14:paraId="712CCED2">
      <w:pPr>
        <w:tabs>
          <w:tab w:val="left" w:pos="567"/>
        </w:tabs>
        <w:autoSpaceDE w:val="0"/>
        <w:autoSpaceDN w:val="0"/>
        <w:adjustRightInd w:val="0"/>
        <w:spacing w:line="360" w:lineRule="auto"/>
        <w:ind w:left="288" w:leftChars="-100" w:hanging="498" w:hangingChars="236"/>
        <w:outlineLvl w:val="2"/>
        <w:rPr>
          <w:rFonts w:ascii="宋体" w:hAnsi="宋体" w:eastAsia="宋体" w:cs="宋体"/>
          <w:b/>
          <w:color w:val="auto"/>
          <w:szCs w:val="21"/>
          <w:highlight w:val="none"/>
          <w:lang w:val="zh-CN"/>
        </w:rPr>
      </w:pPr>
      <w:bookmarkStart w:id="272" w:name="_Toc466882018"/>
      <w:bookmarkStart w:id="273" w:name="_Toc26138"/>
      <w:bookmarkStart w:id="274" w:name="_Toc1848_WPSOffice_Level3"/>
      <w:bookmarkStart w:id="275" w:name="_Toc142508346"/>
      <w:bookmarkStart w:id="276" w:name="_Toc465358970"/>
      <w:bookmarkStart w:id="277" w:name="_Toc486167695"/>
      <w:bookmarkStart w:id="278" w:name="_Toc24057"/>
      <w:bookmarkStart w:id="279" w:name="_Toc4325"/>
      <w:r>
        <w:rPr>
          <w:rFonts w:hint="eastAsia" w:ascii="宋体" w:hAnsi="宋体" w:eastAsia="宋体" w:cs="宋体"/>
          <w:b/>
          <w:color w:val="auto"/>
          <w:szCs w:val="21"/>
          <w:highlight w:val="none"/>
        </w:rPr>
        <w:t>30</w:t>
      </w:r>
      <w:r>
        <w:rPr>
          <w:rFonts w:hint="eastAsia" w:ascii="宋体" w:hAnsi="宋体" w:eastAsia="宋体" w:cs="宋体"/>
          <w:b/>
          <w:color w:val="auto"/>
          <w:szCs w:val="21"/>
          <w:highlight w:val="none"/>
          <w:lang w:val="zh-CN"/>
        </w:rPr>
        <w:t xml:space="preserve"> 真实性审查</w:t>
      </w:r>
      <w:bookmarkEnd w:id="272"/>
      <w:bookmarkEnd w:id="273"/>
      <w:bookmarkEnd w:id="274"/>
      <w:bookmarkEnd w:id="275"/>
      <w:bookmarkEnd w:id="276"/>
      <w:bookmarkEnd w:id="277"/>
      <w:bookmarkEnd w:id="278"/>
      <w:bookmarkEnd w:id="279"/>
    </w:p>
    <w:p w14:paraId="0712704A">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30.1 在</w:t>
      </w:r>
      <w:r>
        <w:rPr>
          <w:rFonts w:hint="eastAsia" w:ascii="宋体" w:hAnsi="宋体" w:eastAsia="宋体" w:cs="Times New Roman"/>
          <w:b/>
          <w:color w:val="auto"/>
          <w:kern w:val="0"/>
          <w:szCs w:val="21"/>
          <w:highlight w:val="none"/>
        </w:rPr>
        <w:t>授予合同前，招标人（或其委托的招标代理机构）、或评标委员会有权组织对投标人的真实性审查。包括对投标人的资格证明文件、业绩证明文件、对招标文件实质性条款响应文件、履约能力证明文件的原件真实性进行核查。招标人</w:t>
      </w:r>
      <w:r>
        <w:rPr>
          <w:rFonts w:hint="eastAsia" w:ascii="宋体" w:hAnsi="宋体" w:eastAsia="宋体" w:cs="Times New Roman"/>
          <w:b/>
          <w:color w:val="auto"/>
          <w:szCs w:val="21"/>
          <w:highlight w:val="none"/>
          <w:lang w:val="zh-CN"/>
        </w:rPr>
        <w:t>如有需要，投标人有义务提供投标文件外其他相关证明资料原件（包括但不限于业绩合同对应的发票等）供招标人核查。</w:t>
      </w:r>
      <w:r>
        <w:rPr>
          <w:rFonts w:hint="eastAsia" w:ascii="宋体" w:hAnsi="宋体" w:eastAsia="宋体" w:cs="Times New Roman"/>
          <w:b/>
          <w:color w:val="auto"/>
          <w:kern w:val="0"/>
          <w:szCs w:val="21"/>
          <w:highlight w:val="none"/>
        </w:rPr>
        <w:t>若发现投标人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按照评标委员会提出的中标候选人名单排序依次确定其他中标候选人为中标人或重新招标</w:t>
      </w:r>
      <w:r>
        <w:rPr>
          <w:rFonts w:hint="eastAsia" w:ascii="宋体" w:hAnsi="宋体" w:eastAsia="宋体" w:cs="宋体"/>
          <w:b/>
          <w:color w:val="auto"/>
          <w:szCs w:val="21"/>
          <w:highlight w:val="none"/>
        </w:rPr>
        <w:t>。</w:t>
      </w:r>
    </w:p>
    <w:p w14:paraId="605018C3">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30.2 投标人</w:t>
      </w:r>
      <w:r>
        <w:rPr>
          <w:rFonts w:hint="eastAsia" w:ascii="宋体" w:hAnsi="宋体" w:eastAsia="宋体" w:cs="Times New Roman"/>
          <w:b/>
          <w:color w:val="auto"/>
          <w:kern w:val="0"/>
          <w:szCs w:val="21"/>
          <w:highlight w:val="none"/>
        </w:rPr>
        <w:t>在招标人（或其委托的招标代理机构）、或评标委员会通知其提供</w:t>
      </w:r>
      <w:r>
        <w:rPr>
          <w:rFonts w:hint="eastAsia" w:ascii="宋体" w:hAnsi="宋体" w:eastAsia="宋体" w:cs="Times New Roman"/>
          <w:b/>
          <w:color w:val="auto"/>
          <w:szCs w:val="21"/>
          <w:highlight w:val="none"/>
          <w:lang w:val="zh-CN"/>
        </w:rPr>
        <w:t>上述投标文件或投标文件外其他相关（包括但不限于业绩合同对应的发票等）的证明资料原件</w:t>
      </w:r>
      <w:r>
        <w:rPr>
          <w:rFonts w:hint="eastAsia" w:ascii="宋体" w:hAnsi="宋体" w:eastAsia="宋体" w:cs="Times New Roman"/>
          <w:b/>
          <w:color w:val="auto"/>
          <w:kern w:val="0"/>
          <w:szCs w:val="21"/>
          <w:highlight w:val="none"/>
        </w:rPr>
        <w:t>进行核查的要求后，未能在约定的时间内提供原件进行核查的，视为投标人无法提供真实的资料，招标人有权按照评标委员会提出的中标候选人名单排序依次确定其他中标候选人为中标人或重新招标</w:t>
      </w:r>
      <w:r>
        <w:rPr>
          <w:rFonts w:hint="eastAsia" w:ascii="宋体" w:hAnsi="宋体" w:eastAsia="宋体" w:cs="宋体"/>
          <w:b/>
          <w:color w:val="auto"/>
          <w:szCs w:val="21"/>
          <w:highlight w:val="none"/>
        </w:rPr>
        <w:t>。</w:t>
      </w:r>
    </w:p>
    <w:p w14:paraId="3E3DCC3B">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30.3 若投标人在投标或履约过程中存在提供虚假材料、</w:t>
      </w:r>
      <w:r>
        <w:rPr>
          <w:rFonts w:ascii="宋体" w:hAnsi="宋体" w:eastAsia="宋体" w:cs="宋体"/>
          <w:b/>
          <w:color w:val="auto"/>
          <w:szCs w:val="21"/>
          <w:highlight w:val="none"/>
        </w:rPr>
        <w:t>虚假响应</w:t>
      </w:r>
      <w:r>
        <w:rPr>
          <w:rFonts w:hint="eastAsia" w:ascii="宋体" w:hAnsi="宋体" w:eastAsia="宋体" w:cs="宋体"/>
          <w:b/>
          <w:color w:val="auto"/>
          <w:szCs w:val="21"/>
          <w:highlight w:val="none"/>
        </w:rPr>
        <w:t>招标</w:t>
      </w:r>
      <w:r>
        <w:rPr>
          <w:rFonts w:ascii="宋体" w:hAnsi="宋体" w:eastAsia="宋体" w:cs="宋体"/>
          <w:b/>
          <w:color w:val="auto"/>
          <w:szCs w:val="21"/>
          <w:highlight w:val="none"/>
        </w:rPr>
        <w:t>文件</w:t>
      </w:r>
      <w:r>
        <w:rPr>
          <w:rFonts w:hint="eastAsia" w:ascii="宋体" w:hAnsi="宋体" w:eastAsia="宋体" w:cs="宋体"/>
          <w:b/>
          <w:color w:val="auto"/>
          <w:szCs w:val="21"/>
          <w:highlight w:val="none"/>
        </w:rPr>
        <w:t>要求等弄虚作假行为，或未能根据本须知2</w:t>
      </w:r>
      <w:r>
        <w:rPr>
          <w:rFonts w:ascii="宋体" w:hAnsi="宋体" w:eastAsia="宋体" w:cs="宋体"/>
          <w:b/>
          <w:color w:val="auto"/>
          <w:szCs w:val="21"/>
          <w:highlight w:val="none"/>
        </w:rPr>
        <w:t>9.2</w:t>
      </w:r>
      <w:r>
        <w:rPr>
          <w:rFonts w:hint="eastAsia" w:ascii="宋体" w:hAnsi="宋体" w:eastAsia="宋体" w:cs="宋体"/>
          <w:b/>
          <w:color w:val="auto"/>
          <w:szCs w:val="21"/>
          <w:highlight w:val="none"/>
        </w:rPr>
        <w:t>款约定按时提供原件进行核查的，</w:t>
      </w:r>
      <w:r>
        <w:rPr>
          <w:rFonts w:ascii="宋体" w:hAnsi="宋体" w:eastAsia="宋体" w:cs="宋体"/>
          <w:b/>
          <w:color w:val="auto"/>
          <w:szCs w:val="21"/>
          <w:highlight w:val="none"/>
        </w:rPr>
        <w:t>或不按照投标文件承诺履约</w:t>
      </w:r>
      <w:r>
        <w:rPr>
          <w:rFonts w:hint="eastAsia" w:ascii="宋体" w:hAnsi="宋体" w:eastAsia="宋体" w:cs="宋体"/>
          <w:b/>
          <w:color w:val="auto"/>
          <w:szCs w:val="21"/>
          <w:highlight w:val="none"/>
        </w:rPr>
        <w:t>或撤回投标或放弃中标资格或</w:t>
      </w:r>
      <w:r>
        <w:rPr>
          <w:rFonts w:ascii="宋体" w:hAnsi="宋体" w:eastAsia="宋体" w:cs="宋体"/>
          <w:b/>
          <w:color w:val="auto"/>
          <w:szCs w:val="21"/>
          <w:highlight w:val="none"/>
        </w:rPr>
        <w:t>不按要求与招标人签订合同等影响中标结果的行为</w:t>
      </w:r>
      <w:r>
        <w:rPr>
          <w:rFonts w:hint="eastAsia" w:ascii="宋体" w:hAnsi="宋体" w:eastAsia="宋体" w:cs="宋体"/>
          <w:b/>
          <w:color w:val="auto"/>
          <w:szCs w:val="21"/>
          <w:highlight w:val="none"/>
        </w:rPr>
        <w:t>，因此导致投标人无法参与东莞市水务环境投资控股集团有限公司相关招标采购等活动的，由投标人自行承担全部后果。</w:t>
      </w:r>
    </w:p>
    <w:p w14:paraId="43C720ED">
      <w:pPr>
        <w:autoSpaceDE w:val="0"/>
        <w:autoSpaceDN w:val="0"/>
        <w:adjustRightInd w:val="0"/>
        <w:snapToGrid w:val="0"/>
        <w:spacing w:line="360" w:lineRule="auto"/>
        <w:jc w:val="left"/>
        <w:rPr>
          <w:rFonts w:ascii="宋体" w:hAnsi="宋体" w:eastAsia="宋体" w:cs="宋体"/>
          <w:color w:val="auto"/>
          <w:szCs w:val="21"/>
          <w:highlight w:val="none"/>
        </w:rPr>
      </w:pPr>
      <w:bookmarkStart w:id="280" w:name="_Toc466882019"/>
      <w:bookmarkStart w:id="281" w:name="_Toc465358971"/>
    </w:p>
    <w:p w14:paraId="5C8A375F">
      <w:pPr>
        <w:tabs>
          <w:tab w:val="left" w:pos="567"/>
        </w:tabs>
        <w:autoSpaceDE w:val="0"/>
        <w:autoSpaceDN w:val="0"/>
        <w:adjustRightInd w:val="0"/>
        <w:spacing w:line="360" w:lineRule="auto"/>
        <w:ind w:left="16" w:leftChars="-59" w:hanging="140" w:hangingChars="67"/>
        <w:outlineLvl w:val="2"/>
        <w:rPr>
          <w:rFonts w:ascii="宋体" w:hAnsi="宋体" w:eastAsia="宋体" w:cs="宋体"/>
          <w:color w:val="auto"/>
          <w:szCs w:val="21"/>
          <w:highlight w:val="none"/>
          <w:lang w:val="zh-CN"/>
        </w:rPr>
      </w:pPr>
      <w:bookmarkStart w:id="282" w:name="_Toc486167696"/>
      <w:bookmarkStart w:id="283" w:name="_Toc14140"/>
      <w:bookmarkStart w:id="284" w:name="_Toc142508347"/>
      <w:bookmarkStart w:id="285" w:name="_Toc26035"/>
      <w:bookmarkStart w:id="286" w:name="_Toc10867_WPSOffice_Level3"/>
      <w:bookmarkStart w:id="287" w:name="_Toc10009"/>
      <w:r>
        <w:rPr>
          <w:rFonts w:hint="eastAsia" w:ascii="宋体" w:hAnsi="宋体" w:eastAsia="宋体" w:cs="宋体"/>
          <w:color w:val="auto"/>
          <w:szCs w:val="21"/>
          <w:highlight w:val="none"/>
        </w:rPr>
        <w:t>31</w:t>
      </w:r>
      <w:r>
        <w:rPr>
          <w:rFonts w:hint="eastAsia" w:ascii="宋体" w:hAnsi="宋体" w:eastAsia="宋体" w:cs="宋体"/>
          <w:color w:val="auto"/>
          <w:szCs w:val="21"/>
          <w:highlight w:val="none"/>
          <w:lang w:val="zh-CN"/>
        </w:rPr>
        <w:t xml:space="preserve"> 评标委员会和招标人接受或拒绝任何投标或所有投标的权利</w:t>
      </w:r>
      <w:bookmarkEnd w:id="280"/>
      <w:bookmarkEnd w:id="281"/>
      <w:bookmarkEnd w:id="282"/>
      <w:bookmarkEnd w:id="283"/>
      <w:bookmarkEnd w:id="284"/>
      <w:bookmarkEnd w:id="285"/>
      <w:bookmarkEnd w:id="286"/>
      <w:bookmarkEnd w:id="287"/>
    </w:p>
    <w:p w14:paraId="06CF4F23">
      <w:pPr>
        <w:autoSpaceDE w:val="0"/>
        <w:autoSpaceDN w:val="0"/>
        <w:adjustRightInd w:val="0"/>
        <w:spacing w:line="360" w:lineRule="auto"/>
        <w:ind w:left="248" w:leftChars="118" w:firstLine="1"/>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在授予合同前的任何时候，招标人仍保留接受或拒绝任何投标，宣布招标程序无效或拒绝所有投标的权利，无需向受影响的投标人承担任何责任。</w:t>
      </w:r>
    </w:p>
    <w:p w14:paraId="656281E8">
      <w:pPr>
        <w:autoSpaceDE w:val="0"/>
        <w:autoSpaceDN w:val="0"/>
        <w:adjustRightInd w:val="0"/>
        <w:snapToGrid w:val="0"/>
        <w:spacing w:line="360" w:lineRule="auto"/>
        <w:ind w:left="436" w:leftChars="-158" w:hanging="768" w:hangingChars="320"/>
        <w:jc w:val="left"/>
        <w:rPr>
          <w:rFonts w:ascii="宋体" w:hAnsi="宋体" w:eastAsia="宋体" w:cs="宋体"/>
          <w:color w:val="auto"/>
          <w:kern w:val="44"/>
          <w:sz w:val="24"/>
          <w:szCs w:val="24"/>
          <w:highlight w:val="none"/>
          <w:lang w:val="zh-CN"/>
        </w:rPr>
      </w:pPr>
      <w:bookmarkStart w:id="288" w:name="_Toc450662880"/>
    </w:p>
    <w:p w14:paraId="6ED71821">
      <w:pPr>
        <w:keepNext/>
        <w:keepLine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289" w:name="_Toc142508348"/>
      <w:bookmarkStart w:id="290" w:name="_Toc486167697"/>
      <w:bookmarkStart w:id="291" w:name="_Toc23395"/>
      <w:bookmarkStart w:id="292" w:name="_Toc22929"/>
      <w:bookmarkStart w:id="293" w:name="_Toc18316"/>
      <w:bookmarkStart w:id="294" w:name="_Toc16848_WPSOffice_Level2"/>
      <w:bookmarkStart w:id="295" w:name="_Toc140596907"/>
      <w:r>
        <w:rPr>
          <w:rFonts w:hint="eastAsia" w:ascii="宋体" w:hAnsi="宋体" w:eastAsia="宋体" w:cs="宋体"/>
          <w:b/>
          <w:bCs/>
          <w:color w:val="auto"/>
          <w:kern w:val="44"/>
          <w:szCs w:val="21"/>
          <w:highlight w:val="none"/>
          <w:lang w:val="zh-CN"/>
        </w:rPr>
        <w:t>六、授予合同</w:t>
      </w:r>
      <w:bookmarkEnd w:id="288"/>
      <w:bookmarkEnd w:id="289"/>
      <w:bookmarkEnd w:id="290"/>
      <w:bookmarkEnd w:id="291"/>
      <w:bookmarkEnd w:id="292"/>
      <w:bookmarkEnd w:id="293"/>
      <w:bookmarkEnd w:id="294"/>
      <w:bookmarkEnd w:id="295"/>
    </w:p>
    <w:p w14:paraId="1C9BB2F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96" w:name="_Toc6401_WPSOffice_Level3"/>
      <w:bookmarkStart w:id="297" w:name="_Toc25540"/>
      <w:bookmarkStart w:id="298" w:name="_Toc142508349"/>
      <w:bookmarkStart w:id="299" w:name="_Toc450662881"/>
      <w:bookmarkStart w:id="300" w:name="_Toc14160"/>
      <w:bookmarkStart w:id="301" w:name="_Toc486167698"/>
      <w:bookmarkStart w:id="302" w:name="_Toc21588"/>
      <w:r>
        <w:rPr>
          <w:rFonts w:hint="eastAsia" w:ascii="宋体" w:hAnsi="宋体" w:eastAsia="宋体" w:cs="宋体"/>
          <w:color w:val="auto"/>
          <w:szCs w:val="21"/>
          <w:highlight w:val="none"/>
        </w:rPr>
        <w:t>32</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授予合同的准则</w:t>
      </w:r>
      <w:bookmarkEnd w:id="296"/>
      <w:bookmarkEnd w:id="297"/>
      <w:bookmarkEnd w:id="298"/>
      <w:bookmarkEnd w:id="299"/>
      <w:bookmarkEnd w:id="300"/>
      <w:bookmarkEnd w:id="301"/>
      <w:bookmarkEnd w:id="302"/>
    </w:p>
    <w:p w14:paraId="5B23E9DB">
      <w:pPr>
        <w:tabs>
          <w:tab w:val="left" w:pos="645"/>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rPr>
        <w:t>32</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除第29条、30条</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Cs w:val="24"/>
          <w:highlight w:val="none"/>
        </w:rPr>
        <w:t>31</w:t>
      </w:r>
      <w:r>
        <w:rPr>
          <w:rFonts w:hint="eastAsia" w:ascii="宋体" w:hAnsi="宋体" w:eastAsia="宋体" w:cs="宋体"/>
          <w:color w:val="auto"/>
          <w:szCs w:val="21"/>
          <w:highlight w:val="none"/>
          <w:lang w:val="zh-CN"/>
        </w:rPr>
        <w:t>条规定外，招标人将合同授予其投标文件符合招标文件要求，并且能承诺履行合同，对招标人最为有利的投标人。</w:t>
      </w:r>
    </w:p>
    <w:p w14:paraId="196E1E35">
      <w:pPr>
        <w:numPr>
          <w:ilvl w:val="1"/>
          <w:numId w:val="0"/>
        </w:numPr>
        <w:tabs>
          <w:tab w:val="left" w:pos="54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32.2 招标人依法</w:t>
      </w:r>
      <w:r>
        <w:rPr>
          <w:rFonts w:hint="eastAsia" w:ascii="宋体" w:hAnsi="宋体" w:eastAsia="宋体" w:cs="宋体"/>
          <w:color w:val="auto"/>
          <w:kern w:val="0"/>
          <w:szCs w:val="21"/>
          <w:highlight w:val="none"/>
        </w:rPr>
        <w:t>按照评标报告中推荐的中标候选人顺序</w:t>
      </w:r>
      <w:r>
        <w:rPr>
          <w:rFonts w:hint="eastAsia" w:ascii="宋体" w:hAnsi="宋体" w:eastAsia="宋体" w:cs="宋体"/>
          <w:color w:val="auto"/>
          <w:szCs w:val="21"/>
          <w:highlight w:val="none"/>
          <w:lang w:val="zh-CN"/>
        </w:rPr>
        <w:t>确定中标人。</w:t>
      </w:r>
    </w:p>
    <w:p w14:paraId="72F44964">
      <w:pPr>
        <w:autoSpaceDE w:val="0"/>
        <w:autoSpaceDN w:val="0"/>
        <w:adjustRightInd w:val="0"/>
        <w:snapToGrid w:val="0"/>
        <w:spacing w:line="360" w:lineRule="auto"/>
        <w:ind w:left="315" w:leftChars="-100" w:hanging="525" w:hangingChars="250"/>
        <w:jc w:val="left"/>
        <w:rPr>
          <w:rFonts w:ascii="宋体" w:hAnsi="宋体" w:eastAsia="宋体" w:cs="宋体"/>
          <w:b/>
          <w:color w:val="auto"/>
          <w:kern w:val="0"/>
          <w:szCs w:val="21"/>
          <w:highlight w:val="none"/>
        </w:rPr>
      </w:pPr>
      <w:r>
        <w:rPr>
          <w:rFonts w:hint="eastAsia" w:ascii="宋体" w:hAnsi="宋体" w:eastAsia="宋体" w:cs="宋体"/>
          <w:color w:val="auto"/>
          <w:szCs w:val="21"/>
          <w:highlight w:val="none"/>
          <w:lang w:val="zh-CN"/>
        </w:rPr>
        <w:t>32</w:t>
      </w:r>
      <w:r>
        <w:rPr>
          <w:rFonts w:hint="eastAsia" w:ascii="宋体" w:hAnsi="宋体" w:eastAsia="宋体" w:cs="宋体"/>
          <w:color w:val="auto"/>
          <w:kern w:val="0"/>
          <w:szCs w:val="21"/>
          <w:highlight w:val="none"/>
        </w:rPr>
        <w:t>.3 因不可抗力或自身原因不能履行合同的、不按要求与招标人签订合同、中标人放弃中标、中标资格被依法确认无效的，招标人可以按照评标委员会提出的中标候选人名单排序依次确定其他中标候选人为中标人或重新招标</w:t>
      </w:r>
      <w:r>
        <w:rPr>
          <w:rFonts w:hint="eastAsia" w:ascii="宋体" w:hAnsi="宋体" w:eastAsia="宋体" w:cs="宋体"/>
          <w:b/>
          <w:color w:val="auto"/>
          <w:kern w:val="0"/>
          <w:szCs w:val="21"/>
          <w:highlight w:val="none"/>
        </w:rPr>
        <w:t>。</w:t>
      </w:r>
    </w:p>
    <w:p w14:paraId="3C350FB5">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bookmarkStart w:id="303" w:name="_Toc450662885"/>
    </w:p>
    <w:p w14:paraId="5AB74DF9">
      <w:pPr>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04" w:name="_Toc142508350"/>
      <w:bookmarkStart w:id="305" w:name="_Toc30848"/>
      <w:bookmarkStart w:id="306" w:name="_Toc486167699"/>
      <w:bookmarkStart w:id="307" w:name="_Toc24266"/>
      <w:bookmarkStart w:id="308" w:name="_Toc8842"/>
      <w:bookmarkStart w:id="309" w:name="_Toc6726_WPSOffice_Level3"/>
      <w:r>
        <w:rPr>
          <w:rFonts w:hint="eastAsia" w:ascii="宋体" w:hAnsi="宋体" w:eastAsia="宋体" w:cs="宋体"/>
          <w:color w:val="auto"/>
          <w:szCs w:val="21"/>
          <w:highlight w:val="none"/>
          <w:lang w:val="zh-CN"/>
        </w:rPr>
        <w:t>33</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中标通知</w:t>
      </w:r>
      <w:bookmarkEnd w:id="303"/>
      <w:bookmarkEnd w:id="304"/>
      <w:bookmarkEnd w:id="305"/>
      <w:bookmarkEnd w:id="306"/>
      <w:bookmarkEnd w:id="307"/>
      <w:bookmarkEnd w:id="308"/>
      <w:bookmarkEnd w:id="309"/>
    </w:p>
    <w:p w14:paraId="3DB0F984">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bookmarkStart w:id="310" w:name="_Toc450662886"/>
      <w:r>
        <w:rPr>
          <w:rFonts w:hint="eastAsia" w:ascii="宋体" w:hAnsi="宋体" w:eastAsia="宋体" w:cs="宋体"/>
          <w:color w:val="auto"/>
          <w:szCs w:val="21"/>
          <w:highlight w:val="none"/>
          <w:lang w:val="zh-CN"/>
        </w:rPr>
        <w:t>33.1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招标代理机构向中标人发出书面通知，中标通知书是合同的一个组成部分。</w:t>
      </w:r>
    </w:p>
    <w:p w14:paraId="5E16D8D0">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33.2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招标代理机构向中标人发出书面通知的同时，招标代理机构通知落选的投标人其投标文件未被接受而不提原因。</w:t>
      </w:r>
    </w:p>
    <w:p w14:paraId="6B5A1D12">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p>
    <w:p w14:paraId="0D2BFD2C">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11" w:name="_Toc9694_WPSOffice_Level3"/>
      <w:bookmarkStart w:id="312" w:name="_Toc142508351"/>
      <w:bookmarkStart w:id="313" w:name="_Toc32732"/>
      <w:bookmarkStart w:id="314" w:name="_Toc26535"/>
      <w:bookmarkStart w:id="315" w:name="_Toc24946"/>
      <w:bookmarkStart w:id="316" w:name="_Toc486167700"/>
      <w:r>
        <w:rPr>
          <w:rFonts w:hint="eastAsia" w:ascii="宋体" w:hAnsi="宋体" w:eastAsia="宋体" w:cs="宋体"/>
          <w:color w:val="auto"/>
          <w:szCs w:val="21"/>
          <w:highlight w:val="none"/>
        </w:rPr>
        <w:t>34</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签署合同</w:t>
      </w:r>
      <w:bookmarkEnd w:id="310"/>
      <w:bookmarkEnd w:id="311"/>
      <w:bookmarkEnd w:id="312"/>
      <w:bookmarkEnd w:id="313"/>
      <w:bookmarkEnd w:id="314"/>
      <w:bookmarkEnd w:id="315"/>
      <w:bookmarkEnd w:id="316"/>
    </w:p>
    <w:p w14:paraId="3DDD9113">
      <w:pPr>
        <w:tabs>
          <w:tab w:val="left" w:pos="540"/>
        </w:tabs>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rPr>
        <w:t>34</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Times New Roman"/>
          <w:b/>
          <w:color w:val="auto"/>
          <w:szCs w:val="21"/>
          <w:highlight w:val="none"/>
          <w:u w:val="single"/>
          <w:lang w:val="zh-CN"/>
        </w:rPr>
        <w:t>中标人在自中标通知书发出之日起30日内，按照招标文件和中标人的投标文件的约定，与招标人签订书面合同，具体签订方式以招标人通知为准。否则招标人有权取消中标资格并按招标文件及法律、法规的规定进行处理</w:t>
      </w:r>
      <w:r>
        <w:rPr>
          <w:rFonts w:hint="eastAsia" w:ascii="宋体" w:hAnsi="宋体" w:eastAsia="宋体" w:cs="宋体"/>
          <w:color w:val="auto"/>
          <w:szCs w:val="21"/>
          <w:highlight w:val="none"/>
          <w:lang w:val="zh-CN"/>
        </w:rPr>
        <w:t>。</w:t>
      </w:r>
    </w:p>
    <w:p w14:paraId="2C66BE7E">
      <w:pPr>
        <w:tabs>
          <w:tab w:val="left" w:pos="360"/>
        </w:tabs>
        <w:autoSpaceDE w:val="0"/>
        <w:autoSpaceDN w:val="0"/>
        <w:adjustRightInd w:val="0"/>
        <w:spacing w:line="360" w:lineRule="auto"/>
        <w:ind w:left="357" w:leftChars="-100" w:hanging="567"/>
        <w:jc w:val="left"/>
        <w:outlineLvl w:val="9"/>
        <w:rPr>
          <w:rFonts w:hint="eastAsia" w:ascii="宋体" w:hAnsi="宋体" w:eastAsia="宋体" w:cs="宋体"/>
          <w:color w:val="auto"/>
          <w:szCs w:val="21"/>
          <w:highlight w:val="none"/>
        </w:rPr>
      </w:pPr>
      <w:bookmarkStart w:id="317" w:name="_Toc450662887"/>
      <w:bookmarkStart w:id="318" w:name="_Toc142508352"/>
      <w:bookmarkStart w:id="319" w:name="_Toc10513_WPSOffice_Level3"/>
      <w:bookmarkStart w:id="320" w:name="_Toc486167701"/>
    </w:p>
    <w:p w14:paraId="2508B0BF">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21" w:name="_Toc8873"/>
      <w:bookmarkStart w:id="322" w:name="_Toc24297"/>
      <w:bookmarkStart w:id="323" w:name="_Toc1889"/>
      <w:r>
        <w:rPr>
          <w:rFonts w:hint="eastAsia" w:ascii="宋体" w:hAnsi="宋体" w:eastAsia="宋体" w:cs="宋体"/>
          <w:color w:val="auto"/>
          <w:szCs w:val="21"/>
          <w:highlight w:val="none"/>
        </w:rPr>
        <w:t>35</w:t>
      </w:r>
      <w:r>
        <w:rPr>
          <w:rFonts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履约担保</w:t>
      </w:r>
      <w:bookmarkEnd w:id="317"/>
      <w:bookmarkEnd w:id="318"/>
      <w:bookmarkEnd w:id="319"/>
      <w:bookmarkEnd w:id="320"/>
      <w:bookmarkEnd w:id="321"/>
      <w:bookmarkEnd w:id="322"/>
      <w:bookmarkEnd w:id="323"/>
    </w:p>
    <w:p w14:paraId="29EF81EF">
      <w:pPr>
        <w:numPr>
          <w:ilvl w:val="1"/>
          <w:numId w:val="0"/>
        </w:numPr>
        <w:autoSpaceDE w:val="0"/>
        <w:autoSpaceDN w:val="0"/>
        <w:adjustRightInd w:val="0"/>
        <w:spacing w:line="360" w:lineRule="auto"/>
        <w:ind w:left="354" w:leftChars="-100" w:right="15" w:rightChars="7" w:hanging="564" w:hangingChars="269"/>
        <w:rPr>
          <w:rFonts w:ascii="宋体" w:hAnsi="宋体" w:eastAsia="宋体" w:cs="宋体"/>
          <w:b/>
          <w:bCs/>
          <w:color w:val="auto"/>
          <w:szCs w:val="21"/>
          <w:highlight w:val="none"/>
          <w:lang w:val="zh-CN"/>
        </w:rPr>
      </w:pPr>
      <w:bookmarkStart w:id="324" w:name="_Toc466882025"/>
      <w:bookmarkStart w:id="325" w:name="_Toc465358977"/>
      <w:r>
        <w:rPr>
          <w:rFonts w:hint="eastAsia" w:ascii="宋体" w:hAnsi="宋体" w:eastAsia="宋体" w:cs="宋体"/>
          <w:bCs/>
          <w:color w:val="auto"/>
          <w:szCs w:val="21"/>
          <w:highlight w:val="none"/>
        </w:rPr>
        <w:t>35</w:t>
      </w:r>
      <w:r>
        <w:rPr>
          <w:rFonts w:hint="eastAsia" w:ascii="宋体" w:hAnsi="宋体" w:eastAsia="宋体" w:cs="宋体"/>
          <w:bCs/>
          <w:color w:val="auto"/>
          <w:szCs w:val="21"/>
          <w:highlight w:val="none"/>
          <w:lang w:val="zh-CN"/>
        </w:rPr>
        <w:t>.1</w:t>
      </w:r>
      <w:r>
        <w:rPr>
          <w:rFonts w:hint="eastAsia" w:ascii="宋体" w:hAnsi="宋体" w:eastAsia="宋体" w:cs="宋体"/>
          <w:b/>
          <w:bCs/>
          <w:color w:val="auto"/>
          <w:szCs w:val="21"/>
          <w:highlight w:val="none"/>
          <w:lang w:val="zh-CN"/>
        </w:rPr>
        <w:t xml:space="preserve"> </w:t>
      </w:r>
      <w:r>
        <w:rPr>
          <w:rFonts w:hint="eastAsia" w:ascii="宋体" w:hAnsi="宋体" w:eastAsia="宋体" w:cs="Times New Roman"/>
          <w:b/>
          <w:bCs/>
          <w:color w:val="auto"/>
          <w:szCs w:val="21"/>
          <w:highlight w:val="none"/>
          <w:u w:val="single"/>
          <w:lang w:val="zh-CN"/>
        </w:rPr>
        <w:t>中标人应在签订合同前</w:t>
      </w:r>
      <w:r>
        <w:rPr>
          <w:rFonts w:hint="eastAsia" w:ascii="宋体" w:hAnsi="宋体" w:eastAsia="宋体" w:cs="Times New Roman"/>
          <w:b/>
          <w:bCs/>
          <w:color w:val="auto"/>
          <w:sz w:val="21"/>
          <w:szCs w:val="21"/>
          <w:highlight w:val="none"/>
          <w:u w:val="single"/>
          <w:lang w:val="en-US" w:eastAsia="zh-CN"/>
        </w:rPr>
        <w:t>且中标通知书</w:t>
      </w:r>
      <w:r>
        <w:rPr>
          <w:rFonts w:hint="eastAsia" w:ascii="宋体" w:hAnsi="宋体" w:eastAsia="宋体" w:cs="Times New Roman"/>
          <w:b/>
          <w:bCs/>
          <w:color w:val="auto"/>
          <w:sz w:val="21"/>
          <w:szCs w:val="21"/>
          <w:highlight w:val="none"/>
          <w:u w:val="single"/>
          <w:lang w:val="zh-CN"/>
        </w:rPr>
        <w:t>发出之日起30日</w:t>
      </w:r>
      <w:r>
        <w:rPr>
          <w:rFonts w:hint="eastAsia" w:ascii="宋体" w:hAnsi="宋体" w:eastAsia="宋体" w:cs="Times New Roman"/>
          <w:b/>
          <w:bCs/>
          <w:color w:val="auto"/>
          <w:sz w:val="21"/>
          <w:szCs w:val="21"/>
          <w:highlight w:val="none"/>
          <w:u w:val="single"/>
          <w:lang w:val="en-US" w:eastAsia="zh-CN"/>
        </w:rPr>
        <w:t>内</w:t>
      </w:r>
      <w:r>
        <w:rPr>
          <w:rFonts w:hint="eastAsia" w:ascii="宋体" w:hAnsi="宋体" w:eastAsia="宋体" w:cs="Times New Roman"/>
          <w:b/>
          <w:bCs/>
          <w:color w:val="auto"/>
          <w:szCs w:val="21"/>
          <w:highlight w:val="none"/>
          <w:u w:val="single"/>
          <w:lang w:val="zh-CN"/>
        </w:rPr>
        <w:t>，按本招标文件规定金额及形式要求，向招标人提交不可撤销银行履约保函（或履约保证金</w:t>
      </w:r>
      <w:r>
        <w:rPr>
          <w:rFonts w:hint="eastAsia" w:ascii="宋体" w:hAnsi="宋体" w:eastAsia="宋体" w:cs="Times New Roman"/>
          <w:b/>
          <w:bCs/>
          <w:color w:val="auto"/>
          <w:szCs w:val="21"/>
          <w:highlight w:val="none"/>
          <w:u w:val="single"/>
          <w:lang w:val="en-US" w:eastAsia="zh-CN"/>
        </w:rPr>
        <w:t>或履约保证保险</w:t>
      </w:r>
      <w:r>
        <w:rPr>
          <w:rFonts w:hint="eastAsia" w:ascii="宋体" w:hAnsi="宋体" w:eastAsia="宋体" w:cs="Times New Roman"/>
          <w:b/>
          <w:bCs/>
          <w:color w:val="auto"/>
          <w:szCs w:val="21"/>
          <w:highlight w:val="none"/>
          <w:u w:val="single"/>
          <w:lang w:val="zh-CN"/>
        </w:rPr>
        <w:t>或担保公司履约担保书），作为履约担保（所需费用由中标人自行承担），</w:t>
      </w:r>
      <w:r>
        <w:rPr>
          <w:rFonts w:ascii="宋体" w:hAnsi="宋体" w:eastAsia="宋体" w:cs="Arial"/>
          <w:b/>
          <w:bCs/>
          <w:color w:val="auto"/>
          <w:kern w:val="0"/>
          <w:szCs w:val="24"/>
          <w:highlight w:val="none"/>
          <w:u w:val="single"/>
        </w:rPr>
        <w:t>否则招标人可</w:t>
      </w:r>
      <w:r>
        <w:rPr>
          <w:rFonts w:hint="eastAsia" w:ascii="宋体" w:hAnsi="宋体" w:eastAsia="宋体" w:cs="Arial"/>
          <w:b/>
          <w:bCs/>
          <w:color w:val="auto"/>
          <w:kern w:val="0"/>
          <w:szCs w:val="24"/>
          <w:highlight w:val="none"/>
          <w:u w:val="single"/>
          <w:lang w:val="en-US" w:eastAsia="zh-CN"/>
        </w:rPr>
        <w:t>有权</w:t>
      </w:r>
      <w:r>
        <w:rPr>
          <w:rFonts w:ascii="宋体" w:hAnsi="宋体" w:eastAsia="宋体" w:cs="Arial"/>
          <w:b/>
          <w:bCs/>
          <w:color w:val="auto"/>
          <w:kern w:val="0"/>
          <w:szCs w:val="24"/>
          <w:highlight w:val="none"/>
          <w:u w:val="single"/>
        </w:rPr>
        <w:t>取消中标人的中标资格，</w:t>
      </w:r>
      <w:r>
        <w:rPr>
          <w:rFonts w:hint="eastAsia" w:ascii="宋体" w:hAnsi="宋体" w:eastAsia="宋体" w:cs="Arial"/>
          <w:b/>
          <w:bCs/>
          <w:color w:val="auto"/>
          <w:kern w:val="0"/>
          <w:szCs w:val="24"/>
          <w:highlight w:val="none"/>
          <w:u w:val="single"/>
          <w:lang w:val="en-US" w:eastAsia="zh-CN"/>
        </w:rPr>
        <w:t>并</w:t>
      </w:r>
      <w:r>
        <w:rPr>
          <w:rFonts w:hint="eastAsia" w:ascii="宋体" w:hAnsi="宋体" w:eastAsia="宋体" w:cs="Arial"/>
          <w:b/>
          <w:bCs/>
          <w:color w:val="auto"/>
          <w:kern w:val="0"/>
          <w:szCs w:val="24"/>
          <w:highlight w:val="none"/>
          <w:u w:val="single"/>
        </w:rPr>
        <w:t>不予退还其投标保证金。</w:t>
      </w:r>
      <w:r>
        <w:rPr>
          <w:rFonts w:hint="eastAsia" w:ascii="宋体" w:hAnsi="宋体" w:eastAsia="宋体" w:cs="Times New Roman"/>
          <w:b/>
          <w:bCs/>
          <w:color w:val="auto"/>
          <w:szCs w:val="21"/>
          <w:highlight w:val="none"/>
          <w:u w:val="single"/>
          <w:lang w:val="zh-CN"/>
        </w:rPr>
        <w:t>其中，采用履约保证金（银行转账形式）的金额为合同含税总价的5%，采用不可撤销银行履约保函（</w:t>
      </w:r>
      <w:r>
        <w:rPr>
          <w:rFonts w:hint="eastAsia" w:ascii="宋体" w:hAnsi="宋体" w:eastAsia="宋体" w:cs="Times New Roman"/>
          <w:b/>
          <w:bCs/>
          <w:color w:val="auto"/>
          <w:szCs w:val="21"/>
          <w:highlight w:val="none"/>
          <w:u w:val="single"/>
        </w:rPr>
        <w:t>履约保证保险</w:t>
      </w:r>
      <w:r>
        <w:rPr>
          <w:rFonts w:hint="eastAsia" w:ascii="宋体" w:hAnsi="宋体" w:eastAsia="宋体" w:cs="Times New Roman"/>
          <w:b/>
          <w:bCs/>
          <w:color w:val="auto"/>
          <w:szCs w:val="21"/>
          <w:highlight w:val="none"/>
          <w:u w:val="single"/>
          <w:lang w:val="zh-CN"/>
        </w:rPr>
        <w:t>）形式的金额为合同含税总价的8%，采用担保公司履约担保书形式的金额为合同含税总价的</w:t>
      </w:r>
      <w:r>
        <w:rPr>
          <w:rFonts w:ascii="宋体" w:hAnsi="宋体" w:eastAsia="宋体" w:cs="Times New Roman"/>
          <w:b/>
          <w:bCs/>
          <w:color w:val="auto"/>
          <w:szCs w:val="21"/>
          <w:highlight w:val="none"/>
          <w:u w:val="single"/>
          <w:lang w:val="zh-CN"/>
        </w:rPr>
        <w:t>10</w:t>
      </w:r>
      <w:r>
        <w:rPr>
          <w:rFonts w:hint="eastAsia" w:ascii="宋体" w:hAnsi="宋体" w:eastAsia="宋体" w:cs="Times New Roman"/>
          <w:b/>
          <w:bCs/>
          <w:color w:val="auto"/>
          <w:szCs w:val="21"/>
          <w:highlight w:val="none"/>
          <w:u w:val="single"/>
          <w:lang w:val="zh-CN"/>
        </w:rPr>
        <w:t>%。</w:t>
      </w:r>
      <w:r>
        <w:rPr>
          <w:rFonts w:hint="eastAsia" w:ascii="宋体" w:hAnsi="宋体" w:eastAsia="宋体" w:cs="Arial"/>
          <w:bCs/>
          <w:color w:val="auto"/>
          <w:kern w:val="0"/>
          <w:szCs w:val="24"/>
          <w:highlight w:val="none"/>
        </w:rPr>
        <w:t>合同履行过程中，中标人</w:t>
      </w:r>
      <w:r>
        <w:rPr>
          <w:rFonts w:hint="eastAsia" w:ascii="宋体" w:hAnsi="宋体" w:eastAsia="宋体" w:cs="Arial"/>
          <w:color w:val="auto"/>
          <w:kern w:val="0"/>
          <w:szCs w:val="24"/>
          <w:highlight w:val="none"/>
        </w:rPr>
        <w:t>给招标人造成的损失超过履约担保数额的，中标人还应当对超过部分予以赔偿，招标人并依法追究中标人的相应责任。</w:t>
      </w:r>
    </w:p>
    <w:p w14:paraId="1A30FF6B">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35.2 </w:t>
      </w:r>
      <w:r>
        <w:rPr>
          <w:rFonts w:hint="eastAsia" w:ascii="宋体" w:hAnsi="宋体" w:eastAsia="宋体" w:cs="Times New Roman"/>
          <w:color w:val="auto"/>
          <w:kern w:val="0"/>
          <w:szCs w:val="21"/>
          <w:highlight w:val="none"/>
        </w:rPr>
        <w:t>履约担保用于补偿招标人因中标人不能完全履行其合同义务而蒙受的损失或其他合同约定的事项。如发生下列任一情况时，招标人有权依合同追究违约责任外，同时有权提取履约担保并进行相应处理</w:t>
      </w:r>
      <w:r>
        <w:rPr>
          <w:rFonts w:hint="eastAsia" w:ascii="宋体" w:hAnsi="宋体" w:eastAsia="宋体" w:cs="宋体"/>
          <w:color w:val="auto"/>
          <w:kern w:val="0"/>
          <w:szCs w:val="21"/>
          <w:highlight w:val="none"/>
        </w:rPr>
        <w:t>：</w:t>
      </w:r>
    </w:p>
    <w:p w14:paraId="68308588">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w:t>
      </w:r>
      <w:r>
        <w:rPr>
          <w:rFonts w:hint="eastAsia" w:ascii="宋体" w:hAnsi="宋体" w:eastAsia="宋体" w:cs="Times New Roman"/>
          <w:color w:val="auto"/>
          <w:kern w:val="0"/>
          <w:szCs w:val="21"/>
          <w:highlight w:val="none"/>
        </w:rPr>
        <w:t>中标人将合同项下中标人的权利义务全部转让给第三方，或未经招标人书面同意将部分权利义务转让给第三方的，招标人有权没收其履约担保。</w:t>
      </w:r>
    </w:p>
    <w:p w14:paraId="6361670B">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2）在合同履行期间，中标人</w:t>
      </w:r>
      <w:r>
        <w:rPr>
          <w:rFonts w:hint="eastAsia" w:ascii="宋体" w:hAnsi="宋体" w:eastAsia="宋体" w:cs="Times New Roman"/>
          <w:color w:val="auto"/>
          <w:kern w:val="0"/>
          <w:szCs w:val="21"/>
          <w:highlight w:val="none"/>
        </w:rPr>
        <w:t>怠于履行合同义务，经招标人通知或要求承担违约金后仍拒不改正的，招标人</w:t>
      </w:r>
      <w:r>
        <w:rPr>
          <w:rFonts w:hint="eastAsia" w:ascii="宋体" w:hAnsi="宋体" w:eastAsia="宋体" w:cs="Times New Roman"/>
          <w:color w:val="auto"/>
          <w:kern w:val="0"/>
          <w:szCs w:val="21"/>
          <w:highlight w:val="none"/>
          <w:lang w:val="en-US" w:eastAsia="zh-CN"/>
        </w:rPr>
        <w:t>有权</w:t>
      </w:r>
      <w:r>
        <w:rPr>
          <w:rFonts w:hint="eastAsia" w:ascii="宋体" w:hAnsi="宋体" w:eastAsia="宋体" w:cs="Times New Roman"/>
          <w:color w:val="auto"/>
          <w:kern w:val="0"/>
          <w:szCs w:val="21"/>
          <w:highlight w:val="none"/>
        </w:rPr>
        <w:t>没收其履约担保。</w:t>
      </w:r>
    </w:p>
    <w:p w14:paraId="1D8C777A">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3）在合同履行期间，因中标人</w:t>
      </w:r>
      <w:r>
        <w:rPr>
          <w:rFonts w:hint="eastAsia" w:ascii="宋体" w:hAnsi="宋体" w:eastAsia="宋体" w:cs="Times New Roman"/>
          <w:color w:val="auto"/>
          <w:kern w:val="0"/>
          <w:szCs w:val="21"/>
          <w:highlight w:val="none"/>
        </w:rPr>
        <w:t>货物、</w:t>
      </w:r>
      <w:r>
        <w:rPr>
          <w:rFonts w:ascii="宋体" w:hAnsi="宋体" w:eastAsia="宋体" w:cs="Times New Roman"/>
          <w:color w:val="auto"/>
          <w:kern w:val="0"/>
          <w:szCs w:val="21"/>
          <w:highlight w:val="none"/>
        </w:rPr>
        <w:t>服务质量问题造成损害、侵权损失（包括但不限于招标人经济损失、第三人人身财产损失等）、</w:t>
      </w:r>
      <w:r>
        <w:rPr>
          <w:rFonts w:hint="eastAsia" w:ascii="宋体" w:hAnsi="宋体" w:eastAsia="宋体" w:cs="Times New Roman"/>
          <w:color w:val="auto"/>
          <w:kern w:val="0"/>
          <w:szCs w:val="21"/>
          <w:highlight w:val="none"/>
        </w:rPr>
        <w:t>拖欠原材料供应商货款或与其所雇用员工发生劳资纠纷、上访、闹事或其他影响招标人生产经营等情况而其未及时妥善处理的</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招标人有权使用履约担保予以支付或作出相应处理，由此产生的一切法律后果由中标人承担。</w:t>
      </w:r>
    </w:p>
    <w:p w14:paraId="1C82B1B1">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4）在合同履行期间，中标人违约产生的违约金、赔偿、罚款或其他应付费用等款项，招标人有权直接从未付款项中直接扣除或启用履约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予以支付。</w:t>
      </w:r>
    </w:p>
    <w:p w14:paraId="3A741D22">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5）合同期内，中标人不能及时完成合同某项义务的，招标人有权提取履约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用于处理该项工作。</w:t>
      </w:r>
    </w:p>
    <w:p w14:paraId="7D1613E9">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6）其他根据本合同约定或法律规定，招标人可启用履约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的情形。</w:t>
      </w:r>
    </w:p>
    <w:p w14:paraId="4F950B1D">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35.3  履约担保应符合如下规定：</w:t>
      </w:r>
    </w:p>
    <w:p w14:paraId="36794F18">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w:t>
      </w:r>
      <w:r>
        <w:rPr>
          <w:rFonts w:ascii="宋体" w:hAnsi="宋体" w:eastAsia="宋体" w:cs="Times New Roman"/>
          <w:color w:val="auto"/>
          <w:kern w:val="0"/>
          <w:szCs w:val="21"/>
          <w:highlight w:val="none"/>
        </w:rPr>
        <w:t>出具履约保函的银行必须是</w:t>
      </w:r>
      <w:r>
        <w:rPr>
          <w:rFonts w:hint="eastAsia" w:ascii="宋体" w:hAnsi="宋体" w:eastAsia="宋体" w:cs="Times New Roman"/>
          <w:color w:val="auto"/>
          <w:kern w:val="0"/>
          <w:szCs w:val="21"/>
          <w:highlight w:val="none"/>
        </w:rPr>
        <w:t>境内</w:t>
      </w:r>
      <w:r>
        <w:rPr>
          <w:rFonts w:ascii="宋体" w:hAnsi="宋体" w:eastAsia="宋体" w:cs="Times New Roman"/>
          <w:color w:val="auto"/>
          <w:kern w:val="0"/>
          <w:szCs w:val="21"/>
          <w:highlight w:val="none"/>
        </w:rPr>
        <w:t>支行一级以上机构，并经招标人同意，执行本款时所发生的费用由中标人</w:t>
      </w:r>
      <w:r>
        <w:rPr>
          <w:rFonts w:hint="eastAsia" w:ascii="宋体" w:hAnsi="宋体" w:eastAsia="宋体" w:cs="Times New Roman"/>
          <w:color w:val="auto"/>
          <w:kern w:val="0"/>
          <w:szCs w:val="21"/>
          <w:highlight w:val="none"/>
        </w:rPr>
        <w:t>承担</w:t>
      </w:r>
      <w:r>
        <w:rPr>
          <w:rFonts w:ascii="宋体" w:hAnsi="宋体" w:eastAsia="宋体" w:cs="Times New Roman"/>
          <w:color w:val="auto"/>
          <w:kern w:val="0"/>
          <w:szCs w:val="21"/>
          <w:highlight w:val="none"/>
        </w:rPr>
        <w:t>。</w:t>
      </w:r>
    </w:p>
    <w:p w14:paraId="21343099">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w:t>
      </w:r>
      <w:r>
        <w:rPr>
          <w:rFonts w:ascii="宋体" w:hAnsi="宋体" w:eastAsia="宋体" w:cs="Times New Roman"/>
          <w:color w:val="auto"/>
          <w:kern w:val="0"/>
          <w:szCs w:val="21"/>
          <w:highlight w:val="none"/>
        </w:rPr>
        <w:t>履约担保格式应采用招标文件中提供的（格式参见第</w:t>
      </w:r>
      <w:r>
        <w:rPr>
          <w:rFonts w:hint="eastAsia" w:ascii="宋体" w:hAnsi="宋体" w:eastAsia="宋体" w:cs="Times New Roman"/>
          <w:color w:val="auto"/>
          <w:kern w:val="0"/>
          <w:szCs w:val="21"/>
          <w:highlight w:val="none"/>
        </w:rPr>
        <w:t>五篇</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投标人如以履约保函（或履约保证保险或</w:t>
      </w:r>
      <w:r>
        <w:rPr>
          <w:rFonts w:hint="eastAsia" w:ascii="宋体" w:hAnsi="宋体" w:eastAsia="宋体" w:cs="Times New Roman"/>
          <w:color w:val="auto"/>
          <w:kern w:val="0"/>
          <w:szCs w:val="21"/>
          <w:highlight w:val="none"/>
          <w:lang w:val="en-US" w:eastAsia="zh-CN"/>
        </w:rPr>
        <w:t>担保公司</w:t>
      </w:r>
      <w:r>
        <w:rPr>
          <w:rFonts w:hint="eastAsia" w:ascii="宋体" w:hAnsi="宋体" w:eastAsia="宋体" w:cs="Times New Roman"/>
          <w:color w:val="auto"/>
          <w:kern w:val="0"/>
          <w:szCs w:val="21"/>
          <w:highlight w:val="none"/>
        </w:rPr>
        <w:t>履约担保书）形式提供履约担保的，投标前应当自行向其拟申请开具保函的银行（</w:t>
      </w:r>
      <w:r>
        <w:rPr>
          <w:rFonts w:hint="eastAsia" w:ascii="宋体" w:hAnsi="宋体" w:eastAsia="宋体" w:cs="Times New Roman"/>
          <w:color w:val="auto"/>
          <w:kern w:val="0"/>
          <w:szCs w:val="21"/>
          <w:highlight w:val="none"/>
          <w:lang w:val="en-US" w:eastAsia="zh-CN"/>
        </w:rPr>
        <w:t>或保险</w:t>
      </w:r>
      <w:r>
        <w:rPr>
          <w:rFonts w:hint="eastAsia" w:ascii="宋体" w:hAnsi="宋体" w:eastAsia="宋体" w:cs="Times New Roman"/>
          <w:color w:val="auto"/>
          <w:kern w:val="0"/>
          <w:szCs w:val="21"/>
          <w:highlight w:val="none"/>
        </w:rPr>
        <w:t>或担保）机构落实履约保函（或履约保证保险或</w:t>
      </w:r>
      <w:r>
        <w:rPr>
          <w:rFonts w:hint="eastAsia" w:ascii="宋体" w:hAnsi="宋体" w:eastAsia="宋体" w:cs="Times New Roman"/>
          <w:color w:val="auto"/>
          <w:kern w:val="0"/>
          <w:szCs w:val="21"/>
          <w:highlight w:val="none"/>
          <w:lang w:val="en-US" w:eastAsia="zh-CN"/>
        </w:rPr>
        <w:t>担保公司</w:t>
      </w:r>
      <w:r>
        <w:rPr>
          <w:rFonts w:hint="eastAsia" w:ascii="宋体" w:hAnsi="宋体" w:eastAsia="宋体" w:cs="Times New Roman"/>
          <w:color w:val="auto"/>
          <w:kern w:val="0"/>
          <w:szCs w:val="21"/>
          <w:highlight w:val="none"/>
        </w:rPr>
        <w:t>履约担保书）格式情况，以确保能按本招标文件规定的格式提供保函。</w:t>
      </w:r>
      <w:r>
        <w:rPr>
          <w:rFonts w:ascii="宋体" w:hAnsi="宋体" w:eastAsia="宋体" w:cs="Times New Roman"/>
          <w:color w:val="auto"/>
          <w:kern w:val="0"/>
          <w:szCs w:val="21"/>
          <w:highlight w:val="none"/>
        </w:rPr>
        <w:t>如使用其他格式的履约保函</w:t>
      </w:r>
      <w:r>
        <w:rPr>
          <w:rFonts w:hint="eastAsia" w:ascii="宋体" w:hAnsi="宋体" w:eastAsia="宋体" w:cs="Times New Roman"/>
          <w:color w:val="auto"/>
          <w:kern w:val="0"/>
          <w:szCs w:val="21"/>
          <w:highlight w:val="none"/>
        </w:rPr>
        <w:t>（或履约保证保险或</w:t>
      </w:r>
      <w:r>
        <w:rPr>
          <w:rFonts w:hint="eastAsia" w:ascii="宋体" w:hAnsi="宋体" w:eastAsia="宋体" w:cs="Times New Roman"/>
          <w:color w:val="auto"/>
          <w:kern w:val="0"/>
          <w:szCs w:val="21"/>
          <w:highlight w:val="none"/>
          <w:lang w:val="en-US" w:eastAsia="zh-CN"/>
        </w:rPr>
        <w:t>担保公司</w:t>
      </w:r>
      <w:r>
        <w:rPr>
          <w:rFonts w:hint="eastAsia" w:ascii="宋体" w:hAnsi="宋体" w:eastAsia="宋体" w:cs="Times New Roman"/>
          <w:color w:val="auto"/>
          <w:kern w:val="0"/>
          <w:szCs w:val="21"/>
          <w:highlight w:val="none"/>
        </w:rPr>
        <w:t>履约担保书）</w:t>
      </w:r>
      <w:r>
        <w:rPr>
          <w:rFonts w:ascii="宋体" w:hAnsi="宋体" w:eastAsia="宋体" w:cs="Times New Roman"/>
          <w:color w:val="auto"/>
          <w:kern w:val="0"/>
          <w:szCs w:val="21"/>
          <w:highlight w:val="none"/>
        </w:rPr>
        <w:t>，须事先经招标人的书面</w:t>
      </w:r>
      <w:r>
        <w:rPr>
          <w:rFonts w:hint="eastAsia" w:ascii="宋体" w:hAnsi="宋体" w:eastAsia="宋体" w:cs="Times New Roman"/>
          <w:color w:val="auto"/>
          <w:kern w:val="0"/>
          <w:szCs w:val="21"/>
          <w:highlight w:val="none"/>
        </w:rPr>
        <w:t>同意</w:t>
      </w:r>
      <w:r>
        <w:rPr>
          <w:rFonts w:ascii="宋体" w:hAnsi="宋体" w:eastAsia="宋体" w:cs="Times New Roman"/>
          <w:color w:val="auto"/>
          <w:kern w:val="0"/>
          <w:szCs w:val="21"/>
          <w:highlight w:val="none"/>
        </w:rPr>
        <w:t>。</w:t>
      </w:r>
    </w:p>
    <w:p w14:paraId="3A158460">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3</w:t>
      </w:r>
      <w:r>
        <w:rPr>
          <w:rFonts w:hint="eastAsia" w:ascii="宋体" w:hAnsi="宋体" w:eastAsia="宋体" w:cs="Times New Roman"/>
          <w:color w:val="auto"/>
          <w:kern w:val="0"/>
          <w:szCs w:val="21"/>
          <w:highlight w:val="none"/>
        </w:rPr>
        <w:t>）提供担保的担保机构经济性质须为</w:t>
      </w:r>
      <w:r>
        <w:rPr>
          <w:rFonts w:hint="eastAsia" w:ascii="宋体" w:hAnsi="宋体" w:eastAsia="宋体" w:cs="Times New Roman"/>
          <w:color w:val="auto"/>
          <w:kern w:val="0"/>
          <w:szCs w:val="21"/>
          <w:highlight w:val="none"/>
          <w:lang w:val="en-US" w:eastAsia="zh-CN"/>
        </w:rPr>
        <w:t>东莞</w:t>
      </w:r>
      <w:r>
        <w:rPr>
          <w:rFonts w:hint="eastAsia" w:ascii="宋体" w:hAnsi="宋体" w:eastAsia="宋体" w:cs="Times New Roman"/>
          <w:color w:val="auto"/>
          <w:kern w:val="0"/>
          <w:szCs w:val="21"/>
          <w:highlight w:val="none"/>
        </w:rPr>
        <w:t>市国有企业，或政府性融资担保机构（中标人须提供能证明其属于政府性融资担保机构的证明文件），并经招标人同意，执行本款时所发生的费用由中标人承担。如招标人合同条款接受担保公司预付款担保函的，对担保机构要求参照本条执行</w:t>
      </w:r>
      <w:r>
        <w:rPr>
          <w:rFonts w:ascii="宋体" w:hAnsi="宋体" w:eastAsia="宋体" w:cs="Times New Roman"/>
          <w:color w:val="auto"/>
          <w:kern w:val="0"/>
          <w:szCs w:val="21"/>
          <w:highlight w:val="none"/>
        </w:rPr>
        <w:t>。</w:t>
      </w:r>
    </w:p>
    <w:p w14:paraId="390D85A4">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w:t>
      </w:r>
      <w:r>
        <w:rPr>
          <w:rFonts w:ascii="宋体" w:hAnsi="宋体" w:eastAsia="宋体" w:cs="Times New Roman"/>
          <w:color w:val="auto"/>
          <w:kern w:val="0"/>
          <w:szCs w:val="21"/>
          <w:highlight w:val="none"/>
        </w:rPr>
        <w:t>如果</w:t>
      </w:r>
      <w:r>
        <w:rPr>
          <w:rFonts w:hint="eastAsia" w:ascii="宋体" w:hAnsi="宋体" w:eastAsia="宋体" w:cs="Times New Roman"/>
          <w:color w:val="auto"/>
          <w:kern w:val="0"/>
          <w:szCs w:val="21"/>
          <w:highlight w:val="none"/>
        </w:rPr>
        <w:t>中标</w:t>
      </w:r>
      <w:r>
        <w:rPr>
          <w:rFonts w:ascii="宋体" w:hAnsi="宋体" w:eastAsia="宋体" w:cs="Times New Roman"/>
          <w:color w:val="auto"/>
          <w:kern w:val="0"/>
          <w:szCs w:val="21"/>
          <w:highlight w:val="none"/>
        </w:rPr>
        <w:t>人提交的履约担保的有效期届满时间先于招标文件、合同文件要求的，</w:t>
      </w:r>
      <w:r>
        <w:rPr>
          <w:rFonts w:hint="eastAsia" w:ascii="宋体" w:hAnsi="宋体" w:eastAsia="宋体" w:cs="Times New Roman"/>
          <w:color w:val="auto"/>
          <w:kern w:val="0"/>
          <w:szCs w:val="21"/>
          <w:highlight w:val="none"/>
        </w:rPr>
        <w:t>中标</w:t>
      </w:r>
      <w:r>
        <w:rPr>
          <w:rFonts w:ascii="宋体" w:hAnsi="宋体" w:eastAsia="宋体" w:cs="Times New Roman"/>
          <w:color w:val="auto"/>
          <w:kern w:val="0"/>
          <w:szCs w:val="21"/>
          <w:highlight w:val="none"/>
        </w:rPr>
        <w:t>人应在原提交的履约担保有效期届满前15</w:t>
      </w:r>
      <w:r>
        <w:rPr>
          <w:rFonts w:hint="eastAsia" w:ascii="宋体" w:hAnsi="宋体" w:eastAsia="宋体" w:cs="Times New Roman"/>
          <w:color w:val="auto"/>
          <w:kern w:val="0"/>
          <w:szCs w:val="21"/>
          <w:highlight w:val="none"/>
        </w:rPr>
        <w:t>日</w:t>
      </w:r>
      <w:r>
        <w:rPr>
          <w:rFonts w:ascii="宋体" w:hAnsi="宋体" w:eastAsia="宋体" w:cs="Times New Roman"/>
          <w:color w:val="auto"/>
          <w:kern w:val="0"/>
          <w:szCs w:val="21"/>
          <w:highlight w:val="none"/>
        </w:rPr>
        <w:t>内，无条件办理</w:t>
      </w:r>
      <w:r>
        <w:rPr>
          <w:rFonts w:hint="eastAsia" w:ascii="宋体" w:hAnsi="宋体" w:eastAsia="宋体" w:cs="Times New Roman"/>
          <w:color w:val="auto"/>
          <w:kern w:val="0"/>
          <w:szCs w:val="21"/>
          <w:highlight w:val="none"/>
        </w:rPr>
        <w:t>符合招标人要求的</w:t>
      </w:r>
      <w:r>
        <w:rPr>
          <w:rFonts w:ascii="宋体" w:hAnsi="宋体" w:eastAsia="宋体" w:cs="Times New Roman"/>
          <w:color w:val="auto"/>
          <w:kern w:val="0"/>
          <w:szCs w:val="21"/>
          <w:highlight w:val="none"/>
        </w:rPr>
        <w:t>履约担保延期手续，否则视为</w:t>
      </w:r>
      <w:r>
        <w:rPr>
          <w:rFonts w:hint="eastAsia" w:ascii="宋体" w:hAnsi="宋体" w:eastAsia="宋体" w:cs="Times New Roman"/>
          <w:color w:val="auto"/>
          <w:kern w:val="0"/>
          <w:szCs w:val="21"/>
          <w:highlight w:val="none"/>
        </w:rPr>
        <w:t>中标</w:t>
      </w:r>
      <w:r>
        <w:rPr>
          <w:rFonts w:ascii="宋体" w:hAnsi="宋体" w:eastAsia="宋体" w:cs="Times New Roman"/>
          <w:color w:val="auto"/>
          <w:kern w:val="0"/>
          <w:szCs w:val="21"/>
          <w:highlight w:val="none"/>
        </w:rPr>
        <w:t>人违约，</w:t>
      </w:r>
      <w:r>
        <w:rPr>
          <w:rFonts w:hint="eastAsia" w:ascii="宋体" w:hAnsi="宋体" w:eastAsia="宋体" w:cs="Times New Roman"/>
          <w:color w:val="auto"/>
          <w:kern w:val="0"/>
          <w:szCs w:val="21"/>
          <w:highlight w:val="none"/>
        </w:rPr>
        <w:t>招标</w:t>
      </w:r>
      <w:r>
        <w:rPr>
          <w:rFonts w:ascii="宋体" w:hAnsi="宋体" w:eastAsia="宋体" w:cs="Times New Roman"/>
          <w:color w:val="auto"/>
          <w:kern w:val="0"/>
          <w:szCs w:val="21"/>
          <w:highlight w:val="none"/>
        </w:rPr>
        <w:t>人有权</w:t>
      </w:r>
      <w:r>
        <w:rPr>
          <w:rFonts w:hint="eastAsia" w:ascii="宋体" w:hAnsi="宋体" w:eastAsia="宋体" w:cs="Times New Roman"/>
          <w:color w:val="auto"/>
          <w:kern w:val="0"/>
          <w:szCs w:val="21"/>
          <w:highlight w:val="none"/>
        </w:rPr>
        <w:t>在不可撤销银行履约保函或履约保证保险或担保公司履约担保书到期前</w:t>
      </w:r>
      <w:r>
        <w:rPr>
          <w:rFonts w:ascii="宋体" w:hAnsi="宋体" w:eastAsia="宋体" w:cs="Times New Roman"/>
          <w:color w:val="auto"/>
          <w:kern w:val="0"/>
          <w:szCs w:val="21"/>
          <w:highlight w:val="none"/>
        </w:rPr>
        <w:t>向出具履约</w:t>
      </w:r>
      <w:r>
        <w:rPr>
          <w:rFonts w:hint="eastAsia" w:ascii="宋体" w:hAnsi="宋体" w:eastAsia="宋体" w:cs="Times New Roman"/>
          <w:color w:val="auto"/>
          <w:kern w:val="0"/>
          <w:szCs w:val="21"/>
          <w:highlight w:val="none"/>
        </w:rPr>
        <w:t>担保的机构</w:t>
      </w:r>
      <w:r>
        <w:rPr>
          <w:rFonts w:ascii="宋体" w:hAnsi="宋体" w:eastAsia="宋体" w:cs="Times New Roman"/>
          <w:color w:val="auto"/>
          <w:kern w:val="0"/>
          <w:szCs w:val="21"/>
          <w:highlight w:val="none"/>
        </w:rPr>
        <w:t>提取履约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金。</w:t>
      </w:r>
      <w:r>
        <w:rPr>
          <w:rFonts w:hint="eastAsia" w:ascii="宋体" w:hAnsi="宋体" w:eastAsia="宋体" w:cs="Times New Roman"/>
          <w:color w:val="auto"/>
          <w:kern w:val="0"/>
          <w:szCs w:val="21"/>
          <w:highlight w:val="none"/>
        </w:rPr>
        <w:t>在不可撤销银行履约保函</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或履约保证保险</w:t>
      </w:r>
      <w:r>
        <w:rPr>
          <w:rFonts w:hint="eastAsia" w:ascii="宋体" w:hAnsi="宋体" w:eastAsia="宋体" w:cs="Times New Roman"/>
          <w:color w:val="auto"/>
          <w:kern w:val="0"/>
          <w:szCs w:val="21"/>
          <w:highlight w:val="none"/>
          <w:lang w:val="en-US" w:eastAsia="zh-CN"/>
        </w:rPr>
        <w:t>或</w:t>
      </w:r>
      <w:r>
        <w:rPr>
          <w:rFonts w:hint="eastAsia" w:ascii="宋体" w:hAnsi="宋体" w:eastAsia="宋体" w:cs="Times New Roman"/>
          <w:color w:val="auto"/>
          <w:kern w:val="0"/>
          <w:szCs w:val="21"/>
          <w:highlight w:val="none"/>
        </w:rPr>
        <w:t>担保公司履约担保书</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到期后中标</w:t>
      </w:r>
      <w:r>
        <w:rPr>
          <w:rFonts w:ascii="宋体" w:hAnsi="宋体" w:eastAsia="宋体" w:cs="Times New Roman"/>
          <w:color w:val="auto"/>
          <w:kern w:val="0"/>
          <w:szCs w:val="21"/>
          <w:highlight w:val="none"/>
        </w:rPr>
        <w:t>人</w:t>
      </w:r>
      <w:r>
        <w:rPr>
          <w:rFonts w:hint="eastAsia" w:ascii="宋体" w:hAnsi="宋体" w:eastAsia="宋体" w:cs="Times New Roman"/>
          <w:color w:val="auto"/>
          <w:kern w:val="0"/>
          <w:szCs w:val="21"/>
          <w:highlight w:val="none"/>
        </w:rPr>
        <w:t>未按招标人要求重新提供的，招标人有权要求中标</w:t>
      </w:r>
      <w:r>
        <w:rPr>
          <w:rFonts w:ascii="宋体" w:hAnsi="宋体" w:eastAsia="宋体" w:cs="Times New Roman"/>
          <w:color w:val="auto"/>
          <w:kern w:val="0"/>
          <w:szCs w:val="21"/>
          <w:highlight w:val="none"/>
        </w:rPr>
        <w:t>人</w:t>
      </w:r>
      <w:r>
        <w:rPr>
          <w:rFonts w:hint="eastAsia" w:ascii="宋体" w:hAnsi="宋体" w:eastAsia="宋体" w:cs="Times New Roman"/>
          <w:color w:val="auto"/>
          <w:kern w:val="0"/>
          <w:szCs w:val="21"/>
          <w:highlight w:val="none"/>
        </w:rPr>
        <w:t>以履约担保金额为限承担违约金，违约金可直接从未付采购合同费用中扣除</w:t>
      </w:r>
      <w:r>
        <w:rPr>
          <w:rFonts w:ascii="宋体" w:hAnsi="宋体" w:eastAsia="宋体" w:cs="Times New Roman"/>
          <w:color w:val="auto"/>
          <w:kern w:val="0"/>
          <w:szCs w:val="21"/>
          <w:highlight w:val="none"/>
        </w:rPr>
        <w:t>。</w:t>
      </w:r>
    </w:p>
    <w:p w14:paraId="7E246476">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5</w:t>
      </w:r>
      <w:r>
        <w:rPr>
          <w:rFonts w:hint="eastAsia" w:ascii="宋体" w:hAnsi="宋体" w:eastAsia="宋体" w:cs="Times New Roman"/>
          <w:color w:val="auto"/>
          <w:kern w:val="0"/>
          <w:szCs w:val="21"/>
          <w:highlight w:val="none"/>
        </w:rPr>
        <w:t>）在合同履行过程中，不论何种原因导致履约担保金数额不符合招标文件要求的，中标人应当在</w:t>
      </w:r>
      <w:r>
        <w:rPr>
          <w:rFonts w:ascii="宋体" w:hAnsi="宋体" w:eastAsia="宋体" w:cs="Times New Roman"/>
          <w:color w:val="auto"/>
          <w:kern w:val="0"/>
          <w:szCs w:val="21"/>
          <w:highlight w:val="none"/>
        </w:rPr>
        <w:t>5日内予以补足。逾期不予补足的，</w:t>
      </w:r>
      <w:r>
        <w:rPr>
          <w:rFonts w:hint="eastAsia" w:ascii="宋体" w:hAnsi="宋体" w:eastAsia="宋体" w:cs="Times New Roman"/>
          <w:color w:val="auto"/>
          <w:kern w:val="0"/>
          <w:szCs w:val="21"/>
          <w:highlight w:val="none"/>
        </w:rPr>
        <w:t>招标人有权按需补足的金额要求中标人承担违约金，并要求限期补足。如中标人仍不补足的，招标人有权单方解除合同，违约金可直接从未付合同款或履约担保中扣除。</w:t>
      </w:r>
    </w:p>
    <w:p w14:paraId="3DB5491F">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r>
        <w:rPr>
          <w:rFonts w:hint="eastAsia" w:ascii="宋体" w:hAnsi="宋体" w:eastAsia="宋体" w:cs="Times New Roman"/>
          <w:color w:val="auto"/>
          <w:kern w:val="0"/>
          <w:szCs w:val="21"/>
          <w:highlight w:val="none"/>
        </w:rPr>
        <w:t>不可撤销银行履约保函（或履约保证保险或担保公司履约担保书）应自合同签订之日起至完成全部供货（含最终验收合格）且结算完毕之后二十八（28）日内</w:t>
      </w:r>
      <w:r>
        <w:rPr>
          <w:rFonts w:ascii="宋体" w:hAnsi="宋体" w:eastAsia="宋体" w:cs="Times New Roman"/>
          <w:color w:val="auto"/>
          <w:kern w:val="0"/>
          <w:szCs w:val="21"/>
          <w:highlight w:val="none"/>
        </w:rPr>
        <w:t>保持有效</w:t>
      </w:r>
      <w:r>
        <w:rPr>
          <w:rFonts w:hint="eastAsia" w:ascii="宋体" w:hAnsi="宋体" w:eastAsia="宋体" w:cs="宋体"/>
          <w:color w:val="auto"/>
          <w:kern w:val="0"/>
          <w:szCs w:val="21"/>
          <w:highlight w:val="none"/>
        </w:rPr>
        <w:t>。</w:t>
      </w:r>
    </w:p>
    <w:p w14:paraId="7449F214">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35.4  </w:t>
      </w:r>
      <w:r>
        <w:rPr>
          <w:rFonts w:hint="eastAsia" w:ascii="宋体" w:hAnsi="宋体" w:eastAsia="宋体" w:cs="宋体"/>
          <w:color w:val="auto"/>
          <w:kern w:val="0"/>
          <w:szCs w:val="21"/>
          <w:highlight w:val="none"/>
        </w:rPr>
        <w:t>履约保证金应用本合同货币。</w:t>
      </w:r>
    </w:p>
    <w:p w14:paraId="03586549">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35.5  中标人</w:t>
      </w:r>
      <w:r>
        <w:rPr>
          <w:rFonts w:ascii="宋体" w:hAnsi="宋体" w:eastAsia="宋体" w:cs="Times New Roman"/>
          <w:color w:val="auto"/>
          <w:kern w:val="0"/>
          <w:szCs w:val="21"/>
          <w:highlight w:val="none"/>
        </w:rPr>
        <w:t>也可以按招标文件约定的额度和时间，向招标人交纳同等数额的履约保证金作为履约担保。如中标人提交的履约保证金是其分支机构以转账形式转入的，要提交</w:t>
      </w:r>
      <w:r>
        <w:rPr>
          <w:rFonts w:hint="eastAsia" w:ascii="宋体" w:hAnsi="宋体" w:eastAsia="宋体" w:cs="Times New Roman"/>
          <w:color w:val="auto"/>
          <w:kern w:val="0"/>
          <w:szCs w:val="21"/>
          <w:highlight w:val="none"/>
        </w:rPr>
        <w:t>中标</w:t>
      </w:r>
      <w:r>
        <w:rPr>
          <w:rFonts w:ascii="宋体" w:hAnsi="宋体" w:eastAsia="宋体" w:cs="Times New Roman"/>
          <w:color w:val="auto"/>
          <w:kern w:val="0"/>
          <w:szCs w:val="21"/>
          <w:highlight w:val="none"/>
        </w:rPr>
        <w:t>人的法人书面授权，不接受由私人账户和其它单位转入的保证金</w:t>
      </w:r>
      <w:r>
        <w:rPr>
          <w:rFonts w:hint="eastAsia" w:ascii="宋体" w:hAnsi="宋体" w:eastAsia="宋体" w:cs="Times New Roman"/>
          <w:color w:val="auto"/>
          <w:kern w:val="0"/>
          <w:szCs w:val="21"/>
          <w:highlight w:val="none"/>
        </w:rPr>
        <w:t>，也不接受现金形式提交</w:t>
      </w:r>
      <w:r>
        <w:rPr>
          <w:rFonts w:ascii="宋体" w:hAnsi="宋体" w:eastAsia="宋体" w:cs="Times New Roman"/>
          <w:color w:val="auto"/>
          <w:kern w:val="0"/>
          <w:szCs w:val="21"/>
          <w:highlight w:val="none"/>
        </w:rPr>
        <w:t>。履约保证金应以存入招标人指定的</w:t>
      </w:r>
      <w:r>
        <w:rPr>
          <w:rFonts w:hint="eastAsia" w:ascii="宋体" w:hAnsi="宋体" w:eastAsia="宋体" w:cs="Times New Roman"/>
          <w:color w:val="auto"/>
          <w:kern w:val="0"/>
          <w:szCs w:val="21"/>
          <w:highlight w:val="none"/>
        </w:rPr>
        <w:t>以下</w:t>
      </w:r>
      <w:r>
        <w:rPr>
          <w:rFonts w:ascii="宋体" w:hAnsi="宋体" w:eastAsia="宋体" w:cs="Times New Roman"/>
          <w:color w:val="auto"/>
          <w:kern w:val="0"/>
          <w:szCs w:val="21"/>
          <w:highlight w:val="none"/>
        </w:rPr>
        <w:t>银行账户为准</w:t>
      </w:r>
      <w:r>
        <w:rPr>
          <w:rFonts w:hint="eastAsia" w:ascii="宋体" w:hAnsi="宋体" w:eastAsia="宋体" w:cs="宋体"/>
          <w:color w:val="auto"/>
          <w:kern w:val="0"/>
          <w:szCs w:val="21"/>
          <w:highlight w:val="none"/>
        </w:rPr>
        <w:t>。</w:t>
      </w:r>
    </w:p>
    <w:p w14:paraId="4ED8C639">
      <w:pPr>
        <w:tabs>
          <w:tab w:val="left" w:pos="360"/>
          <w:tab w:val="left" w:pos="4725"/>
        </w:tabs>
        <w:autoSpaceDE w:val="0"/>
        <w:autoSpaceDN w:val="0"/>
        <w:adjustRightInd w:val="0"/>
        <w:spacing w:line="360" w:lineRule="auto"/>
        <w:ind w:firstLine="632" w:firstLineChars="300"/>
        <w:jc w:val="left"/>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履约保证金账户：</w:t>
      </w:r>
    </w:p>
    <w:p w14:paraId="06F8FBE4">
      <w:pPr>
        <w:autoSpaceDE w:val="0"/>
        <w:autoSpaceDN w:val="0"/>
        <w:adjustRightInd w:val="0"/>
        <w:snapToGrid w:val="0"/>
        <w:spacing w:line="360" w:lineRule="auto"/>
        <w:ind w:firstLine="632" w:firstLineChars="3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开户名称：东莞市水务环境投资控股集团管网有限公司</w:t>
      </w:r>
    </w:p>
    <w:p w14:paraId="0DF4DE6E">
      <w:pPr>
        <w:autoSpaceDE w:val="0"/>
        <w:autoSpaceDN w:val="0"/>
        <w:adjustRightInd w:val="0"/>
        <w:snapToGrid w:val="0"/>
        <w:spacing w:line="360" w:lineRule="auto"/>
        <w:ind w:firstLine="632" w:firstLineChars="3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银行账号：8114801014000043052</w:t>
      </w:r>
    </w:p>
    <w:p w14:paraId="212305EB">
      <w:pPr>
        <w:autoSpaceDE w:val="0"/>
        <w:autoSpaceDN w:val="0"/>
        <w:adjustRightInd w:val="0"/>
        <w:snapToGrid w:val="0"/>
        <w:spacing w:line="360" w:lineRule="auto"/>
        <w:ind w:firstLine="632" w:firstLineChars="3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开户银行：中信银行东莞分行营业部</w:t>
      </w:r>
    </w:p>
    <w:p w14:paraId="16E205C4">
      <w:pPr>
        <w:autoSpaceDE w:val="0"/>
        <w:autoSpaceDN w:val="0"/>
        <w:adjustRightInd w:val="0"/>
        <w:spacing w:line="360" w:lineRule="auto"/>
        <w:ind w:left="420" w:leftChars="-100" w:hanging="630" w:hangingChars="3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35.6</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中标</w:t>
      </w:r>
      <w:r>
        <w:rPr>
          <w:rFonts w:hint="eastAsia" w:ascii="宋体" w:hAnsi="宋体" w:eastAsia="宋体" w:cs="Times New Roman"/>
          <w:color w:val="auto"/>
          <w:kern w:val="0"/>
          <w:szCs w:val="24"/>
          <w:highlight w:val="none"/>
        </w:rPr>
        <w:t>单位提交了履约担保后，当履约保证金转达招标人履约保证金账户后，</w:t>
      </w:r>
      <w:r>
        <w:rPr>
          <w:rFonts w:hint="eastAsia" w:ascii="宋体" w:hAnsi="宋体" w:eastAsia="宋体" w:cs="Times New Roman"/>
          <w:color w:val="auto"/>
          <w:szCs w:val="21"/>
          <w:highlight w:val="none"/>
          <w:lang w:val="zh-CN"/>
        </w:rPr>
        <w:t>中标</w:t>
      </w:r>
      <w:r>
        <w:rPr>
          <w:rFonts w:hint="eastAsia" w:ascii="宋体" w:hAnsi="宋体" w:eastAsia="宋体" w:cs="Times New Roman"/>
          <w:color w:val="auto"/>
          <w:kern w:val="0"/>
          <w:szCs w:val="24"/>
          <w:highlight w:val="none"/>
        </w:rPr>
        <w:t>人将履约保证金的汇款凭证用A4纸复印件（</w:t>
      </w:r>
      <w:r>
        <w:rPr>
          <w:rFonts w:hint="eastAsia" w:ascii="宋体" w:hAnsi="宋体" w:eastAsia="宋体" w:cs="Times New Roman"/>
          <w:bCs/>
          <w:color w:val="auto"/>
          <w:kern w:val="0"/>
          <w:szCs w:val="24"/>
          <w:highlight w:val="none"/>
        </w:rPr>
        <w:t>注明</w:t>
      </w:r>
      <w:r>
        <w:rPr>
          <w:rFonts w:hint="eastAsia" w:ascii="宋体" w:hAnsi="宋体" w:eastAsia="宋体" w:cs="Times New Roman"/>
          <w:bCs/>
          <w:color w:val="auto"/>
          <w:szCs w:val="21"/>
          <w:highlight w:val="none"/>
          <w:lang w:val="zh-CN"/>
        </w:rPr>
        <w:t>招标</w:t>
      </w:r>
      <w:r>
        <w:rPr>
          <w:rFonts w:hint="eastAsia" w:ascii="宋体" w:hAnsi="宋体" w:eastAsia="宋体" w:cs="Times New Roman"/>
          <w:bCs/>
          <w:color w:val="auto"/>
          <w:kern w:val="0"/>
          <w:szCs w:val="24"/>
          <w:highlight w:val="none"/>
        </w:rPr>
        <w:t>编号</w:t>
      </w:r>
      <w:r>
        <w:rPr>
          <w:rFonts w:hint="eastAsia" w:ascii="宋体" w:hAnsi="宋体" w:eastAsia="宋体" w:cs="Times New Roman"/>
          <w:color w:val="auto"/>
          <w:kern w:val="0"/>
          <w:szCs w:val="24"/>
          <w:highlight w:val="none"/>
        </w:rPr>
        <w:t>）一式二份并加盖</w:t>
      </w:r>
      <w:r>
        <w:rPr>
          <w:rFonts w:hint="eastAsia" w:ascii="宋体" w:hAnsi="宋体" w:eastAsia="宋体" w:cs="Times New Roman"/>
          <w:color w:val="auto"/>
          <w:szCs w:val="21"/>
          <w:highlight w:val="none"/>
          <w:lang w:val="zh-CN"/>
        </w:rPr>
        <w:t>中标</w:t>
      </w:r>
      <w:r>
        <w:rPr>
          <w:rFonts w:hint="eastAsia" w:ascii="宋体" w:hAnsi="宋体" w:eastAsia="宋体" w:cs="Times New Roman"/>
          <w:color w:val="auto"/>
          <w:kern w:val="0"/>
          <w:szCs w:val="24"/>
          <w:highlight w:val="none"/>
        </w:rPr>
        <w:t>人的公章送招标代理机构，[或当中标人采取不可撤销银行履约保函（</w:t>
      </w:r>
      <w:r>
        <w:rPr>
          <w:rFonts w:hint="eastAsia" w:ascii="宋体" w:hAnsi="宋体" w:eastAsia="宋体" w:cs="Times New Roman"/>
          <w:color w:val="auto"/>
          <w:kern w:val="0"/>
          <w:szCs w:val="21"/>
          <w:highlight w:val="none"/>
        </w:rPr>
        <w:t>或履约保证保险</w:t>
      </w:r>
      <w:r>
        <w:rPr>
          <w:rFonts w:hint="eastAsia" w:ascii="宋体" w:hAnsi="宋体" w:eastAsia="宋体" w:cs="Times New Roman"/>
          <w:color w:val="auto"/>
          <w:kern w:val="0"/>
          <w:szCs w:val="24"/>
          <w:highlight w:val="none"/>
        </w:rPr>
        <w:t>或担保公司履约担保书）的方式缴纳履约担保时，中标人将不可撤销银行履约保函（</w:t>
      </w:r>
      <w:r>
        <w:rPr>
          <w:rFonts w:hint="eastAsia" w:ascii="宋体" w:hAnsi="宋体" w:eastAsia="宋体" w:cs="Times New Roman"/>
          <w:color w:val="auto"/>
          <w:kern w:val="0"/>
          <w:szCs w:val="21"/>
          <w:highlight w:val="none"/>
        </w:rPr>
        <w:t>或履约保证保险</w:t>
      </w:r>
      <w:r>
        <w:rPr>
          <w:rFonts w:hint="eastAsia" w:ascii="宋体" w:hAnsi="宋体" w:eastAsia="宋体" w:cs="Times New Roman"/>
          <w:color w:val="auto"/>
          <w:kern w:val="0"/>
          <w:szCs w:val="24"/>
          <w:highlight w:val="none"/>
        </w:rPr>
        <w:t>或担保公司履约担保书）原件</w:t>
      </w:r>
      <w:r>
        <w:rPr>
          <w:rFonts w:hint="eastAsia" w:ascii="宋体" w:hAnsi="宋体" w:eastAsia="宋体" w:cs="Times New Roman"/>
          <w:color w:val="auto"/>
          <w:szCs w:val="21"/>
          <w:highlight w:val="none"/>
          <w:lang w:val="zh-CN"/>
        </w:rPr>
        <w:t>交给招标人，由招标人在</w:t>
      </w:r>
      <w:r>
        <w:rPr>
          <w:rFonts w:hint="eastAsia" w:ascii="宋体" w:hAnsi="宋体" w:eastAsia="宋体" w:cs="Times New Roman"/>
          <w:color w:val="auto"/>
          <w:kern w:val="0"/>
          <w:szCs w:val="24"/>
          <w:highlight w:val="none"/>
        </w:rPr>
        <w:t>履约保函一式两份复印件上</w:t>
      </w:r>
      <w:r>
        <w:rPr>
          <w:rFonts w:hint="eastAsia" w:ascii="宋体" w:hAnsi="宋体" w:eastAsia="宋体" w:cs="Times New Roman"/>
          <w:color w:val="auto"/>
          <w:szCs w:val="21"/>
          <w:highlight w:val="none"/>
          <w:lang w:val="zh-CN"/>
        </w:rPr>
        <w:t>注明“原件已收”及签收人、日期后，中标人在每份复印件上</w:t>
      </w:r>
      <w:r>
        <w:rPr>
          <w:rFonts w:hint="eastAsia" w:ascii="宋体" w:hAnsi="宋体" w:eastAsia="宋体" w:cs="Times New Roman"/>
          <w:color w:val="auto"/>
          <w:kern w:val="0"/>
          <w:szCs w:val="24"/>
          <w:highlight w:val="none"/>
        </w:rPr>
        <w:t>加盖</w:t>
      </w:r>
      <w:r>
        <w:rPr>
          <w:rFonts w:hint="eastAsia" w:ascii="宋体" w:hAnsi="宋体" w:eastAsia="宋体" w:cs="Times New Roman"/>
          <w:color w:val="auto"/>
          <w:szCs w:val="21"/>
          <w:highlight w:val="none"/>
          <w:lang w:val="zh-CN"/>
        </w:rPr>
        <w:t>中标</w:t>
      </w:r>
      <w:r>
        <w:rPr>
          <w:rFonts w:hint="eastAsia" w:ascii="宋体" w:hAnsi="宋体" w:eastAsia="宋体" w:cs="Times New Roman"/>
          <w:color w:val="auto"/>
          <w:kern w:val="0"/>
          <w:szCs w:val="24"/>
          <w:highlight w:val="none"/>
        </w:rPr>
        <w:t>人的公章，送招标代理机构]</w:t>
      </w:r>
      <w:r>
        <w:rPr>
          <w:rFonts w:hint="eastAsia" w:ascii="宋体" w:hAnsi="宋体" w:eastAsia="宋体" w:cs="宋体"/>
          <w:color w:val="auto"/>
          <w:kern w:val="0"/>
          <w:szCs w:val="21"/>
          <w:highlight w:val="none"/>
        </w:rPr>
        <w:t>。</w:t>
      </w:r>
    </w:p>
    <w:p w14:paraId="3573877C">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35.7</w:t>
      </w:r>
      <w:r>
        <w:rPr>
          <w:rFonts w:ascii="宋体" w:hAnsi="宋体" w:eastAsia="宋体" w:cs="Times New Roman"/>
          <w:color w:val="auto"/>
          <w:kern w:val="0"/>
          <w:szCs w:val="24"/>
          <w:highlight w:val="none"/>
        </w:rPr>
        <w:t xml:space="preserve">  </w:t>
      </w:r>
      <w:r>
        <w:rPr>
          <w:rFonts w:hint="eastAsia" w:ascii="宋体" w:hAnsi="宋体" w:eastAsia="宋体" w:cs="宋体"/>
          <w:color w:val="auto"/>
          <w:kern w:val="0"/>
          <w:szCs w:val="21"/>
          <w:highlight w:val="none"/>
        </w:rPr>
        <w:t>中标人以履约保证金（银行转账形式）提供履约担保的在依法完成本项目的所有合同义务，且结算完毕之</w:t>
      </w:r>
      <w:r>
        <w:rPr>
          <w:rFonts w:ascii="宋体" w:hAnsi="宋体" w:eastAsia="宋体" w:cs="宋体"/>
          <w:color w:val="auto"/>
          <w:kern w:val="0"/>
          <w:szCs w:val="21"/>
          <w:highlight w:val="none"/>
        </w:rPr>
        <w:t>后</w:t>
      </w:r>
      <w:r>
        <w:rPr>
          <w:rFonts w:hint="eastAsia" w:ascii="宋体" w:hAnsi="宋体" w:eastAsia="宋体" w:cs="宋体"/>
          <w:color w:val="auto"/>
          <w:kern w:val="0"/>
          <w:szCs w:val="21"/>
          <w:highlight w:val="none"/>
        </w:rPr>
        <w:t>，经招标人确认，中标人可向招标人提交退回履约担保的申请。招标人审核无异议后，办理履约担保退还手续，退回时一律以银行转账的形式无息退回到中标人的</w:t>
      </w:r>
      <w:r>
        <w:rPr>
          <w:rFonts w:hint="eastAsia" w:ascii="宋体" w:hAnsi="宋体" w:eastAsia="宋体" w:cs="宋体"/>
          <w:color w:val="auto"/>
          <w:kern w:val="0"/>
          <w:szCs w:val="21"/>
          <w:highlight w:val="none"/>
          <w:lang w:val="en-US" w:eastAsia="zh-CN"/>
        </w:rPr>
        <w:t>账户</w:t>
      </w:r>
      <w:r>
        <w:rPr>
          <w:rFonts w:hint="eastAsia" w:ascii="宋体" w:hAnsi="宋体" w:eastAsia="宋体" w:cs="宋体"/>
          <w:color w:val="auto"/>
          <w:kern w:val="0"/>
          <w:szCs w:val="21"/>
          <w:highlight w:val="none"/>
        </w:rPr>
        <w:t>。</w:t>
      </w:r>
    </w:p>
    <w:p w14:paraId="7AC5BFA0">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rPr>
      </w:pPr>
    </w:p>
    <w:p w14:paraId="6C9726A5">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26" w:name="_Toc142508353"/>
      <w:bookmarkStart w:id="327" w:name="_Toc13033"/>
      <w:bookmarkStart w:id="328" w:name="_Toc486167702"/>
      <w:bookmarkStart w:id="329" w:name="_Toc21389"/>
      <w:bookmarkStart w:id="330" w:name="_Toc4271"/>
      <w:r>
        <w:rPr>
          <w:rFonts w:hint="eastAsia" w:ascii="宋体" w:hAnsi="宋体" w:eastAsia="宋体" w:cs="宋体"/>
          <w:color w:val="auto"/>
          <w:szCs w:val="21"/>
          <w:highlight w:val="none"/>
        </w:rPr>
        <w:t>36</w:t>
      </w:r>
      <w:r>
        <w:rPr>
          <w:rFonts w:hint="eastAsia" w:ascii="宋体" w:hAnsi="宋体" w:eastAsia="宋体" w:cs="宋体"/>
          <w:color w:val="auto"/>
          <w:szCs w:val="21"/>
          <w:highlight w:val="none"/>
          <w:lang w:val="zh-CN"/>
        </w:rPr>
        <w:t xml:space="preserve"> 在合同履行中变更采购范围的权利</w:t>
      </w:r>
      <w:bookmarkEnd w:id="324"/>
      <w:bookmarkEnd w:id="325"/>
      <w:bookmarkEnd w:id="326"/>
      <w:bookmarkEnd w:id="327"/>
      <w:bookmarkEnd w:id="328"/>
      <w:bookmarkEnd w:id="329"/>
      <w:bookmarkEnd w:id="330"/>
    </w:p>
    <w:p w14:paraId="0EDACC6B">
      <w:pPr>
        <w:autoSpaceDE w:val="0"/>
        <w:autoSpaceDN w:val="0"/>
        <w:adjustRightInd w:val="0"/>
        <w:spacing w:line="360" w:lineRule="auto"/>
        <w:ind w:left="328" w:leftChars="-114" w:hanging="567" w:hangingChars="27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合同履行中</w:t>
      </w:r>
      <w:r>
        <w:rPr>
          <w:rFonts w:ascii="宋体" w:hAnsi="宋体" w:eastAsia="宋体" w:cs="宋体"/>
          <w:color w:val="auto"/>
          <w:kern w:val="0"/>
          <w:szCs w:val="21"/>
          <w:highlight w:val="none"/>
        </w:rPr>
        <w:t>，</w:t>
      </w:r>
      <w:r>
        <w:rPr>
          <w:rFonts w:hint="eastAsia" w:ascii="宋体" w:hAnsi="宋体" w:eastAsia="宋体" w:cs="宋体"/>
          <w:color w:val="auto"/>
          <w:kern w:val="0"/>
          <w:szCs w:val="21"/>
          <w:highlight w:val="none"/>
        </w:rPr>
        <w:t>招标</w:t>
      </w:r>
      <w:r>
        <w:rPr>
          <w:rFonts w:ascii="宋体" w:hAnsi="宋体" w:eastAsia="宋体" w:cs="宋体"/>
          <w:color w:val="auto"/>
          <w:kern w:val="0"/>
          <w:szCs w:val="21"/>
          <w:highlight w:val="none"/>
        </w:rPr>
        <w:t>人</w:t>
      </w:r>
      <w:r>
        <w:rPr>
          <w:rFonts w:hint="eastAsia" w:ascii="宋体" w:hAnsi="宋体" w:eastAsia="宋体" w:cs="宋体"/>
          <w:color w:val="auto"/>
          <w:kern w:val="0"/>
          <w:szCs w:val="21"/>
          <w:highlight w:val="none"/>
        </w:rPr>
        <w:t>在合同约定的范围内，招标人有权根据项目实际情况及有关法律法规、政策的规定对采购范围进行变更调整，变更采购范围后，投标人应遵照执行。</w:t>
      </w:r>
    </w:p>
    <w:p w14:paraId="1F965CB7">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bookmarkStart w:id="331" w:name="_Toc450662888"/>
    </w:p>
    <w:p w14:paraId="447A93D9">
      <w:pPr>
        <w:tabs>
          <w:tab w:val="left" w:pos="46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32" w:name="_Toc142508354"/>
      <w:bookmarkStart w:id="333" w:name="_Toc486167703"/>
      <w:bookmarkStart w:id="334" w:name="_Toc23107"/>
      <w:bookmarkStart w:id="335" w:name="_Toc28921_WPSOffice_Level3"/>
      <w:bookmarkStart w:id="336" w:name="_Toc14372"/>
      <w:bookmarkStart w:id="337" w:name="_Toc11444"/>
      <w:r>
        <w:rPr>
          <w:rFonts w:hint="eastAsia" w:ascii="宋体" w:hAnsi="宋体" w:eastAsia="宋体" w:cs="宋体"/>
          <w:color w:val="auto"/>
          <w:szCs w:val="21"/>
          <w:highlight w:val="none"/>
        </w:rPr>
        <w:t>37</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中标服务费</w:t>
      </w:r>
      <w:bookmarkEnd w:id="331"/>
      <w:bookmarkEnd w:id="332"/>
      <w:bookmarkEnd w:id="333"/>
      <w:bookmarkEnd w:id="334"/>
      <w:bookmarkEnd w:id="335"/>
      <w:bookmarkEnd w:id="336"/>
      <w:bookmarkEnd w:id="337"/>
    </w:p>
    <w:p w14:paraId="2C60430C">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 中标人应按3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.2款规定在领取《中标通知书》原件之前向招标代理机构一次性交纳中标服务费。中标服务费以中标金额计算，依次按以下</w:t>
      </w:r>
      <w:r>
        <w:rPr>
          <w:rFonts w:hint="eastAsia" w:ascii="宋体" w:hAnsi="宋体" w:eastAsia="宋体" w:cs="宋体"/>
          <w:color w:val="auto"/>
          <w:kern w:val="0"/>
          <w:szCs w:val="21"/>
          <w:highlight w:val="none"/>
          <w:lang w:val="en-US" w:eastAsia="zh-CN" w:bidi="ar"/>
        </w:rPr>
        <w:t>货物招标</w:t>
      </w:r>
      <w:r>
        <w:rPr>
          <w:rFonts w:hint="eastAsia" w:ascii="宋体" w:hAnsi="宋体" w:eastAsia="宋体" w:cs="宋体"/>
          <w:color w:val="auto"/>
          <w:kern w:val="0"/>
          <w:szCs w:val="21"/>
          <w:highlight w:val="none"/>
        </w:rPr>
        <w:t>第（1）（2）款计算得出服务费基价，服务费基价实行全额分档折扣计算，按第（3）款计算折扣得出代理服务费，具体如下。</w:t>
      </w:r>
    </w:p>
    <w:p w14:paraId="4FC9BA18">
      <w:pPr>
        <w:tabs>
          <w:tab w:val="left" w:pos="567"/>
        </w:tabs>
        <w:autoSpaceDE w:val="0"/>
        <w:autoSpaceDN w:val="0"/>
        <w:adjustRightInd w:val="0"/>
        <w:spacing w:line="360" w:lineRule="auto"/>
        <w:ind w:left="358" w:leftChars="0" w:hanging="358" w:hangingChars="170"/>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（1）</w:t>
      </w:r>
      <w:r>
        <w:rPr>
          <w:rFonts w:hint="eastAsia" w:ascii="宋体" w:hAnsi="宋体" w:eastAsia="宋体" w:cs="宋体"/>
          <w:b/>
          <w:color w:val="auto"/>
          <w:szCs w:val="21"/>
          <w:highlight w:val="none"/>
          <w:lang w:val="zh-CN"/>
        </w:rPr>
        <w:t>参照</w:t>
      </w:r>
      <w:r>
        <w:rPr>
          <w:rFonts w:hint="eastAsia" w:ascii="宋体" w:hAnsi="宋体" w:eastAsia="宋体" w:cs="宋体"/>
          <w:b/>
          <w:color w:val="auto"/>
          <w:szCs w:val="21"/>
          <w:highlight w:val="none"/>
          <w:lang w:val="en-US" w:eastAsia="zh-CN"/>
        </w:rPr>
        <w:t>以下标准按差额定率累进法计算：</w:t>
      </w:r>
    </w:p>
    <w:tbl>
      <w:tblPr>
        <w:tblStyle w:val="36"/>
        <w:tblW w:w="4999" w:type="pct"/>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498"/>
        <w:gridCol w:w="2498"/>
        <w:gridCol w:w="2498"/>
        <w:gridCol w:w="2506"/>
      </w:tblGrid>
      <w:tr w14:paraId="25D7B01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vMerge w:val="restart"/>
            <w:shd w:val="clear" w:color="auto" w:fill="FFEEBB"/>
            <w:tcMar>
              <w:top w:w="0" w:type="dxa"/>
              <w:left w:w="0" w:type="dxa"/>
              <w:bottom w:w="0" w:type="dxa"/>
              <w:right w:w="0" w:type="dxa"/>
            </w:tcMar>
            <w:vAlign w:val="center"/>
          </w:tcPr>
          <w:p w14:paraId="49384E65">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中标金额（万元）</w:t>
            </w:r>
          </w:p>
        </w:tc>
        <w:tc>
          <w:tcPr>
            <w:tcW w:w="3750" w:type="pct"/>
            <w:gridSpan w:val="3"/>
            <w:shd w:val="clear" w:color="auto" w:fill="FFEEBB"/>
            <w:tcMar>
              <w:top w:w="0" w:type="dxa"/>
              <w:left w:w="0" w:type="dxa"/>
              <w:bottom w:w="0" w:type="dxa"/>
              <w:right w:w="0" w:type="dxa"/>
            </w:tcMar>
            <w:vAlign w:val="center"/>
          </w:tcPr>
          <w:p w14:paraId="58AC0AF4">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服务类型</w:t>
            </w:r>
          </w:p>
        </w:tc>
      </w:tr>
      <w:tr w14:paraId="5E082CA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vMerge w:val="continue"/>
            <w:shd w:val="clear" w:color="auto" w:fill="FFEEBB"/>
            <w:tcMar>
              <w:top w:w="0" w:type="dxa"/>
              <w:left w:w="0" w:type="dxa"/>
              <w:bottom w:w="0" w:type="dxa"/>
              <w:right w:w="0" w:type="dxa"/>
            </w:tcMar>
            <w:vAlign w:val="center"/>
          </w:tcPr>
          <w:p w14:paraId="5036A0E1">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rPr>
            </w:pPr>
          </w:p>
        </w:tc>
        <w:tc>
          <w:tcPr>
            <w:tcW w:w="3750" w:type="pct"/>
            <w:gridSpan w:val="3"/>
            <w:shd w:val="clear" w:color="auto" w:fill="FFEEBB"/>
            <w:tcMar>
              <w:top w:w="0" w:type="dxa"/>
              <w:left w:w="0" w:type="dxa"/>
              <w:bottom w:w="0" w:type="dxa"/>
              <w:right w:w="0" w:type="dxa"/>
            </w:tcMar>
            <w:vAlign w:val="center"/>
          </w:tcPr>
          <w:p w14:paraId="680715E7">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费率</w:t>
            </w:r>
          </w:p>
        </w:tc>
      </w:tr>
      <w:tr w14:paraId="1D1740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vMerge w:val="continue"/>
            <w:shd w:val="clear" w:color="auto" w:fill="FFEEBB"/>
            <w:tcMar>
              <w:top w:w="0" w:type="dxa"/>
              <w:left w:w="0" w:type="dxa"/>
              <w:bottom w:w="0" w:type="dxa"/>
              <w:right w:w="0" w:type="dxa"/>
            </w:tcMar>
            <w:vAlign w:val="center"/>
          </w:tcPr>
          <w:p w14:paraId="5323EA04">
            <w:pPr>
              <w:keepNext w:val="0"/>
              <w:keepLines w:val="0"/>
              <w:suppressLineNumbers w:val="0"/>
              <w:spacing w:before="0" w:beforeAutospacing="0" w:after="0" w:afterAutospacing="0"/>
              <w:ind w:left="0" w:right="0"/>
              <w:jc w:val="center"/>
              <w:rPr>
                <w:rFonts w:hint="eastAsia" w:ascii="宋体" w:hAnsi="宋体" w:eastAsia="宋体" w:cs="宋体"/>
                <w:i w:val="0"/>
                <w:iCs w:val="0"/>
                <w:caps w:val="0"/>
                <w:color w:val="auto"/>
                <w:spacing w:val="0"/>
                <w:sz w:val="21"/>
                <w:szCs w:val="21"/>
                <w:highlight w:val="none"/>
              </w:rPr>
            </w:pPr>
          </w:p>
        </w:tc>
        <w:tc>
          <w:tcPr>
            <w:tcW w:w="1249" w:type="pct"/>
            <w:shd w:val="clear" w:color="auto" w:fill="FFEEBB"/>
            <w:tcMar>
              <w:top w:w="0" w:type="dxa"/>
              <w:left w:w="0" w:type="dxa"/>
              <w:bottom w:w="0" w:type="dxa"/>
              <w:right w:w="0" w:type="dxa"/>
            </w:tcMar>
            <w:vAlign w:val="center"/>
          </w:tcPr>
          <w:p w14:paraId="639E141E">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货物招标</w:t>
            </w:r>
          </w:p>
        </w:tc>
        <w:tc>
          <w:tcPr>
            <w:tcW w:w="1249" w:type="pct"/>
            <w:shd w:val="clear" w:color="auto" w:fill="FFEEBB"/>
            <w:tcMar>
              <w:top w:w="0" w:type="dxa"/>
              <w:left w:w="0" w:type="dxa"/>
              <w:bottom w:w="0" w:type="dxa"/>
              <w:right w:w="0" w:type="dxa"/>
            </w:tcMar>
            <w:vAlign w:val="center"/>
          </w:tcPr>
          <w:p w14:paraId="769DE5A8">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服务招标</w:t>
            </w:r>
          </w:p>
        </w:tc>
        <w:tc>
          <w:tcPr>
            <w:tcW w:w="1251" w:type="pct"/>
            <w:shd w:val="clear" w:color="auto" w:fill="FFEEBB"/>
            <w:tcMar>
              <w:top w:w="0" w:type="dxa"/>
              <w:left w:w="0" w:type="dxa"/>
              <w:bottom w:w="0" w:type="dxa"/>
              <w:right w:w="0" w:type="dxa"/>
            </w:tcMar>
            <w:vAlign w:val="center"/>
          </w:tcPr>
          <w:p w14:paraId="7D45CE8D">
            <w:pPr>
              <w:keepNext w:val="0"/>
              <w:keepLines w:val="0"/>
              <w:widowControl/>
              <w:suppressLineNumbers w:val="0"/>
              <w:shd w:val="clear" w:fill="FFEEBB"/>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工程招标</w:t>
            </w:r>
          </w:p>
        </w:tc>
      </w:tr>
      <w:tr w14:paraId="5701FFC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0DFDFA2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100以下</w:t>
            </w:r>
          </w:p>
        </w:tc>
        <w:tc>
          <w:tcPr>
            <w:tcW w:w="1249" w:type="pct"/>
            <w:shd w:val="clear" w:color="auto" w:fill="auto"/>
            <w:tcMar>
              <w:top w:w="0" w:type="dxa"/>
              <w:left w:w="0" w:type="dxa"/>
              <w:bottom w:w="0" w:type="dxa"/>
              <w:right w:w="0" w:type="dxa"/>
            </w:tcMar>
            <w:vAlign w:val="center"/>
          </w:tcPr>
          <w:p w14:paraId="2926474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1.5%</w:t>
            </w:r>
          </w:p>
        </w:tc>
        <w:tc>
          <w:tcPr>
            <w:tcW w:w="1249" w:type="pct"/>
            <w:shd w:val="clear" w:color="auto" w:fill="auto"/>
            <w:tcMar>
              <w:top w:w="0" w:type="dxa"/>
              <w:left w:w="0" w:type="dxa"/>
              <w:bottom w:w="0" w:type="dxa"/>
              <w:right w:w="0" w:type="dxa"/>
            </w:tcMar>
            <w:vAlign w:val="center"/>
          </w:tcPr>
          <w:p w14:paraId="7CB76777">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1.5%</w:t>
            </w:r>
          </w:p>
        </w:tc>
        <w:tc>
          <w:tcPr>
            <w:tcW w:w="1251" w:type="pct"/>
            <w:shd w:val="clear" w:color="auto" w:fill="auto"/>
            <w:tcMar>
              <w:top w:w="0" w:type="dxa"/>
              <w:left w:w="0" w:type="dxa"/>
              <w:bottom w:w="0" w:type="dxa"/>
              <w:right w:w="0" w:type="dxa"/>
            </w:tcMar>
            <w:vAlign w:val="center"/>
          </w:tcPr>
          <w:p w14:paraId="1DF6A550">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w:t>
            </w:r>
          </w:p>
        </w:tc>
      </w:tr>
      <w:tr w14:paraId="1ABB73A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695AF0A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100-500</w:t>
            </w:r>
          </w:p>
        </w:tc>
        <w:tc>
          <w:tcPr>
            <w:tcW w:w="1249" w:type="pct"/>
            <w:shd w:val="clear" w:color="auto" w:fill="auto"/>
            <w:tcMar>
              <w:top w:w="0" w:type="dxa"/>
              <w:left w:w="0" w:type="dxa"/>
              <w:bottom w:w="0" w:type="dxa"/>
              <w:right w:w="0" w:type="dxa"/>
            </w:tcMar>
            <w:vAlign w:val="center"/>
          </w:tcPr>
          <w:p w14:paraId="21C0E960">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1.1%</w:t>
            </w:r>
          </w:p>
        </w:tc>
        <w:tc>
          <w:tcPr>
            <w:tcW w:w="1249" w:type="pct"/>
            <w:shd w:val="clear" w:color="auto" w:fill="auto"/>
            <w:tcMar>
              <w:top w:w="0" w:type="dxa"/>
              <w:left w:w="0" w:type="dxa"/>
              <w:bottom w:w="0" w:type="dxa"/>
              <w:right w:w="0" w:type="dxa"/>
            </w:tcMar>
            <w:vAlign w:val="center"/>
          </w:tcPr>
          <w:p w14:paraId="253C68C4">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0.8%</w:t>
            </w:r>
          </w:p>
        </w:tc>
        <w:tc>
          <w:tcPr>
            <w:tcW w:w="1251" w:type="pct"/>
            <w:shd w:val="clear" w:color="auto" w:fill="auto"/>
            <w:tcMar>
              <w:top w:w="0" w:type="dxa"/>
              <w:left w:w="0" w:type="dxa"/>
              <w:bottom w:w="0" w:type="dxa"/>
              <w:right w:w="0" w:type="dxa"/>
            </w:tcMar>
            <w:vAlign w:val="center"/>
          </w:tcPr>
          <w:p w14:paraId="4F21A971">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0.7%</w:t>
            </w:r>
          </w:p>
        </w:tc>
      </w:tr>
      <w:tr w14:paraId="7F59848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4B8E26B9">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500-1000</w:t>
            </w:r>
          </w:p>
        </w:tc>
        <w:tc>
          <w:tcPr>
            <w:tcW w:w="1249" w:type="pct"/>
            <w:shd w:val="clear" w:color="auto" w:fill="auto"/>
            <w:tcMar>
              <w:top w:w="0" w:type="dxa"/>
              <w:left w:w="0" w:type="dxa"/>
              <w:bottom w:w="0" w:type="dxa"/>
              <w:right w:w="0" w:type="dxa"/>
            </w:tcMar>
            <w:vAlign w:val="center"/>
          </w:tcPr>
          <w:p w14:paraId="185EDE44">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0.8%</w:t>
            </w:r>
          </w:p>
        </w:tc>
        <w:tc>
          <w:tcPr>
            <w:tcW w:w="1249" w:type="pct"/>
            <w:shd w:val="clear" w:color="auto" w:fill="auto"/>
            <w:tcMar>
              <w:top w:w="0" w:type="dxa"/>
              <w:left w:w="0" w:type="dxa"/>
              <w:bottom w:w="0" w:type="dxa"/>
              <w:right w:w="0" w:type="dxa"/>
            </w:tcMar>
            <w:vAlign w:val="center"/>
          </w:tcPr>
          <w:p w14:paraId="15A6C511">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0.45%</w:t>
            </w:r>
          </w:p>
        </w:tc>
        <w:tc>
          <w:tcPr>
            <w:tcW w:w="1251" w:type="pct"/>
            <w:shd w:val="clear" w:color="auto" w:fill="auto"/>
            <w:tcMar>
              <w:top w:w="0" w:type="dxa"/>
              <w:left w:w="0" w:type="dxa"/>
              <w:bottom w:w="0" w:type="dxa"/>
              <w:right w:w="0" w:type="dxa"/>
            </w:tcMar>
            <w:vAlign w:val="center"/>
          </w:tcPr>
          <w:p w14:paraId="5E36994B">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0.55%</w:t>
            </w:r>
          </w:p>
        </w:tc>
      </w:tr>
      <w:tr w14:paraId="5251D7D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71D9660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1000-5000</w:t>
            </w:r>
          </w:p>
        </w:tc>
        <w:tc>
          <w:tcPr>
            <w:tcW w:w="1249" w:type="pct"/>
            <w:shd w:val="clear" w:color="auto" w:fill="auto"/>
            <w:tcMar>
              <w:top w:w="0" w:type="dxa"/>
              <w:left w:w="0" w:type="dxa"/>
              <w:bottom w:w="0" w:type="dxa"/>
              <w:right w:w="0" w:type="dxa"/>
            </w:tcMar>
            <w:vAlign w:val="center"/>
          </w:tcPr>
          <w:p w14:paraId="6691D19D">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0.5%</w:t>
            </w:r>
          </w:p>
        </w:tc>
        <w:tc>
          <w:tcPr>
            <w:tcW w:w="1249" w:type="pct"/>
            <w:shd w:val="clear" w:color="auto" w:fill="auto"/>
            <w:tcMar>
              <w:top w:w="0" w:type="dxa"/>
              <w:left w:w="0" w:type="dxa"/>
              <w:bottom w:w="0" w:type="dxa"/>
              <w:right w:w="0" w:type="dxa"/>
            </w:tcMar>
            <w:vAlign w:val="center"/>
          </w:tcPr>
          <w:p w14:paraId="2C36DF2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0.25%</w:t>
            </w:r>
          </w:p>
        </w:tc>
        <w:tc>
          <w:tcPr>
            <w:tcW w:w="1251" w:type="pct"/>
            <w:shd w:val="clear" w:color="auto" w:fill="auto"/>
            <w:tcMar>
              <w:top w:w="0" w:type="dxa"/>
              <w:left w:w="0" w:type="dxa"/>
              <w:bottom w:w="0" w:type="dxa"/>
              <w:right w:w="0" w:type="dxa"/>
            </w:tcMar>
            <w:vAlign w:val="center"/>
          </w:tcPr>
          <w:p w14:paraId="3902E309">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0.36%</w:t>
            </w:r>
          </w:p>
        </w:tc>
      </w:tr>
      <w:tr w14:paraId="1C10AD4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0F746368">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5000-10000</w:t>
            </w:r>
          </w:p>
        </w:tc>
        <w:tc>
          <w:tcPr>
            <w:tcW w:w="1249" w:type="pct"/>
            <w:shd w:val="clear" w:color="auto" w:fill="auto"/>
            <w:tcMar>
              <w:top w:w="0" w:type="dxa"/>
              <w:left w:w="0" w:type="dxa"/>
              <w:bottom w:w="0" w:type="dxa"/>
              <w:right w:w="0" w:type="dxa"/>
            </w:tcMar>
            <w:vAlign w:val="center"/>
          </w:tcPr>
          <w:p w14:paraId="1E56D65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0.25%</w:t>
            </w:r>
          </w:p>
        </w:tc>
        <w:tc>
          <w:tcPr>
            <w:tcW w:w="1249" w:type="pct"/>
            <w:shd w:val="clear" w:color="auto" w:fill="auto"/>
            <w:tcMar>
              <w:top w:w="0" w:type="dxa"/>
              <w:left w:w="0" w:type="dxa"/>
              <w:bottom w:w="0" w:type="dxa"/>
              <w:right w:w="0" w:type="dxa"/>
            </w:tcMar>
            <w:vAlign w:val="center"/>
          </w:tcPr>
          <w:p w14:paraId="5859BA99">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0.1%</w:t>
            </w:r>
          </w:p>
        </w:tc>
        <w:tc>
          <w:tcPr>
            <w:tcW w:w="1251" w:type="pct"/>
            <w:shd w:val="clear" w:color="auto" w:fill="auto"/>
            <w:tcMar>
              <w:top w:w="0" w:type="dxa"/>
              <w:left w:w="0" w:type="dxa"/>
              <w:bottom w:w="0" w:type="dxa"/>
              <w:right w:w="0" w:type="dxa"/>
            </w:tcMar>
            <w:vAlign w:val="center"/>
          </w:tcPr>
          <w:p w14:paraId="16FF556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0.2%</w:t>
            </w:r>
          </w:p>
        </w:tc>
      </w:tr>
      <w:tr w14:paraId="09E110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37BB377E">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10000-100000</w:t>
            </w:r>
          </w:p>
        </w:tc>
        <w:tc>
          <w:tcPr>
            <w:tcW w:w="1249" w:type="pct"/>
            <w:shd w:val="clear" w:color="auto" w:fill="auto"/>
            <w:tcMar>
              <w:top w:w="0" w:type="dxa"/>
              <w:left w:w="0" w:type="dxa"/>
              <w:bottom w:w="0" w:type="dxa"/>
              <w:right w:w="0" w:type="dxa"/>
            </w:tcMar>
            <w:vAlign w:val="center"/>
          </w:tcPr>
          <w:p w14:paraId="3069C63C">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c>
          <w:tcPr>
            <w:tcW w:w="1249" w:type="pct"/>
            <w:shd w:val="clear" w:color="auto" w:fill="auto"/>
            <w:tcMar>
              <w:top w:w="0" w:type="dxa"/>
              <w:left w:w="0" w:type="dxa"/>
              <w:bottom w:w="0" w:type="dxa"/>
              <w:right w:w="0" w:type="dxa"/>
            </w:tcMar>
            <w:vAlign w:val="center"/>
          </w:tcPr>
          <w:p w14:paraId="41F2EC9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c>
          <w:tcPr>
            <w:tcW w:w="1251" w:type="pct"/>
            <w:shd w:val="clear" w:color="auto" w:fill="auto"/>
            <w:tcMar>
              <w:top w:w="0" w:type="dxa"/>
              <w:left w:w="0" w:type="dxa"/>
              <w:bottom w:w="0" w:type="dxa"/>
              <w:right w:w="0" w:type="dxa"/>
            </w:tcMar>
            <w:vAlign w:val="center"/>
          </w:tcPr>
          <w:p w14:paraId="2575B235">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0.05%</w:t>
            </w:r>
          </w:p>
        </w:tc>
      </w:tr>
      <w:tr w14:paraId="3844423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1249" w:type="pct"/>
            <w:shd w:val="clear" w:color="auto" w:fill="auto"/>
            <w:tcMar>
              <w:top w:w="0" w:type="dxa"/>
              <w:left w:w="0" w:type="dxa"/>
              <w:bottom w:w="0" w:type="dxa"/>
              <w:right w:w="0" w:type="dxa"/>
            </w:tcMar>
            <w:vAlign w:val="center"/>
          </w:tcPr>
          <w:p w14:paraId="5F5DF712">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1000000以上</w:t>
            </w:r>
          </w:p>
        </w:tc>
        <w:tc>
          <w:tcPr>
            <w:tcW w:w="1249" w:type="pct"/>
            <w:shd w:val="clear" w:color="auto" w:fill="auto"/>
            <w:tcMar>
              <w:top w:w="0" w:type="dxa"/>
              <w:left w:w="0" w:type="dxa"/>
              <w:bottom w:w="0" w:type="dxa"/>
              <w:right w:w="0" w:type="dxa"/>
            </w:tcMar>
            <w:vAlign w:val="center"/>
          </w:tcPr>
          <w:p w14:paraId="2FFB9414">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c>
          <w:tcPr>
            <w:tcW w:w="1249" w:type="pct"/>
            <w:shd w:val="clear" w:color="auto" w:fill="auto"/>
            <w:tcMar>
              <w:top w:w="0" w:type="dxa"/>
              <w:left w:w="0" w:type="dxa"/>
              <w:bottom w:w="0" w:type="dxa"/>
              <w:right w:w="0" w:type="dxa"/>
            </w:tcMar>
            <w:vAlign w:val="center"/>
          </w:tcPr>
          <w:p w14:paraId="6AD97D9A">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c>
          <w:tcPr>
            <w:tcW w:w="1251" w:type="pct"/>
            <w:shd w:val="clear" w:color="auto" w:fill="auto"/>
            <w:tcMar>
              <w:top w:w="0" w:type="dxa"/>
              <w:left w:w="0" w:type="dxa"/>
              <w:bottom w:w="0" w:type="dxa"/>
              <w:right w:w="0" w:type="dxa"/>
            </w:tcMar>
            <w:vAlign w:val="center"/>
          </w:tcPr>
          <w:p w14:paraId="5C66A34F">
            <w:pPr>
              <w:keepNext w:val="0"/>
              <w:keepLines w:val="0"/>
              <w:widowControl/>
              <w:suppressLineNumbers w:val="0"/>
              <w:spacing w:before="0" w:beforeAutospacing="0" w:after="0" w:afterAutospacing="0" w:line="240" w:lineRule="atLeast"/>
              <w:ind w:left="0" w:right="0"/>
              <w:jc w:val="center"/>
              <w:rPr>
                <w:rFonts w:hint="eastAsia" w:ascii="宋体" w:hAnsi="宋体" w:eastAsia="宋体" w:cs="宋体"/>
                <w:i w:val="0"/>
                <w:iCs w:val="0"/>
                <w:caps w:val="0"/>
                <w:color w:val="auto"/>
                <w:spacing w:val="0"/>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0.01%</w:t>
            </w:r>
          </w:p>
        </w:tc>
      </w:tr>
    </w:tbl>
    <w:p w14:paraId="7A592626">
      <w:pPr>
        <w:pStyle w:val="2"/>
        <w:rPr>
          <w:rFonts w:hint="eastAsia" w:ascii="宋体" w:hAnsi="宋体" w:eastAsia="宋体" w:cs="宋体"/>
          <w:color w:val="auto"/>
          <w:highlight w:val="none"/>
        </w:rPr>
      </w:pPr>
      <w:r>
        <w:rPr>
          <w:rFonts w:hint="eastAsia" w:ascii="宋体" w:hAnsi="宋体" w:eastAsia="宋体" w:cs="宋体"/>
          <w:color w:val="auto"/>
          <w:highlight w:val="none"/>
        </w:rPr>
        <w:t>（2）降低中标金额在5亿元以上招标代理服务收费标准，并设置收费上限。货物、服务、工程招标代理服务收费差额费率：中标金额在5—10亿元的为0.035%；10—50亿元的为0.008%；50—100亿元为0.006%；100亿元以上为0.004%。货物、服务、工程一次招标（完成一次招标投标全流程）代理服务费最高限额分别为350万元、300万元和450万元，并按各标段中标金额比例计算各标段招标代理服务费。</w:t>
      </w:r>
    </w:p>
    <w:p w14:paraId="1CC4F606">
      <w:pPr>
        <w:pStyle w:val="2"/>
        <w:rPr>
          <w:rFonts w:hint="eastAsia" w:ascii="宋体" w:hAnsi="宋体" w:eastAsia="宋体" w:cs="宋体"/>
          <w:color w:val="auto"/>
          <w:highlight w:val="none"/>
        </w:rPr>
      </w:pPr>
      <w:r>
        <w:rPr>
          <w:rFonts w:hint="eastAsia" w:ascii="宋体" w:hAnsi="宋体" w:eastAsia="宋体" w:cs="宋体"/>
          <w:color w:val="auto"/>
          <w:highlight w:val="none"/>
        </w:rPr>
        <w:t>（3）服务费基价实行全额分档折扣计算，得出代理服务费。具体为：服务费基价10万元（不含）以下的，按80%执行；服务费基价10万元（含）—20万元（不含）的，按70%执行；服务费基价20万元（含）—30万元（不含）的，按60%执行；服务费基价30万元（含）以上的，按50%计取，且单个项目最高代理费为30万元封顶。同时，为保障项目服务质量与库管理的可持续性，设置单个项目代理费最低为8000元，即按上述收费标准计取后不足8000元的，以8000元作为代理费。</w:t>
      </w:r>
    </w:p>
    <w:p w14:paraId="3544EE5C">
      <w:pPr>
        <w:spacing w:line="360" w:lineRule="auto"/>
        <w:rPr>
          <w:rFonts w:hint="eastAsia" w:ascii="宋体" w:hAnsi="宋体" w:eastAsia="宋体" w:cs="宋体"/>
          <w:snapToGrid w:val="0"/>
          <w:color w:val="auto"/>
          <w:kern w:val="0"/>
          <w:szCs w:val="20"/>
          <w:highlight w:val="none"/>
        </w:rPr>
      </w:pPr>
      <w:r>
        <w:rPr>
          <w:rFonts w:hint="eastAsia" w:ascii="宋体" w:hAnsi="宋体" w:eastAsia="宋体" w:cs="宋体"/>
          <w:snapToGrid w:val="0"/>
          <w:color w:val="auto"/>
          <w:kern w:val="0"/>
          <w:szCs w:val="20"/>
          <w:highlight w:val="none"/>
        </w:rPr>
        <w:t>例子：某项目招标代理业务中标金额为2000万元（货物类），计算代理服务费额如下：</w:t>
      </w:r>
    </w:p>
    <w:p w14:paraId="059A3964">
      <w:pPr>
        <w:spacing w:line="360" w:lineRule="auto"/>
        <w:rPr>
          <w:rFonts w:hint="eastAsia" w:ascii="宋体" w:hAnsi="宋体" w:eastAsia="宋体" w:cs="宋体"/>
          <w:snapToGrid w:val="0"/>
          <w:color w:val="auto"/>
          <w:kern w:val="0"/>
          <w:szCs w:val="20"/>
          <w:highlight w:val="none"/>
        </w:rPr>
      </w:pPr>
      <w:r>
        <w:rPr>
          <w:rFonts w:hint="eastAsia" w:ascii="宋体" w:hAnsi="宋体" w:eastAsia="宋体" w:cs="宋体"/>
          <w:snapToGrid w:val="0"/>
          <w:color w:val="auto"/>
          <w:kern w:val="0"/>
          <w:szCs w:val="20"/>
          <w:highlight w:val="none"/>
        </w:rPr>
        <w:t>0-100万元部分：100万元×1.5%=15000元</w:t>
      </w:r>
    </w:p>
    <w:p w14:paraId="7CDE8A4C">
      <w:pPr>
        <w:spacing w:line="360" w:lineRule="auto"/>
        <w:rPr>
          <w:rFonts w:hint="eastAsia" w:ascii="宋体" w:hAnsi="宋体" w:eastAsia="宋体" w:cs="宋体"/>
          <w:snapToGrid w:val="0"/>
          <w:color w:val="auto"/>
          <w:kern w:val="0"/>
          <w:szCs w:val="20"/>
          <w:highlight w:val="none"/>
        </w:rPr>
      </w:pPr>
      <w:r>
        <w:rPr>
          <w:rFonts w:hint="eastAsia" w:ascii="宋体" w:hAnsi="宋体" w:eastAsia="宋体" w:cs="宋体"/>
          <w:snapToGrid w:val="0"/>
          <w:color w:val="auto"/>
          <w:kern w:val="0"/>
          <w:szCs w:val="20"/>
          <w:highlight w:val="none"/>
        </w:rPr>
        <w:t>100-500万元部分：400万元×1.1%=44000元</w:t>
      </w:r>
    </w:p>
    <w:p w14:paraId="0810D32E">
      <w:pPr>
        <w:spacing w:line="360" w:lineRule="auto"/>
        <w:rPr>
          <w:rFonts w:hint="eastAsia" w:ascii="宋体" w:hAnsi="宋体" w:eastAsia="宋体" w:cs="宋体"/>
          <w:snapToGrid w:val="0"/>
          <w:color w:val="auto"/>
          <w:kern w:val="0"/>
          <w:szCs w:val="20"/>
          <w:highlight w:val="none"/>
        </w:rPr>
      </w:pPr>
      <w:r>
        <w:rPr>
          <w:rFonts w:hint="eastAsia" w:ascii="宋体" w:hAnsi="宋体" w:eastAsia="宋体" w:cs="宋体"/>
          <w:snapToGrid w:val="0"/>
          <w:color w:val="auto"/>
          <w:kern w:val="0"/>
          <w:szCs w:val="20"/>
          <w:highlight w:val="none"/>
        </w:rPr>
        <w:t>500-1000万元部分：500万元×0.8%=40000元</w:t>
      </w:r>
    </w:p>
    <w:p w14:paraId="45CAE165">
      <w:pPr>
        <w:spacing w:line="360" w:lineRule="auto"/>
        <w:rPr>
          <w:rFonts w:hint="eastAsia" w:ascii="宋体" w:hAnsi="宋体" w:eastAsia="宋体" w:cs="宋体"/>
          <w:snapToGrid w:val="0"/>
          <w:color w:val="auto"/>
          <w:kern w:val="0"/>
          <w:szCs w:val="20"/>
          <w:highlight w:val="none"/>
        </w:rPr>
      </w:pPr>
      <w:r>
        <w:rPr>
          <w:rFonts w:hint="eastAsia" w:ascii="宋体" w:hAnsi="宋体" w:eastAsia="宋体" w:cs="宋体"/>
          <w:snapToGrid w:val="0"/>
          <w:color w:val="auto"/>
          <w:kern w:val="0"/>
          <w:szCs w:val="20"/>
          <w:highlight w:val="none"/>
        </w:rPr>
        <w:t>1000-2000万元部分：1000万元×0.5%=50000元</w:t>
      </w:r>
    </w:p>
    <w:p w14:paraId="54847941">
      <w:pPr>
        <w:spacing w:line="360" w:lineRule="auto"/>
        <w:rPr>
          <w:rFonts w:hint="eastAsia" w:ascii="宋体" w:hAnsi="宋体" w:eastAsia="宋体" w:cs="宋体"/>
          <w:snapToGrid w:val="0"/>
          <w:color w:val="auto"/>
          <w:kern w:val="0"/>
          <w:szCs w:val="20"/>
          <w:highlight w:val="none"/>
        </w:rPr>
      </w:pPr>
      <w:r>
        <w:rPr>
          <w:rFonts w:hint="eastAsia" w:ascii="宋体" w:hAnsi="宋体" w:eastAsia="宋体" w:cs="宋体"/>
          <w:snapToGrid w:val="0"/>
          <w:color w:val="auto"/>
          <w:kern w:val="0"/>
          <w:szCs w:val="20"/>
          <w:highlight w:val="none"/>
        </w:rPr>
        <w:t>各部分累计得出服务费基价：149000.00元</w:t>
      </w:r>
    </w:p>
    <w:p w14:paraId="666FCDBC">
      <w:pPr>
        <w:spacing w:line="360" w:lineRule="auto"/>
        <w:rPr>
          <w:rFonts w:hint="eastAsia" w:ascii="宋体" w:hAnsi="宋体" w:eastAsia="宋体" w:cs="宋体"/>
          <w:snapToGrid w:val="0"/>
          <w:color w:val="auto"/>
          <w:kern w:val="0"/>
          <w:szCs w:val="20"/>
          <w:highlight w:val="none"/>
        </w:rPr>
      </w:pPr>
      <w:r>
        <w:rPr>
          <w:rFonts w:hint="eastAsia" w:ascii="宋体" w:hAnsi="宋体" w:eastAsia="宋体" w:cs="宋体"/>
          <w:snapToGrid w:val="0"/>
          <w:color w:val="auto"/>
          <w:kern w:val="0"/>
          <w:szCs w:val="20"/>
          <w:highlight w:val="none"/>
        </w:rPr>
        <w:t>按70%计算得出代理服务费：149000元×70%=104300元</w:t>
      </w:r>
    </w:p>
    <w:p w14:paraId="253F767A">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37.2 中标人收到中标通知后，须在15日内向招标代理机构交纳中标服务费用。</w:t>
      </w:r>
    </w:p>
    <w:p w14:paraId="56CF0F2E">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  中标服务费只接受以银行转账、电汇方式交纳</w:t>
      </w:r>
    </w:p>
    <w:p w14:paraId="2ADDD1C6">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中标服务费汇入账号（特别提醒，本账户非投标保证金汇入账户)：</w:t>
      </w:r>
    </w:p>
    <w:p w14:paraId="2633E67A">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开户名称：中招国际招标有限公司广东分公司</w:t>
      </w:r>
    </w:p>
    <w:p w14:paraId="36BCF681">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开户银行：中国工商银行广州环市中路支行</w:t>
      </w:r>
    </w:p>
    <w:p w14:paraId="2B46C9B1">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 xml:space="preserve">     银行账号：3602073929200085646            </w:t>
      </w:r>
    </w:p>
    <w:p w14:paraId="3EF943B7">
      <w:pPr>
        <w:autoSpaceDE w:val="0"/>
        <w:autoSpaceDN w:val="0"/>
        <w:adjustRightInd w:val="0"/>
        <w:snapToGrid/>
        <w:spacing w:line="360" w:lineRule="auto"/>
        <w:ind w:left="357" w:leftChars="-100" w:hanging="567" w:hangingChars="270"/>
        <w:jc w:val="left"/>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rPr>
        <w:t>37.4 中标人如未按第3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.1款、第3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.2款规定办理，将不予退还其投标保证金。</w:t>
      </w:r>
    </w:p>
    <w:p w14:paraId="5D785394">
      <w:pPr>
        <w:autoSpaceDE w:val="0"/>
        <w:autoSpaceDN w:val="0"/>
        <w:adjustRightInd w:val="0"/>
        <w:snapToGrid w:val="0"/>
        <w:spacing w:line="360" w:lineRule="auto"/>
        <w:ind w:left="0" w:leftChars="0" w:firstLine="0" w:firstLineChars="0"/>
        <w:jc w:val="left"/>
        <w:rPr>
          <w:rFonts w:ascii="宋体" w:hAnsi="宋体" w:eastAsia="宋体" w:cs="宋体"/>
          <w:color w:val="auto"/>
          <w:szCs w:val="21"/>
          <w:highlight w:val="none"/>
          <w:lang w:val="zh-CN"/>
        </w:rPr>
      </w:pPr>
      <w:bookmarkStart w:id="338" w:name="_Toc450662889"/>
    </w:p>
    <w:p w14:paraId="2B6DDA1D">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39" w:name="_Toc486167704"/>
      <w:bookmarkStart w:id="340" w:name="_Toc6764_WPSOffice_Level3"/>
      <w:bookmarkStart w:id="341" w:name="_Toc26292"/>
      <w:bookmarkStart w:id="342" w:name="_Toc16761"/>
      <w:bookmarkStart w:id="343" w:name="_Toc142508355"/>
      <w:bookmarkStart w:id="344" w:name="_Toc12346"/>
      <w:r>
        <w:rPr>
          <w:rFonts w:hint="eastAsia" w:ascii="宋体" w:hAnsi="宋体" w:eastAsia="宋体" w:cs="宋体"/>
          <w:color w:val="auto"/>
          <w:szCs w:val="21"/>
          <w:highlight w:val="none"/>
        </w:rPr>
        <w:t>38</w:t>
      </w:r>
      <w:r>
        <w:rPr>
          <w:rFonts w:hint="eastAsia" w:ascii="宋体" w:hAnsi="宋体" w:eastAsia="宋体" w:cs="宋体"/>
          <w:color w:val="auto"/>
          <w:szCs w:val="21"/>
          <w:highlight w:val="none"/>
          <w:lang w:val="zh-CN"/>
        </w:rPr>
        <w:t xml:space="preserve"> 发票</w:t>
      </w:r>
      <w:bookmarkEnd w:id="338"/>
      <w:bookmarkEnd w:id="339"/>
      <w:bookmarkEnd w:id="340"/>
      <w:bookmarkEnd w:id="341"/>
      <w:bookmarkEnd w:id="342"/>
      <w:bookmarkEnd w:id="343"/>
      <w:bookmarkEnd w:id="344"/>
    </w:p>
    <w:p w14:paraId="77E97700">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highlight w:val="none"/>
          <w:lang w:val="zh-CN"/>
        </w:rPr>
      </w:pPr>
      <w:r>
        <w:rPr>
          <w:rFonts w:hint="eastAsia" w:ascii="宋体" w:hAnsi="宋体" w:eastAsia="宋体" w:cs="宋体"/>
          <w:color w:val="auto"/>
          <w:szCs w:val="21"/>
          <w:highlight w:val="none"/>
        </w:rPr>
        <w:t>38</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en-US" w:eastAsia="zh-CN"/>
        </w:rPr>
        <w:t xml:space="preserve"> </w:t>
      </w:r>
      <w:r>
        <w:rPr>
          <w:rFonts w:hint="eastAsia" w:ascii="宋体" w:hAnsi="宋体" w:eastAsia="宋体" w:cs="Times New Roman"/>
          <w:color w:val="auto"/>
          <w:szCs w:val="21"/>
          <w:highlight w:val="none"/>
          <w:lang w:val="zh-CN"/>
        </w:rPr>
        <w:t>该项目获得中标的中标人在执行合同过程中，向招标人出具的发票必须是由中标人（招标人应支付、由</w:t>
      </w:r>
      <w:r>
        <w:rPr>
          <w:rFonts w:hint="eastAsia" w:ascii="宋体" w:hAnsi="宋体" w:eastAsia="宋体" w:cs="Times New Roman"/>
          <w:color w:val="auto"/>
          <w:szCs w:val="21"/>
          <w:highlight w:val="none"/>
          <w:lang w:val="en-US" w:eastAsia="zh-CN"/>
        </w:rPr>
        <w:t>中</w:t>
      </w:r>
      <w:r>
        <w:rPr>
          <w:rFonts w:hint="eastAsia" w:ascii="宋体" w:hAnsi="宋体" w:eastAsia="宋体" w:cs="Times New Roman"/>
          <w:color w:val="auto"/>
          <w:szCs w:val="21"/>
          <w:highlight w:val="none"/>
          <w:lang w:val="zh-CN"/>
        </w:rPr>
        <w:t>标人代缴代扣的首年车船税、购置税、首年交通强制险、首年商业险增值税专用发票除外）开具，不得以其他单位或个人名义出具，本项目中标人向招标人出具的车辆出售发票类型为机动车销售统一发票或增值税专用发票，其他货物及增值服务为增值税专用发票。</w:t>
      </w:r>
      <w:bookmarkStart w:id="345" w:name="_Toc486167705"/>
      <w:bookmarkStart w:id="346" w:name="_Toc31106_WPSOffice_Level3"/>
    </w:p>
    <w:p w14:paraId="5AF5A20B">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highlight w:val="none"/>
        </w:rPr>
      </w:pPr>
    </w:p>
    <w:p w14:paraId="7479B5BD">
      <w:pPr>
        <w:tabs>
          <w:tab w:val="left" w:pos="360"/>
        </w:tabs>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rPr>
      </w:pPr>
      <w:bookmarkStart w:id="347" w:name="_Toc11437"/>
      <w:bookmarkStart w:id="348" w:name="_Toc16304"/>
      <w:bookmarkStart w:id="349" w:name="_Toc4658"/>
      <w:bookmarkStart w:id="350" w:name="_Toc142508356"/>
      <w:r>
        <w:rPr>
          <w:rFonts w:ascii="宋体" w:hAnsi="宋体" w:eastAsia="宋体" w:cs="宋体"/>
          <w:b/>
          <w:color w:val="auto"/>
          <w:szCs w:val="21"/>
          <w:highlight w:val="none"/>
        </w:rPr>
        <w:t>39 招标相关补充约定</w:t>
      </w:r>
      <w:bookmarkEnd w:id="347"/>
      <w:bookmarkEnd w:id="348"/>
      <w:bookmarkEnd w:id="349"/>
      <w:bookmarkEnd w:id="350"/>
    </w:p>
    <w:p w14:paraId="72582FFC">
      <w:pPr>
        <w:autoSpaceDE w:val="0"/>
        <w:autoSpaceDN w:val="0"/>
        <w:adjustRightInd w:val="0"/>
        <w:snapToGrid w:val="0"/>
        <w:spacing w:line="360" w:lineRule="auto"/>
        <w:ind w:left="317" w:leftChars="-100" w:hanging="527" w:hangingChars="250"/>
        <w:jc w:val="left"/>
        <w:rPr>
          <w:rFonts w:ascii="宋体" w:hAnsi="宋体" w:eastAsia="宋体" w:cs="Times New Roman"/>
          <w:b/>
          <w:color w:val="auto"/>
          <w:szCs w:val="21"/>
          <w:highlight w:val="none"/>
        </w:rPr>
      </w:pPr>
      <w:r>
        <w:rPr>
          <w:rFonts w:ascii="宋体" w:hAnsi="宋体" w:eastAsia="宋体" w:cs="Times New Roman"/>
          <w:b/>
          <w:color w:val="auto"/>
          <w:szCs w:val="21"/>
          <w:highlight w:val="none"/>
        </w:rPr>
        <w:t>39.1</w:t>
      </w:r>
      <w:r>
        <w:rPr>
          <w:rFonts w:ascii="宋体" w:hAnsi="宋体" w:eastAsia="宋体" w:cs="Times New Roman"/>
          <w:b/>
          <w:color w:val="auto"/>
          <w:szCs w:val="21"/>
          <w:highlight w:val="none"/>
        </w:rPr>
        <w:tab/>
      </w:r>
      <w:r>
        <w:rPr>
          <w:rFonts w:ascii="宋体" w:hAnsi="宋体" w:eastAsia="宋体" w:cs="Times New Roman"/>
          <w:b/>
          <w:color w:val="auto"/>
          <w:szCs w:val="21"/>
          <w:highlight w:val="none"/>
        </w:rPr>
        <w:t>本项目投标人须知第2条所述行政处罚信息，以开标</w:t>
      </w:r>
      <w:r>
        <w:rPr>
          <w:rFonts w:hint="eastAsia" w:ascii="宋体" w:hAnsi="宋体" w:eastAsia="宋体" w:cs="Times New Roman"/>
          <w:b/>
          <w:color w:val="auto"/>
          <w:szCs w:val="21"/>
          <w:highlight w:val="none"/>
          <w:lang w:val="en-US" w:eastAsia="zh-CN"/>
        </w:rPr>
        <w:t>当天</w:t>
      </w:r>
      <w:r>
        <w:rPr>
          <w:rFonts w:ascii="宋体" w:hAnsi="宋体" w:eastAsia="宋体" w:cs="Times New Roman"/>
          <w:b/>
          <w:color w:val="auto"/>
          <w:szCs w:val="21"/>
          <w:highlight w:val="none"/>
        </w:rPr>
        <w:t>在“信用中国”网站（www.creditchina.gov.cn）查询结果为准</w:t>
      </w:r>
      <w:r>
        <w:rPr>
          <w:rFonts w:hint="eastAsia" w:ascii="宋体" w:hAnsi="宋体" w:eastAsia="宋体" w:cs="Times New Roman"/>
          <w:b/>
          <w:color w:val="auto"/>
          <w:szCs w:val="21"/>
          <w:highlight w:val="none"/>
        </w:rPr>
        <w:t>，或以司法、仲裁机构等出具的生效文件予以认定,时间以认定文件的落款时间为准</w:t>
      </w:r>
      <w:r>
        <w:rPr>
          <w:rFonts w:ascii="宋体" w:hAnsi="宋体" w:eastAsia="宋体" w:cs="Times New Roman"/>
          <w:b/>
          <w:color w:val="auto"/>
          <w:szCs w:val="21"/>
          <w:highlight w:val="none"/>
        </w:rPr>
        <w:t>。开标结束后，有关投标单位的行政处罚信息，以</w:t>
      </w:r>
      <w:r>
        <w:rPr>
          <w:rFonts w:hint="eastAsia" w:ascii="宋体" w:hAnsi="宋体" w:eastAsia="宋体" w:cs="Times New Roman"/>
          <w:b/>
          <w:color w:val="auto"/>
          <w:szCs w:val="21"/>
          <w:highlight w:val="none"/>
          <w:lang w:val="en-US" w:eastAsia="zh-CN"/>
        </w:rPr>
        <w:t>开标当天查询</w:t>
      </w:r>
      <w:r>
        <w:rPr>
          <w:rFonts w:ascii="宋体" w:hAnsi="宋体" w:eastAsia="宋体" w:cs="Times New Roman"/>
          <w:b/>
          <w:color w:val="auto"/>
          <w:szCs w:val="21"/>
          <w:highlight w:val="none"/>
        </w:rPr>
        <w:t>结果为准；结果公示期间，如投标人对有关投标单位的行政处罚信息存在异议，但不涉及第一中标候选人的，视为对中标结果没有造成实质影响。</w:t>
      </w:r>
    </w:p>
    <w:p w14:paraId="7E648C31">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highlight w:val="none"/>
        </w:rPr>
      </w:pPr>
    </w:p>
    <w:p w14:paraId="4516360B">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rPr>
      </w:pPr>
      <w:bookmarkStart w:id="351" w:name="_Toc26725"/>
      <w:bookmarkStart w:id="352" w:name="_Toc25568"/>
      <w:bookmarkStart w:id="353" w:name="_Toc14591"/>
      <w:bookmarkStart w:id="354" w:name="_Toc142508357"/>
      <w:r>
        <w:rPr>
          <w:rFonts w:ascii="宋体" w:hAnsi="宋体" w:eastAsia="宋体" w:cs="宋体"/>
          <w:color w:val="auto"/>
          <w:szCs w:val="21"/>
          <w:highlight w:val="none"/>
        </w:rPr>
        <w:t>40</w:t>
      </w:r>
      <w:r>
        <w:rPr>
          <w:rFonts w:hint="eastAsia" w:ascii="宋体" w:hAnsi="宋体" w:eastAsia="宋体" w:cs="宋体"/>
          <w:color w:val="auto"/>
          <w:szCs w:val="21"/>
          <w:highlight w:val="none"/>
        </w:rPr>
        <w:t xml:space="preserve"> 本次招标活动的最终解释权归招标代理机构及招标人所有。</w:t>
      </w:r>
      <w:bookmarkEnd w:id="345"/>
      <w:bookmarkEnd w:id="346"/>
      <w:bookmarkEnd w:id="351"/>
      <w:bookmarkEnd w:id="352"/>
      <w:bookmarkEnd w:id="353"/>
      <w:bookmarkEnd w:id="354"/>
    </w:p>
    <w:p w14:paraId="3CBA9DCD">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color w:val="auto"/>
          <w:kern w:val="44"/>
          <w:sz w:val="32"/>
          <w:szCs w:val="32"/>
          <w:highlight w:val="none"/>
          <w:lang w:val="zh-CN"/>
        </w:rPr>
      </w:pPr>
      <w:bookmarkStart w:id="355" w:name="_Toc27939_WPSOffice_Level1"/>
      <w:bookmarkStart w:id="356" w:name="_Toc486167706"/>
      <w:bookmarkStart w:id="357" w:name="_Toc4217"/>
      <w:bookmarkStart w:id="358" w:name="_Toc450662891"/>
      <w:bookmarkStart w:id="359" w:name="_Toc28218"/>
      <w:bookmarkStart w:id="360" w:name="_Toc142508358"/>
      <w:bookmarkStart w:id="361" w:name="_Toc22779"/>
      <w:r>
        <w:rPr>
          <w:rFonts w:hint="eastAsia" w:ascii="宋体" w:hAnsi="宋体" w:eastAsia="宋体" w:cs="宋体"/>
          <w:b/>
          <w:bCs/>
          <w:color w:val="auto"/>
          <w:kern w:val="44"/>
          <w:sz w:val="32"/>
          <w:szCs w:val="32"/>
          <w:highlight w:val="none"/>
          <w:lang w:val="zh-CN"/>
        </w:rPr>
        <w:t>第三篇</w:t>
      </w:r>
      <w:r>
        <w:rPr>
          <w:rFonts w:ascii="宋体" w:hAnsi="宋体" w:eastAsia="宋体" w:cs="宋体"/>
          <w:b/>
          <w:bCs/>
          <w:color w:val="auto"/>
          <w:kern w:val="44"/>
          <w:sz w:val="32"/>
          <w:szCs w:val="32"/>
          <w:highlight w:val="none"/>
          <w:lang w:val="zh-CN"/>
        </w:rPr>
        <w:t xml:space="preserve"> </w:t>
      </w:r>
      <w:r>
        <w:rPr>
          <w:rFonts w:hint="eastAsia" w:ascii="宋体" w:hAnsi="宋体" w:eastAsia="宋体" w:cs="宋体"/>
          <w:b/>
          <w:bCs/>
          <w:color w:val="auto"/>
          <w:kern w:val="44"/>
          <w:sz w:val="32"/>
          <w:szCs w:val="32"/>
          <w:highlight w:val="none"/>
          <w:lang w:val="zh-CN"/>
        </w:rPr>
        <w:t>用户需求书</w:t>
      </w:r>
      <w:bookmarkEnd w:id="355"/>
      <w:bookmarkEnd w:id="356"/>
      <w:bookmarkEnd w:id="357"/>
      <w:bookmarkEnd w:id="358"/>
      <w:bookmarkEnd w:id="359"/>
      <w:bookmarkEnd w:id="360"/>
      <w:bookmarkEnd w:id="361"/>
    </w:p>
    <w:p w14:paraId="5D4F0091">
      <w:pPr>
        <w:spacing w:line="360" w:lineRule="auto"/>
        <w:contextualSpacing/>
        <w:outlineLvl w:val="1"/>
        <w:rPr>
          <w:rFonts w:ascii="宋体" w:hAnsi="宋体" w:eastAsia="宋体" w:cs="宋体"/>
          <w:b/>
          <w:color w:val="auto"/>
          <w:szCs w:val="21"/>
          <w:highlight w:val="none"/>
        </w:rPr>
      </w:pPr>
      <w:r>
        <w:rPr>
          <w:rFonts w:hint="eastAsia" w:ascii="宋体" w:hAnsi="宋体" w:eastAsia="宋体" w:cs="宋体"/>
          <w:b/>
          <w:color w:val="auto"/>
          <w:szCs w:val="21"/>
          <w:highlight w:val="none"/>
        </w:rPr>
        <w:t>一、</w:t>
      </w:r>
      <w:r>
        <w:rPr>
          <w:rFonts w:ascii="宋体" w:hAnsi="宋体" w:eastAsia="宋体" w:cs="宋体"/>
          <w:b/>
          <w:color w:val="auto"/>
          <w:szCs w:val="21"/>
          <w:highlight w:val="none"/>
        </w:rPr>
        <w:t>货物采购清单</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2578"/>
        <w:gridCol w:w="1677"/>
        <w:gridCol w:w="4919"/>
      </w:tblGrid>
      <w:tr w14:paraId="7E30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98" w:type="pct"/>
            <w:vAlign w:val="center"/>
          </w:tcPr>
          <w:p w14:paraId="4D02EAB8">
            <w:pPr>
              <w:spacing w:line="240" w:lineRule="auto"/>
              <w:contextualSpacing/>
              <w:jc w:val="center"/>
              <w:rPr>
                <w:rFonts w:ascii="宋体" w:hAnsi="宋体" w:eastAsia="宋体" w:cs="Times New Roman"/>
                <w:b/>
                <w:bCs/>
                <w:color w:val="auto"/>
                <w:kern w:val="0"/>
                <w:szCs w:val="21"/>
                <w:highlight w:val="none"/>
              </w:rPr>
            </w:pPr>
            <w:r>
              <w:rPr>
                <w:rFonts w:ascii="宋体" w:hAnsi="宋体" w:eastAsia="宋体" w:cs="Times New Roman"/>
                <w:b/>
                <w:bCs/>
                <w:color w:val="auto"/>
                <w:kern w:val="0"/>
                <w:szCs w:val="21"/>
                <w:highlight w:val="none"/>
              </w:rPr>
              <w:t>序号</w:t>
            </w:r>
          </w:p>
        </w:tc>
        <w:tc>
          <w:tcPr>
            <w:tcW w:w="1265" w:type="pct"/>
            <w:vAlign w:val="center"/>
          </w:tcPr>
          <w:p w14:paraId="272A6469">
            <w:pPr>
              <w:spacing w:line="240" w:lineRule="auto"/>
              <w:contextualSpacing/>
              <w:jc w:val="center"/>
              <w:rPr>
                <w:rFonts w:ascii="宋体" w:hAnsi="宋体" w:eastAsia="宋体" w:cs="Times New Roman"/>
                <w:b/>
                <w:bCs/>
                <w:color w:val="auto"/>
                <w:kern w:val="0"/>
                <w:szCs w:val="21"/>
                <w:highlight w:val="none"/>
              </w:rPr>
            </w:pPr>
            <w:r>
              <w:rPr>
                <w:rFonts w:ascii="宋体" w:hAnsi="宋体" w:eastAsia="宋体" w:cs="Times New Roman"/>
                <w:b/>
                <w:bCs/>
                <w:color w:val="auto"/>
                <w:kern w:val="0"/>
                <w:szCs w:val="21"/>
                <w:highlight w:val="none"/>
              </w:rPr>
              <w:t>设备名称</w:t>
            </w:r>
          </w:p>
        </w:tc>
        <w:tc>
          <w:tcPr>
            <w:tcW w:w="823" w:type="pct"/>
            <w:vAlign w:val="center"/>
          </w:tcPr>
          <w:p w14:paraId="3D92E547">
            <w:pPr>
              <w:spacing w:line="240" w:lineRule="auto"/>
              <w:contextualSpacing/>
              <w:jc w:val="center"/>
              <w:rPr>
                <w:rFonts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数量（辆）</w:t>
            </w:r>
          </w:p>
        </w:tc>
        <w:tc>
          <w:tcPr>
            <w:tcW w:w="2414" w:type="pct"/>
            <w:vAlign w:val="center"/>
          </w:tcPr>
          <w:p w14:paraId="368368B9">
            <w:pPr>
              <w:spacing w:line="240" w:lineRule="auto"/>
              <w:contextualSpacing/>
              <w:jc w:val="center"/>
              <w:rPr>
                <w:rFonts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车辆单价（含税）</w:t>
            </w:r>
          </w:p>
        </w:tc>
      </w:tr>
      <w:tr w14:paraId="6C5E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98" w:type="pct"/>
            <w:vAlign w:val="center"/>
          </w:tcPr>
          <w:p w14:paraId="6B13297B">
            <w:pPr>
              <w:spacing w:line="240" w:lineRule="auto"/>
              <w:contextualSpacing/>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w:t>
            </w:r>
          </w:p>
        </w:tc>
        <w:tc>
          <w:tcPr>
            <w:tcW w:w="1265" w:type="pct"/>
            <w:vAlign w:val="center"/>
          </w:tcPr>
          <w:p w14:paraId="46E57C65">
            <w:pPr>
              <w:spacing w:line="240" w:lineRule="auto"/>
              <w:contextualSpacing/>
              <w:jc w:val="center"/>
              <w:rPr>
                <w:rFonts w:ascii="宋体" w:hAnsi="宋体" w:eastAsia="宋体" w:cs="Times New Roman"/>
                <w:color w:val="auto"/>
                <w:kern w:val="0"/>
                <w:szCs w:val="21"/>
                <w:highlight w:val="none"/>
              </w:rPr>
            </w:pPr>
            <w:r>
              <w:rPr>
                <w:rFonts w:hint="eastAsia" w:ascii="宋体" w:hAnsi="宋体" w:eastAsia="宋体" w:cs="宋体"/>
                <w:color w:val="auto"/>
                <w:kern w:val="0"/>
                <w:szCs w:val="21"/>
                <w:highlight w:val="none"/>
                <w:lang w:val="en-US" w:eastAsia="zh-CN"/>
              </w:rPr>
              <w:t>防撞缓冲车</w:t>
            </w:r>
          </w:p>
        </w:tc>
        <w:tc>
          <w:tcPr>
            <w:tcW w:w="823" w:type="pct"/>
            <w:vAlign w:val="center"/>
          </w:tcPr>
          <w:p w14:paraId="072FD2DE">
            <w:pPr>
              <w:spacing w:line="240" w:lineRule="auto"/>
              <w:contextualSpacing/>
              <w:jc w:val="center"/>
              <w:rPr>
                <w:rFonts w:hint="eastAsia" w:ascii="宋体" w:hAnsi="宋体" w:eastAsia="宋体" w:cs="Times New Roman"/>
                <w:color w:val="auto"/>
                <w:kern w:val="0"/>
                <w:szCs w:val="21"/>
                <w:highlight w:val="none"/>
                <w:lang w:eastAsia="zh-CN"/>
              </w:rPr>
            </w:pPr>
            <w:r>
              <w:rPr>
                <w:rFonts w:hint="eastAsia" w:ascii="宋体" w:hAnsi="宋体" w:eastAsia="宋体" w:cs="Times New Roman"/>
                <w:color w:val="auto"/>
                <w:kern w:val="0"/>
                <w:szCs w:val="21"/>
                <w:highlight w:val="none"/>
                <w:lang w:val="en-US" w:eastAsia="zh-CN"/>
              </w:rPr>
              <w:t>9</w:t>
            </w:r>
          </w:p>
        </w:tc>
        <w:tc>
          <w:tcPr>
            <w:tcW w:w="2414" w:type="pct"/>
            <w:vAlign w:val="center"/>
          </w:tcPr>
          <w:p w14:paraId="65F67B37">
            <w:pPr>
              <w:spacing w:line="240" w:lineRule="auto"/>
              <w:contextualSpacing/>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233352</w:t>
            </w:r>
            <w:r>
              <w:rPr>
                <w:rFonts w:hint="eastAsia" w:ascii="宋体" w:hAnsi="宋体" w:eastAsia="宋体" w:cs="Times New Roman"/>
                <w:color w:val="auto"/>
                <w:kern w:val="0"/>
                <w:szCs w:val="21"/>
                <w:highlight w:val="none"/>
                <w:lang w:val="en-US" w:eastAsia="zh-CN"/>
              </w:rPr>
              <w:t>.00</w:t>
            </w:r>
            <w:r>
              <w:rPr>
                <w:rFonts w:hint="eastAsia" w:ascii="宋体" w:hAnsi="宋体" w:eastAsia="宋体" w:cs="Times New Roman"/>
                <w:color w:val="auto"/>
                <w:kern w:val="0"/>
                <w:szCs w:val="21"/>
                <w:highlight w:val="none"/>
              </w:rPr>
              <w:t>元/辆</w:t>
            </w:r>
          </w:p>
        </w:tc>
      </w:tr>
    </w:tbl>
    <w:p w14:paraId="5AEF5AE4">
      <w:pPr>
        <w:spacing w:line="360" w:lineRule="auto"/>
        <w:contextualSpacing/>
        <w:outlineLvl w:val="1"/>
        <w:rPr>
          <w:rFonts w:ascii="宋体" w:hAnsi="宋体" w:eastAsia="宋体" w:cs="宋体"/>
          <w:b/>
          <w:color w:val="auto"/>
          <w:szCs w:val="21"/>
          <w:highlight w:val="none"/>
        </w:rPr>
      </w:pPr>
      <w:r>
        <w:rPr>
          <w:rFonts w:hint="eastAsia" w:ascii="宋体" w:hAnsi="宋体" w:eastAsia="宋体" w:cs="宋体"/>
          <w:b/>
          <w:color w:val="auto"/>
          <w:szCs w:val="21"/>
          <w:highlight w:val="none"/>
        </w:rPr>
        <w:t>二、</w:t>
      </w:r>
      <w:r>
        <w:rPr>
          <w:rFonts w:ascii="宋体" w:hAnsi="宋体" w:eastAsia="宋体" w:cs="宋体"/>
          <w:b/>
          <w:color w:val="auto"/>
          <w:szCs w:val="21"/>
          <w:highlight w:val="none"/>
        </w:rPr>
        <w:t>技术参数</w:t>
      </w:r>
      <w:r>
        <w:rPr>
          <w:rFonts w:hint="eastAsia" w:ascii="宋体" w:hAnsi="宋体" w:eastAsia="宋体" w:cs="宋体"/>
          <w:b/>
          <w:color w:val="auto"/>
          <w:szCs w:val="21"/>
          <w:highlight w:val="none"/>
        </w:rPr>
        <w:t>要求</w:t>
      </w:r>
    </w:p>
    <w:tbl>
      <w:tblPr>
        <w:tblStyle w:val="36"/>
        <w:tblW w:w="5000" w:type="pct"/>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16"/>
        <w:gridCol w:w="901"/>
        <w:gridCol w:w="2648"/>
        <w:gridCol w:w="6023"/>
      </w:tblGrid>
      <w:tr w14:paraId="70078CA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2F67D697">
            <w:pPr>
              <w:spacing w:line="240" w:lineRule="auto"/>
              <w:contextualSpacing/>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41" w:type="pct"/>
            <w:gridSpan w:val="2"/>
            <w:tcBorders>
              <w:top w:val="single" w:color="000000" w:sz="4" w:space="0"/>
              <w:left w:val="single" w:color="000000" w:sz="4" w:space="0"/>
              <w:bottom w:val="single" w:color="000000" w:sz="4" w:space="0"/>
            </w:tcBorders>
            <w:vAlign w:val="center"/>
          </w:tcPr>
          <w:p w14:paraId="365A647F">
            <w:pPr>
              <w:spacing w:line="240" w:lineRule="auto"/>
              <w:contextualSpacing/>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技术参数</w:t>
            </w:r>
          </w:p>
        </w:tc>
        <w:tc>
          <w:tcPr>
            <w:tcW w:w="2955" w:type="pct"/>
            <w:tcBorders>
              <w:top w:val="single" w:color="000000" w:sz="4" w:space="0"/>
              <w:left w:val="single" w:color="000000" w:sz="4" w:space="0"/>
              <w:bottom w:val="single" w:color="000000" w:sz="4" w:space="0"/>
            </w:tcBorders>
            <w:vAlign w:val="center"/>
          </w:tcPr>
          <w:p w14:paraId="1620313F">
            <w:pPr>
              <w:spacing w:line="240" w:lineRule="auto"/>
              <w:contextualSpacing/>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配置要求</w:t>
            </w:r>
          </w:p>
        </w:tc>
      </w:tr>
      <w:tr w14:paraId="2D2C05E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13C598B9">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442" w:type="pct"/>
            <w:vMerge w:val="restart"/>
            <w:tcBorders>
              <w:top w:val="single" w:color="000000" w:sz="4" w:space="0"/>
              <w:left w:val="single" w:color="000000" w:sz="4" w:space="0"/>
              <w:right w:val="single" w:color="000000" w:sz="4" w:space="0"/>
            </w:tcBorders>
            <w:vAlign w:val="center"/>
          </w:tcPr>
          <w:p w14:paraId="5F75C0D4">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车辆本体</w:t>
            </w:r>
          </w:p>
        </w:tc>
        <w:tc>
          <w:tcPr>
            <w:tcW w:w="1299" w:type="pct"/>
            <w:tcBorders>
              <w:top w:val="single" w:color="000000" w:sz="4" w:space="0"/>
              <w:left w:val="single" w:color="000000" w:sz="4" w:space="0"/>
              <w:bottom w:val="single" w:color="000000" w:sz="4" w:space="0"/>
            </w:tcBorders>
            <w:vAlign w:val="center"/>
          </w:tcPr>
          <w:p w14:paraId="20B26BF0">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车辆类型</w:t>
            </w:r>
          </w:p>
        </w:tc>
        <w:tc>
          <w:tcPr>
            <w:tcW w:w="2955" w:type="pct"/>
            <w:tcBorders>
              <w:top w:val="single" w:color="000000" w:sz="4" w:space="0"/>
              <w:left w:val="single" w:color="000000" w:sz="4" w:space="0"/>
              <w:bottom w:val="single" w:color="000000" w:sz="4" w:space="0"/>
            </w:tcBorders>
            <w:vAlign w:val="center"/>
          </w:tcPr>
          <w:p w14:paraId="5DDE4F76">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轻型专门用途货车</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防撞缓冲车</w:t>
            </w:r>
            <w:r>
              <w:rPr>
                <w:rFonts w:hint="eastAsia" w:ascii="宋体" w:hAnsi="宋体" w:eastAsia="宋体" w:cs="宋体"/>
                <w:color w:val="auto"/>
                <w:kern w:val="0"/>
                <w:szCs w:val="21"/>
                <w:highlight w:val="none"/>
                <w:lang w:eastAsia="zh-CN"/>
              </w:rPr>
              <w:t>）</w:t>
            </w:r>
          </w:p>
        </w:tc>
      </w:tr>
      <w:tr w14:paraId="7A3A2BD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36697F46">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442" w:type="pct"/>
            <w:vMerge w:val="continue"/>
            <w:tcBorders>
              <w:left w:val="single" w:color="000000" w:sz="4" w:space="0"/>
              <w:right w:val="single" w:color="000000" w:sz="4" w:space="0"/>
            </w:tcBorders>
            <w:vAlign w:val="center"/>
          </w:tcPr>
          <w:p w14:paraId="5CE5C3C5">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696588E6">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能源类型</w:t>
            </w:r>
          </w:p>
        </w:tc>
        <w:tc>
          <w:tcPr>
            <w:tcW w:w="2955" w:type="pct"/>
            <w:tcBorders>
              <w:top w:val="single" w:color="000000" w:sz="4" w:space="0"/>
              <w:left w:val="single" w:color="000000" w:sz="4" w:space="0"/>
              <w:bottom w:val="single" w:color="000000" w:sz="4" w:space="0"/>
            </w:tcBorders>
            <w:vAlign w:val="center"/>
          </w:tcPr>
          <w:p w14:paraId="526D2E7A">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柴油</w:t>
            </w:r>
          </w:p>
        </w:tc>
      </w:tr>
      <w:tr w14:paraId="266320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2C4C21C2">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442" w:type="pct"/>
            <w:vMerge w:val="continue"/>
            <w:tcBorders>
              <w:left w:val="single" w:color="000000" w:sz="4" w:space="0"/>
              <w:right w:val="single" w:color="000000" w:sz="4" w:space="0"/>
            </w:tcBorders>
            <w:vAlign w:val="center"/>
          </w:tcPr>
          <w:p w14:paraId="07CA766F">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48C18730">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环保标准</w:t>
            </w:r>
          </w:p>
        </w:tc>
        <w:tc>
          <w:tcPr>
            <w:tcW w:w="2955" w:type="pct"/>
            <w:tcBorders>
              <w:top w:val="single" w:color="000000" w:sz="4" w:space="0"/>
              <w:left w:val="single" w:color="000000" w:sz="4" w:space="0"/>
              <w:bottom w:val="single" w:color="000000" w:sz="4" w:space="0"/>
            </w:tcBorders>
            <w:vAlign w:val="center"/>
          </w:tcPr>
          <w:p w14:paraId="2E06EAC4">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国六</w:t>
            </w:r>
            <w:r>
              <w:rPr>
                <w:rFonts w:hint="eastAsia" w:ascii="宋体" w:hAnsi="宋体" w:eastAsia="宋体" w:cs="宋体"/>
                <w:color w:val="auto"/>
                <w:kern w:val="0"/>
                <w:szCs w:val="21"/>
                <w:highlight w:val="none"/>
                <w:lang w:val="en-US" w:eastAsia="zh-CN"/>
              </w:rPr>
              <w:t>b</w:t>
            </w:r>
            <w:r>
              <w:rPr>
                <w:rFonts w:hint="eastAsia" w:ascii="宋体" w:hAnsi="宋体" w:eastAsia="宋体" w:cs="宋体"/>
                <w:color w:val="auto"/>
                <w:kern w:val="0"/>
                <w:szCs w:val="21"/>
                <w:highlight w:val="none"/>
              </w:rPr>
              <w:t>或以上，须满足东莞合法上牌标准</w:t>
            </w:r>
          </w:p>
        </w:tc>
      </w:tr>
      <w:tr w14:paraId="1F27520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609CF398">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442" w:type="pct"/>
            <w:vMerge w:val="continue"/>
            <w:tcBorders>
              <w:left w:val="single" w:color="000000" w:sz="4" w:space="0"/>
              <w:right w:val="single" w:color="000000" w:sz="4" w:space="0"/>
            </w:tcBorders>
            <w:vAlign w:val="center"/>
          </w:tcPr>
          <w:p w14:paraId="4EDEAD7C">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2C610531">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整车质量（kg）</w:t>
            </w:r>
          </w:p>
        </w:tc>
        <w:tc>
          <w:tcPr>
            <w:tcW w:w="2955" w:type="pct"/>
            <w:tcBorders>
              <w:top w:val="single" w:color="000000" w:sz="4" w:space="0"/>
              <w:left w:val="single" w:color="000000" w:sz="4" w:space="0"/>
              <w:bottom w:val="single" w:color="000000" w:sz="4" w:space="0"/>
            </w:tcBorders>
            <w:vAlign w:val="center"/>
          </w:tcPr>
          <w:p w14:paraId="29724A70">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≥4000</w:t>
            </w:r>
          </w:p>
        </w:tc>
      </w:tr>
      <w:tr w14:paraId="02A7C20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62E3B0EA">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442" w:type="pct"/>
            <w:vMerge w:val="continue"/>
            <w:tcBorders>
              <w:left w:val="single" w:color="000000" w:sz="4" w:space="0"/>
              <w:right w:val="single" w:color="000000" w:sz="4" w:space="0"/>
            </w:tcBorders>
            <w:vAlign w:val="center"/>
          </w:tcPr>
          <w:p w14:paraId="5262B378">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auto" w:sz="4" w:space="0"/>
            </w:tcBorders>
            <w:vAlign w:val="center"/>
          </w:tcPr>
          <w:p w14:paraId="75051BD2">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底盘品牌</w:t>
            </w:r>
          </w:p>
        </w:tc>
        <w:tc>
          <w:tcPr>
            <w:tcW w:w="2955" w:type="pct"/>
            <w:tcBorders>
              <w:top w:val="single" w:color="000000" w:sz="4" w:space="0"/>
              <w:left w:val="single" w:color="000000" w:sz="4" w:space="0"/>
              <w:bottom w:val="single" w:color="000000" w:sz="4" w:space="0"/>
            </w:tcBorders>
            <w:vAlign w:val="center"/>
          </w:tcPr>
          <w:p w14:paraId="2ED1F759">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相当于或优于</w:t>
            </w:r>
            <w:r>
              <w:rPr>
                <w:rFonts w:hint="eastAsia" w:ascii="宋体" w:hAnsi="宋体" w:eastAsia="宋体" w:cs="宋体"/>
                <w:color w:val="auto"/>
                <w:kern w:val="0"/>
                <w:szCs w:val="21"/>
                <w:highlight w:val="none"/>
                <w:lang w:val="en-US" w:eastAsia="zh-CN"/>
              </w:rPr>
              <w:t>福田牌</w:t>
            </w:r>
            <w:r>
              <w:rPr>
                <w:rFonts w:hint="eastAsia" w:ascii="宋体" w:hAnsi="宋体" w:eastAsia="宋体" w:cs="宋体"/>
                <w:color w:val="auto"/>
                <w:kern w:val="0"/>
                <w:szCs w:val="21"/>
                <w:highlight w:val="none"/>
              </w:rPr>
              <w:t>或江铃牌或东风牌</w:t>
            </w:r>
          </w:p>
        </w:tc>
      </w:tr>
      <w:tr w14:paraId="61BDE75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right w:val="single" w:color="000000" w:sz="4" w:space="0"/>
            </w:tcBorders>
            <w:vAlign w:val="center"/>
          </w:tcPr>
          <w:p w14:paraId="6CBF87A9">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6</w:t>
            </w:r>
          </w:p>
        </w:tc>
        <w:tc>
          <w:tcPr>
            <w:tcW w:w="442" w:type="pct"/>
            <w:vMerge w:val="continue"/>
            <w:tcBorders>
              <w:left w:val="single" w:color="000000" w:sz="4" w:space="0"/>
              <w:right w:val="single" w:color="auto" w:sz="4" w:space="0"/>
            </w:tcBorders>
            <w:vAlign w:val="center"/>
          </w:tcPr>
          <w:p w14:paraId="0FC54E53">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auto" w:sz="4" w:space="0"/>
              <w:bottom w:val="single" w:color="auto" w:sz="4" w:space="0"/>
              <w:right w:val="single" w:color="auto" w:sz="4" w:space="0"/>
            </w:tcBorders>
            <w:vAlign w:val="center"/>
          </w:tcPr>
          <w:p w14:paraId="013C1A1F">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发动机功率（kw）</w:t>
            </w:r>
          </w:p>
        </w:tc>
        <w:tc>
          <w:tcPr>
            <w:tcW w:w="2955" w:type="pct"/>
            <w:tcBorders>
              <w:top w:val="single" w:color="000000" w:sz="4" w:space="0"/>
              <w:left w:val="single" w:color="auto" w:sz="4" w:space="0"/>
              <w:bottom w:val="single" w:color="auto" w:sz="4" w:space="0"/>
            </w:tcBorders>
            <w:vAlign w:val="center"/>
          </w:tcPr>
          <w:p w14:paraId="71966737">
            <w:pPr>
              <w:autoSpaceDE w:val="0"/>
              <w:autoSpaceDN w:val="0"/>
              <w:adjustRightInd w:val="0"/>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≥85</w:t>
            </w:r>
          </w:p>
        </w:tc>
      </w:tr>
      <w:tr w14:paraId="7BAD7F7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right w:val="single" w:color="000000" w:sz="4" w:space="0"/>
            </w:tcBorders>
            <w:vAlign w:val="center"/>
          </w:tcPr>
          <w:p w14:paraId="479EFC62">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7</w:t>
            </w:r>
          </w:p>
        </w:tc>
        <w:tc>
          <w:tcPr>
            <w:tcW w:w="442" w:type="pct"/>
            <w:vMerge w:val="continue"/>
            <w:tcBorders>
              <w:left w:val="single" w:color="000000" w:sz="4" w:space="0"/>
              <w:right w:val="single" w:color="auto" w:sz="4" w:space="0"/>
            </w:tcBorders>
            <w:vAlign w:val="center"/>
          </w:tcPr>
          <w:p w14:paraId="7D87C33B">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auto" w:sz="4" w:space="0"/>
              <w:bottom w:val="single" w:color="auto" w:sz="4" w:space="0"/>
              <w:right w:val="single" w:color="auto" w:sz="4" w:space="0"/>
            </w:tcBorders>
            <w:vAlign w:val="center"/>
          </w:tcPr>
          <w:p w14:paraId="57A27868">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发动机扭矩</w:t>
            </w:r>
            <w:r>
              <w:rPr>
                <w:rFonts w:hint="eastAsia" w:ascii="宋体" w:hAnsi="宋体" w:eastAsia="宋体" w:cs="宋体"/>
                <w:color w:val="auto"/>
                <w:szCs w:val="21"/>
                <w:highlight w:val="none"/>
                <w:lang w:bidi="ar"/>
              </w:rPr>
              <w:t>（N·m）</w:t>
            </w:r>
          </w:p>
        </w:tc>
        <w:tc>
          <w:tcPr>
            <w:tcW w:w="2955" w:type="pct"/>
            <w:tcBorders>
              <w:top w:val="single" w:color="000000" w:sz="4" w:space="0"/>
              <w:left w:val="single" w:color="auto" w:sz="4" w:space="0"/>
              <w:bottom w:val="single" w:color="auto" w:sz="4" w:space="0"/>
            </w:tcBorders>
            <w:vAlign w:val="center"/>
          </w:tcPr>
          <w:p w14:paraId="2E5FFBC2">
            <w:pPr>
              <w:autoSpaceDE w:val="0"/>
              <w:autoSpaceDN w:val="0"/>
              <w:adjustRightInd w:val="0"/>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≥285</w:t>
            </w:r>
          </w:p>
        </w:tc>
      </w:tr>
      <w:tr w14:paraId="6DA8E00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vMerge w:val="restart"/>
            <w:tcBorders>
              <w:top w:val="single" w:color="000000" w:sz="4" w:space="0"/>
              <w:right w:val="single" w:color="000000" w:sz="4" w:space="0"/>
            </w:tcBorders>
            <w:vAlign w:val="center"/>
          </w:tcPr>
          <w:p w14:paraId="137B8C96">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8</w:t>
            </w:r>
          </w:p>
        </w:tc>
        <w:tc>
          <w:tcPr>
            <w:tcW w:w="442" w:type="pct"/>
            <w:vMerge w:val="continue"/>
            <w:tcBorders>
              <w:left w:val="single" w:color="000000" w:sz="4" w:space="0"/>
              <w:right w:val="single" w:color="auto" w:sz="4" w:space="0"/>
            </w:tcBorders>
            <w:vAlign w:val="center"/>
          </w:tcPr>
          <w:p w14:paraId="29ED30EC">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auto" w:sz="4" w:space="0"/>
              <w:bottom w:val="single" w:color="auto" w:sz="4" w:space="0"/>
              <w:right w:val="single" w:color="auto" w:sz="4" w:space="0"/>
            </w:tcBorders>
            <w:vAlign w:val="center"/>
          </w:tcPr>
          <w:p w14:paraId="0AEE0FBF">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车身长（mm）</w:t>
            </w:r>
          </w:p>
        </w:tc>
        <w:tc>
          <w:tcPr>
            <w:tcW w:w="2955" w:type="pct"/>
            <w:tcBorders>
              <w:top w:val="single" w:color="000000" w:sz="4" w:space="0"/>
              <w:left w:val="single" w:color="auto" w:sz="4" w:space="0"/>
              <w:bottom w:val="single" w:color="auto" w:sz="4" w:space="0"/>
            </w:tcBorders>
            <w:vAlign w:val="center"/>
          </w:tcPr>
          <w:p w14:paraId="282F2879">
            <w:pPr>
              <w:autoSpaceDE w:val="0"/>
              <w:autoSpaceDN w:val="0"/>
              <w:adjustRightInd w:val="0"/>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≤6000</w:t>
            </w:r>
          </w:p>
        </w:tc>
      </w:tr>
      <w:tr w14:paraId="454ABAB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vMerge w:val="continue"/>
            <w:tcBorders>
              <w:right w:val="single" w:color="000000" w:sz="4" w:space="0"/>
            </w:tcBorders>
            <w:vAlign w:val="center"/>
          </w:tcPr>
          <w:p w14:paraId="0CDC5EC9">
            <w:pPr>
              <w:spacing w:line="240" w:lineRule="auto"/>
              <w:contextualSpacing/>
              <w:jc w:val="center"/>
              <w:rPr>
                <w:rFonts w:ascii="宋体" w:hAnsi="宋体" w:eastAsia="宋体" w:cs="宋体"/>
                <w:color w:val="auto"/>
                <w:kern w:val="0"/>
                <w:szCs w:val="21"/>
                <w:highlight w:val="none"/>
              </w:rPr>
            </w:pPr>
          </w:p>
        </w:tc>
        <w:tc>
          <w:tcPr>
            <w:tcW w:w="442" w:type="pct"/>
            <w:vMerge w:val="continue"/>
            <w:tcBorders>
              <w:left w:val="single" w:color="000000" w:sz="4" w:space="0"/>
              <w:right w:val="single" w:color="auto" w:sz="4" w:space="0"/>
            </w:tcBorders>
            <w:vAlign w:val="center"/>
          </w:tcPr>
          <w:p w14:paraId="18F92212">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auto" w:sz="4" w:space="0"/>
              <w:bottom w:val="single" w:color="auto" w:sz="4" w:space="0"/>
              <w:right w:val="single" w:color="auto" w:sz="4" w:space="0"/>
            </w:tcBorders>
            <w:vAlign w:val="center"/>
          </w:tcPr>
          <w:p w14:paraId="09C605E6">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车身宽（mm）</w:t>
            </w:r>
          </w:p>
        </w:tc>
        <w:tc>
          <w:tcPr>
            <w:tcW w:w="2955" w:type="pct"/>
            <w:tcBorders>
              <w:top w:val="single" w:color="auto" w:sz="4" w:space="0"/>
              <w:left w:val="single" w:color="auto" w:sz="4" w:space="0"/>
              <w:bottom w:val="single" w:color="auto" w:sz="4" w:space="0"/>
            </w:tcBorders>
            <w:vAlign w:val="center"/>
          </w:tcPr>
          <w:p w14:paraId="6CE52ACC">
            <w:pPr>
              <w:autoSpaceDE w:val="0"/>
              <w:autoSpaceDN w:val="0"/>
              <w:adjustRightInd w:val="0"/>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50</w:t>
            </w:r>
          </w:p>
        </w:tc>
      </w:tr>
      <w:tr w14:paraId="068118B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vMerge w:val="continue"/>
            <w:tcBorders>
              <w:bottom w:val="single" w:color="000000" w:sz="4" w:space="0"/>
              <w:right w:val="single" w:color="000000" w:sz="4" w:space="0"/>
            </w:tcBorders>
            <w:vAlign w:val="center"/>
          </w:tcPr>
          <w:p w14:paraId="409FDEBC">
            <w:pPr>
              <w:spacing w:line="240" w:lineRule="auto"/>
              <w:contextualSpacing/>
              <w:jc w:val="center"/>
              <w:rPr>
                <w:rFonts w:ascii="宋体" w:hAnsi="宋体" w:eastAsia="宋体" w:cs="宋体"/>
                <w:color w:val="auto"/>
                <w:kern w:val="0"/>
                <w:szCs w:val="21"/>
                <w:highlight w:val="none"/>
              </w:rPr>
            </w:pPr>
          </w:p>
        </w:tc>
        <w:tc>
          <w:tcPr>
            <w:tcW w:w="442" w:type="pct"/>
            <w:vMerge w:val="continue"/>
            <w:tcBorders>
              <w:left w:val="single" w:color="000000" w:sz="4" w:space="0"/>
              <w:right w:val="single" w:color="auto" w:sz="4" w:space="0"/>
            </w:tcBorders>
            <w:vAlign w:val="center"/>
          </w:tcPr>
          <w:p w14:paraId="0177770C">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auto" w:sz="4" w:space="0"/>
              <w:bottom w:val="single" w:color="auto" w:sz="4" w:space="0"/>
              <w:right w:val="single" w:color="auto" w:sz="4" w:space="0"/>
            </w:tcBorders>
            <w:vAlign w:val="center"/>
          </w:tcPr>
          <w:p w14:paraId="7A132302">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车身高（mm）</w:t>
            </w:r>
          </w:p>
        </w:tc>
        <w:tc>
          <w:tcPr>
            <w:tcW w:w="2955" w:type="pct"/>
            <w:tcBorders>
              <w:top w:val="single" w:color="auto" w:sz="4" w:space="0"/>
              <w:left w:val="single" w:color="auto" w:sz="4" w:space="0"/>
              <w:bottom w:val="single" w:color="000000" w:sz="4" w:space="0"/>
            </w:tcBorders>
            <w:vAlign w:val="center"/>
          </w:tcPr>
          <w:p w14:paraId="11784A73">
            <w:pPr>
              <w:autoSpaceDE w:val="0"/>
              <w:autoSpaceDN w:val="0"/>
              <w:adjustRightInd w:val="0"/>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00</w:t>
            </w:r>
          </w:p>
        </w:tc>
      </w:tr>
      <w:tr w14:paraId="36015DB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vMerge w:val="restart"/>
            <w:tcBorders>
              <w:top w:val="single" w:color="000000" w:sz="4" w:space="0"/>
              <w:right w:val="single" w:color="000000" w:sz="4" w:space="0"/>
            </w:tcBorders>
            <w:vAlign w:val="center"/>
          </w:tcPr>
          <w:p w14:paraId="04C839C5">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9</w:t>
            </w:r>
          </w:p>
        </w:tc>
        <w:tc>
          <w:tcPr>
            <w:tcW w:w="442" w:type="pct"/>
            <w:vMerge w:val="continue"/>
            <w:tcBorders>
              <w:left w:val="single" w:color="000000" w:sz="4" w:space="0"/>
              <w:right w:val="single" w:color="000000" w:sz="4" w:space="0"/>
            </w:tcBorders>
            <w:vAlign w:val="center"/>
          </w:tcPr>
          <w:p w14:paraId="34CEC141">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000000" w:sz="4" w:space="0"/>
              <w:bottom w:val="single" w:color="000000" w:sz="4" w:space="0"/>
            </w:tcBorders>
            <w:vAlign w:val="center"/>
          </w:tcPr>
          <w:p w14:paraId="50F1215A">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货箱长（mm）</w:t>
            </w:r>
          </w:p>
        </w:tc>
        <w:tc>
          <w:tcPr>
            <w:tcW w:w="2955" w:type="pct"/>
            <w:tcBorders>
              <w:top w:val="single" w:color="000000" w:sz="4" w:space="0"/>
              <w:left w:val="single" w:color="000000" w:sz="4" w:space="0"/>
              <w:bottom w:val="single" w:color="000000" w:sz="4" w:space="0"/>
            </w:tcBorders>
            <w:vAlign w:val="center"/>
          </w:tcPr>
          <w:p w14:paraId="7ABA0A5A">
            <w:pPr>
              <w:kinsoku w:val="0"/>
              <w:autoSpaceDE w:val="0"/>
              <w:autoSpaceDN w:val="0"/>
              <w:adjustRightInd w:val="0"/>
              <w:snapToGrid w:val="0"/>
              <w:spacing w:line="240" w:lineRule="auto"/>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lang w:bidi="ar"/>
              </w:rPr>
              <w:t>≥2400</w:t>
            </w:r>
          </w:p>
        </w:tc>
      </w:tr>
      <w:tr w14:paraId="109C86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vMerge w:val="continue"/>
            <w:tcBorders>
              <w:right w:val="single" w:color="000000" w:sz="4" w:space="0"/>
            </w:tcBorders>
            <w:vAlign w:val="center"/>
          </w:tcPr>
          <w:p w14:paraId="4B0F50EA">
            <w:pPr>
              <w:spacing w:line="240" w:lineRule="auto"/>
              <w:contextualSpacing/>
              <w:jc w:val="center"/>
              <w:rPr>
                <w:rFonts w:ascii="宋体" w:hAnsi="宋体" w:eastAsia="宋体" w:cs="宋体"/>
                <w:color w:val="auto"/>
                <w:kern w:val="0"/>
                <w:szCs w:val="21"/>
                <w:highlight w:val="none"/>
              </w:rPr>
            </w:pPr>
          </w:p>
        </w:tc>
        <w:tc>
          <w:tcPr>
            <w:tcW w:w="442" w:type="pct"/>
            <w:vMerge w:val="continue"/>
            <w:tcBorders>
              <w:left w:val="single" w:color="000000" w:sz="4" w:space="0"/>
              <w:right w:val="single" w:color="000000" w:sz="4" w:space="0"/>
            </w:tcBorders>
            <w:vAlign w:val="center"/>
          </w:tcPr>
          <w:p w14:paraId="133D1486">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000000" w:sz="4" w:space="0"/>
              <w:bottom w:val="single" w:color="000000" w:sz="4" w:space="0"/>
            </w:tcBorders>
            <w:vAlign w:val="center"/>
          </w:tcPr>
          <w:p w14:paraId="19D472F4">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货箱宽（mm）</w:t>
            </w:r>
          </w:p>
        </w:tc>
        <w:tc>
          <w:tcPr>
            <w:tcW w:w="2955" w:type="pct"/>
            <w:tcBorders>
              <w:top w:val="single" w:color="000000" w:sz="4" w:space="0"/>
              <w:left w:val="single" w:color="000000" w:sz="4" w:space="0"/>
              <w:bottom w:val="single" w:color="000000" w:sz="4" w:space="0"/>
            </w:tcBorders>
            <w:vAlign w:val="center"/>
          </w:tcPr>
          <w:p w14:paraId="58DF6490">
            <w:pPr>
              <w:kinsoku w:val="0"/>
              <w:autoSpaceDE w:val="0"/>
              <w:autoSpaceDN w:val="0"/>
              <w:adjustRightInd w:val="0"/>
              <w:snapToGrid w:val="0"/>
              <w:spacing w:line="240" w:lineRule="auto"/>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lang w:bidi="ar"/>
              </w:rPr>
              <w:t>≥1900</w:t>
            </w:r>
          </w:p>
        </w:tc>
      </w:tr>
      <w:tr w14:paraId="6269BFC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vMerge w:val="continue"/>
            <w:tcBorders>
              <w:bottom w:val="single" w:color="000000" w:sz="4" w:space="0"/>
              <w:right w:val="single" w:color="000000" w:sz="4" w:space="0"/>
            </w:tcBorders>
            <w:vAlign w:val="center"/>
          </w:tcPr>
          <w:p w14:paraId="762E7F3A">
            <w:pPr>
              <w:spacing w:line="240" w:lineRule="auto"/>
              <w:contextualSpacing/>
              <w:jc w:val="center"/>
              <w:rPr>
                <w:rFonts w:ascii="宋体" w:hAnsi="宋体" w:eastAsia="宋体" w:cs="宋体"/>
                <w:color w:val="auto"/>
                <w:kern w:val="0"/>
                <w:szCs w:val="21"/>
                <w:highlight w:val="none"/>
              </w:rPr>
            </w:pPr>
          </w:p>
        </w:tc>
        <w:tc>
          <w:tcPr>
            <w:tcW w:w="442" w:type="pct"/>
            <w:vMerge w:val="continue"/>
            <w:tcBorders>
              <w:left w:val="single" w:color="000000" w:sz="4" w:space="0"/>
              <w:right w:val="single" w:color="000000" w:sz="4" w:space="0"/>
            </w:tcBorders>
            <w:vAlign w:val="center"/>
          </w:tcPr>
          <w:p w14:paraId="7D24BFD0">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000000" w:sz="4" w:space="0"/>
              <w:bottom w:val="single" w:color="000000" w:sz="4" w:space="0"/>
            </w:tcBorders>
            <w:vAlign w:val="center"/>
          </w:tcPr>
          <w:p w14:paraId="615B7531">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栏板高度（mm）</w:t>
            </w:r>
          </w:p>
        </w:tc>
        <w:tc>
          <w:tcPr>
            <w:tcW w:w="2955" w:type="pct"/>
            <w:tcBorders>
              <w:top w:val="single" w:color="000000" w:sz="4" w:space="0"/>
              <w:left w:val="single" w:color="000000" w:sz="4" w:space="0"/>
              <w:bottom w:val="single" w:color="000000" w:sz="4" w:space="0"/>
            </w:tcBorders>
            <w:vAlign w:val="center"/>
          </w:tcPr>
          <w:p w14:paraId="61C5CFBC">
            <w:pPr>
              <w:kinsoku w:val="0"/>
              <w:autoSpaceDE w:val="0"/>
              <w:autoSpaceDN w:val="0"/>
              <w:adjustRightInd w:val="0"/>
              <w:snapToGrid w:val="0"/>
              <w:spacing w:line="240" w:lineRule="auto"/>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lang w:bidi="ar"/>
              </w:rPr>
              <w:t>≥</w:t>
            </w:r>
            <w:r>
              <w:rPr>
                <w:rFonts w:ascii="宋体" w:hAnsi="宋体" w:eastAsia="宋体" w:cs="宋体"/>
                <w:color w:val="auto"/>
                <w:szCs w:val="21"/>
                <w:highlight w:val="none"/>
                <w:lang w:bidi="ar"/>
              </w:rPr>
              <w:t>35</w:t>
            </w:r>
            <w:r>
              <w:rPr>
                <w:rFonts w:hint="eastAsia" w:ascii="宋体" w:hAnsi="宋体" w:eastAsia="宋体" w:cs="宋体"/>
                <w:color w:val="auto"/>
                <w:szCs w:val="21"/>
                <w:highlight w:val="none"/>
                <w:lang w:bidi="ar"/>
              </w:rPr>
              <w:t>0</w:t>
            </w:r>
          </w:p>
        </w:tc>
      </w:tr>
      <w:tr w14:paraId="1A73F51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03342857">
            <w:pPr>
              <w:spacing w:line="240" w:lineRule="auto"/>
              <w:contextualSpacing/>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0</w:t>
            </w:r>
          </w:p>
        </w:tc>
        <w:tc>
          <w:tcPr>
            <w:tcW w:w="442" w:type="pct"/>
            <w:vMerge w:val="continue"/>
            <w:tcBorders>
              <w:left w:val="single" w:color="000000" w:sz="4" w:space="0"/>
              <w:right w:val="single" w:color="000000" w:sz="4" w:space="0"/>
            </w:tcBorders>
            <w:vAlign w:val="center"/>
          </w:tcPr>
          <w:p w14:paraId="45F2935D">
            <w:pPr>
              <w:spacing w:line="240" w:lineRule="auto"/>
              <w:contextualSpacing/>
              <w:jc w:val="center"/>
              <w:rPr>
                <w:rFonts w:ascii="宋体" w:hAnsi="宋体" w:eastAsia="宋体" w:cs="宋体"/>
                <w:color w:val="auto"/>
                <w:kern w:val="0"/>
                <w:szCs w:val="21"/>
                <w:highlight w:val="none"/>
              </w:rPr>
            </w:pPr>
          </w:p>
        </w:tc>
        <w:tc>
          <w:tcPr>
            <w:tcW w:w="1299" w:type="pct"/>
            <w:tcBorders>
              <w:top w:val="single" w:color="auto" w:sz="4" w:space="0"/>
              <w:left w:val="single" w:color="000000" w:sz="4" w:space="0"/>
              <w:bottom w:val="single" w:color="000000" w:sz="4" w:space="0"/>
            </w:tcBorders>
            <w:vAlign w:val="center"/>
          </w:tcPr>
          <w:p w14:paraId="5F119BB5">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刹车防抱死功能</w:t>
            </w:r>
          </w:p>
        </w:tc>
        <w:tc>
          <w:tcPr>
            <w:tcW w:w="2955" w:type="pct"/>
            <w:tcBorders>
              <w:top w:val="single" w:color="000000" w:sz="4" w:space="0"/>
              <w:left w:val="single" w:color="000000" w:sz="4" w:space="0"/>
              <w:bottom w:val="single" w:color="000000" w:sz="4" w:space="0"/>
            </w:tcBorders>
            <w:vAlign w:val="center"/>
          </w:tcPr>
          <w:p w14:paraId="72E37696">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具备</w:t>
            </w:r>
          </w:p>
        </w:tc>
      </w:tr>
      <w:tr w14:paraId="0BD8978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68FA052F">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w:t>
            </w:r>
          </w:p>
        </w:tc>
        <w:tc>
          <w:tcPr>
            <w:tcW w:w="442" w:type="pct"/>
            <w:vMerge w:val="continue"/>
            <w:tcBorders>
              <w:left w:val="single" w:color="000000" w:sz="4" w:space="0"/>
              <w:right w:val="single" w:color="000000" w:sz="4" w:space="0"/>
            </w:tcBorders>
            <w:vAlign w:val="center"/>
          </w:tcPr>
          <w:p w14:paraId="2C335048">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50640AB3">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额定载客人数（含驾驶员）</w:t>
            </w:r>
          </w:p>
        </w:tc>
        <w:tc>
          <w:tcPr>
            <w:tcW w:w="2955" w:type="pct"/>
            <w:tcBorders>
              <w:top w:val="single" w:color="000000" w:sz="4" w:space="0"/>
              <w:left w:val="single" w:color="000000" w:sz="4" w:space="0"/>
              <w:bottom w:val="single" w:color="000000" w:sz="4" w:space="0"/>
            </w:tcBorders>
            <w:vAlign w:val="center"/>
          </w:tcPr>
          <w:p w14:paraId="6E9CE6EA">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≥2+3（人）</w:t>
            </w:r>
          </w:p>
        </w:tc>
      </w:tr>
      <w:tr w14:paraId="72FFFFC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24C53006">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2</w:t>
            </w:r>
          </w:p>
        </w:tc>
        <w:tc>
          <w:tcPr>
            <w:tcW w:w="442" w:type="pct"/>
            <w:vMerge w:val="continue"/>
            <w:tcBorders>
              <w:left w:val="single" w:color="000000" w:sz="4" w:space="0"/>
              <w:right w:val="single" w:color="000000" w:sz="4" w:space="0"/>
            </w:tcBorders>
            <w:vAlign w:val="center"/>
          </w:tcPr>
          <w:p w14:paraId="75B56174">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63379925">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驱动方式</w:t>
            </w:r>
          </w:p>
        </w:tc>
        <w:tc>
          <w:tcPr>
            <w:tcW w:w="2955" w:type="pct"/>
            <w:tcBorders>
              <w:top w:val="single" w:color="000000" w:sz="4" w:space="0"/>
              <w:left w:val="single" w:color="000000" w:sz="4" w:space="0"/>
              <w:bottom w:val="single" w:color="000000" w:sz="4" w:space="0"/>
            </w:tcBorders>
            <w:vAlign w:val="center"/>
          </w:tcPr>
          <w:p w14:paraId="63C963FA">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后驱（4*2）</w:t>
            </w:r>
          </w:p>
        </w:tc>
      </w:tr>
      <w:tr w14:paraId="2F9C000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3ADF64B3">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3</w:t>
            </w:r>
          </w:p>
        </w:tc>
        <w:tc>
          <w:tcPr>
            <w:tcW w:w="442" w:type="pct"/>
            <w:vMerge w:val="continue"/>
            <w:tcBorders>
              <w:left w:val="single" w:color="000000" w:sz="4" w:space="0"/>
              <w:right w:val="single" w:color="000000" w:sz="4" w:space="0"/>
            </w:tcBorders>
            <w:vAlign w:val="center"/>
          </w:tcPr>
          <w:p w14:paraId="6810AC7F">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4D116C5F">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倒车影像和雷达</w:t>
            </w:r>
          </w:p>
        </w:tc>
        <w:tc>
          <w:tcPr>
            <w:tcW w:w="2955" w:type="pct"/>
            <w:tcBorders>
              <w:top w:val="single" w:color="000000" w:sz="4" w:space="0"/>
              <w:left w:val="single" w:color="000000" w:sz="4" w:space="0"/>
              <w:bottom w:val="single" w:color="000000" w:sz="4" w:space="0"/>
            </w:tcBorders>
            <w:vAlign w:val="center"/>
          </w:tcPr>
          <w:p w14:paraId="31307649">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配置，缓冲垫收起和放下两种状态均可使用</w:t>
            </w:r>
          </w:p>
        </w:tc>
      </w:tr>
      <w:tr w14:paraId="58C2465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4755475D">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4</w:t>
            </w:r>
          </w:p>
        </w:tc>
        <w:tc>
          <w:tcPr>
            <w:tcW w:w="442" w:type="pct"/>
            <w:vMerge w:val="continue"/>
            <w:tcBorders>
              <w:left w:val="single" w:color="000000" w:sz="4" w:space="0"/>
              <w:right w:val="single" w:color="000000" w:sz="4" w:space="0"/>
            </w:tcBorders>
            <w:vAlign w:val="center"/>
          </w:tcPr>
          <w:p w14:paraId="0C60E466">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54CE6D03">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车内中控锁</w:t>
            </w:r>
          </w:p>
        </w:tc>
        <w:tc>
          <w:tcPr>
            <w:tcW w:w="2955" w:type="pct"/>
            <w:tcBorders>
              <w:top w:val="single" w:color="000000" w:sz="4" w:space="0"/>
              <w:left w:val="single" w:color="000000" w:sz="4" w:space="0"/>
              <w:bottom w:val="single" w:color="000000" w:sz="4" w:space="0"/>
            </w:tcBorders>
            <w:vAlign w:val="center"/>
          </w:tcPr>
          <w:p w14:paraId="28133B32">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w:t>
            </w:r>
          </w:p>
        </w:tc>
      </w:tr>
      <w:tr w14:paraId="4FAF66C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02F9A6F8">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5</w:t>
            </w:r>
          </w:p>
        </w:tc>
        <w:tc>
          <w:tcPr>
            <w:tcW w:w="442" w:type="pct"/>
            <w:vMerge w:val="restart"/>
            <w:tcBorders>
              <w:top w:val="single" w:color="000000" w:sz="4" w:space="0"/>
              <w:left w:val="single" w:color="000000" w:sz="4" w:space="0"/>
              <w:right w:val="single" w:color="000000" w:sz="4" w:space="0"/>
            </w:tcBorders>
            <w:vAlign w:val="center"/>
          </w:tcPr>
          <w:p w14:paraId="04721AF0">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防撞单元</w:t>
            </w:r>
          </w:p>
        </w:tc>
        <w:tc>
          <w:tcPr>
            <w:tcW w:w="1299" w:type="pct"/>
            <w:tcBorders>
              <w:top w:val="single" w:color="000000" w:sz="4" w:space="0"/>
              <w:left w:val="single" w:color="000000" w:sz="4" w:space="0"/>
              <w:bottom w:val="single" w:color="000000" w:sz="4" w:space="0"/>
            </w:tcBorders>
            <w:vAlign w:val="center"/>
          </w:tcPr>
          <w:p w14:paraId="5613850B">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防撞包寿命</w:t>
            </w:r>
          </w:p>
        </w:tc>
        <w:tc>
          <w:tcPr>
            <w:tcW w:w="2955" w:type="pct"/>
            <w:tcBorders>
              <w:top w:val="single" w:color="000000" w:sz="4" w:space="0"/>
              <w:left w:val="single" w:color="000000" w:sz="4" w:space="0"/>
              <w:bottom w:val="single" w:color="000000" w:sz="4" w:space="0"/>
            </w:tcBorders>
            <w:vAlign w:val="center"/>
          </w:tcPr>
          <w:p w14:paraId="4308C0BA">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≥5年</w:t>
            </w:r>
          </w:p>
        </w:tc>
      </w:tr>
      <w:tr w14:paraId="4EC6B82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2E358497">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6</w:t>
            </w:r>
          </w:p>
        </w:tc>
        <w:tc>
          <w:tcPr>
            <w:tcW w:w="442" w:type="pct"/>
            <w:vMerge w:val="continue"/>
            <w:tcBorders>
              <w:left w:val="single" w:color="000000" w:sz="4" w:space="0"/>
              <w:right w:val="single" w:color="000000" w:sz="4" w:space="0"/>
            </w:tcBorders>
            <w:vAlign w:val="center"/>
          </w:tcPr>
          <w:p w14:paraId="77602124">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71BB943D">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★防撞</w:t>
            </w:r>
            <w:r>
              <w:rPr>
                <w:rFonts w:hint="eastAsia" w:ascii="宋体" w:hAnsi="宋体" w:eastAsia="宋体" w:cs="宋体"/>
                <w:color w:val="auto"/>
                <w:kern w:val="0"/>
                <w:sz w:val="24"/>
                <w:szCs w:val="24"/>
                <w:highlight w:val="none"/>
              </w:rPr>
              <w:t>缓冲等级</w:t>
            </w:r>
          </w:p>
        </w:tc>
        <w:tc>
          <w:tcPr>
            <w:tcW w:w="2955" w:type="pct"/>
            <w:tcBorders>
              <w:top w:val="single" w:color="000000" w:sz="4" w:space="0"/>
              <w:left w:val="single" w:color="000000" w:sz="4" w:space="0"/>
              <w:bottom w:val="single" w:color="000000" w:sz="4" w:space="0"/>
            </w:tcBorders>
            <w:vAlign w:val="center"/>
          </w:tcPr>
          <w:p w14:paraId="0E55FBE1">
            <w:pPr>
              <w:autoSpaceDE w:val="0"/>
              <w:autoSpaceDN w:val="0"/>
              <w:adjustRightInd w:val="0"/>
              <w:spacing w:line="240" w:lineRule="auto"/>
              <w:contextualSpacing/>
              <w:jc w:val="center"/>
              <w:rPr>
                <w:rFonts w:ascii="宋体" w:hAnsi="宋体" w:eastAsia="宋体" w:cs="宋体"/>
                <w:color w:val="auto"/>
                <w:kern w:val="0"/>
                <w:szCs w:val="21"/>
                <w:highlight w:val="none"/>
              </w:rPr>
            </w:pPr>
            <w:r>
              <w:rPr>
                <w:rFonts w:ascii="宋体" w:hAnsi="宋体" w:eastAsia="宋体" w:cs="宋体"/>
                <w:color w:val="auto"/>
                <w:kern w:val="0"/>
                <w:szCs w:val="21"/>
                <w:highlight w:val="none"/>
              </w:rPr>
              <w:t>1100-</w:t>
            </w:r>
            <w:r>
              <w:rPr>
                <w:rFonts w:hint="eastAsia" w:ascii="宋体" w:hAnsi="宋体" w:eastAsia="宋体" w:cs="宋体"/>
                <w:color w:val="auto"/>
                <w:kern w:val="0"/>
                <w:szCs w:val="21"/>
                <w:highlight w:val="none"/>
              </w:rPr>
              <w:t>2270kg——≥80 km/h</w:t>
            </w:r>
          </w:p>
          <w:p w14:paraId="667D782D">
            <w:pPr>
              <w:autoSpaceDE w:val="0"/>
              <w:autoSpaceDN w:val="0"/>
              <w:adjustRightInd w:val="0"/>
              <w:spacing w:line="240" w:lineRule="auto"/>
              <w:ind w:right="-26"/>
              <w:contextualSpacing/>
              <w:jc w:val="center"/>
              <w:rPr>
                <w:rFonts w:ascii="宋体" w:hAnsi="宋体" w:eastAsia="宋体" w:cs="宋体"/>
                <w:b/>
                <w:bCs/>
                <w:color w:val="auto"/>
                <w:kern w:val="0"/>
                <w:szCs w:val="21"/>
                <w:highlight w:val="none"/>
                <w:lang w:val="zh-CN"/>
              </w:rPr>
            </w:pPr>
            <w:r>
              <w:rPr>
                <w:rFonts w:hint="eastAsia" w:ascii="宋体" w:hAnsi="宋体" w:eastAsia="宋体" w:cs="宋体"/>
                <w:color w:val="auto"/>
                <w:kern w:val="0"/>
                <w:szCs w:val="21"/>
                <w:highlight w:val="none"/>
              </w:rPr>
              <w:t>（碰撞体质量——碰撞体时速）</w:t>
            </w:r>
          </w:p>
        </w:tc>
      </w:tr>
      <w:tr w14:paraId="4C5BE2D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4D0C732E">
            <w:pPr>
              <w:spacing w:line="240" w:lineRule="auto"/>
              <w:contextualSpacing/>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w:t>
            </w:r>
          </w:p>
        </w:tc>
        <w:tc>
          <w:tcPr>
            <w:tcW w:w="442" w:type="pct"/>
            <w:vMerge w:val="continue"/>
            <w:tcBorders>
              <w:left w:val="single" w:color="000000" w:sz="4" w:space="0"/>
              <w:right w:val="single" w:color="000000" w:sz="4" w:space="0"/>
            </w:tcBorders>
            <w:vAlign w:val="center"/>
          </w:tcPr>
          <w:p w14:paraId="4B2E6DB1">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76206FD9">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缓冲垫控制系统</w:t>
            </w:r>
          </w:p>
        </w:tc>
        <w:tc>
          <w:tcPr>
            <w:tcW w:w="2955" w:type="pct"/>
            <w:tcBorders>
              <w:top w:val="single" w:color="000000" w:sz="4" w:space="0"/>
              <w:left w:val="single" w:color="000000" w:sz="4" w:space="0"/>
              <w:bottom w:val="single" w:color="000000" w:sz="4" w:space="0"/>
            </w:tcBorders>
            <w:vAlign w:val="center"/>
          </w:tcPr>
          <w:p w14:paraId="4C7C82A7">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驾驶室控制和无线遥控</w:t>
            </w:r>
          </w:p>
        </w:tc>
      </w:tr>
      <w:tr w14:paraId="05560E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4103489F">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18</w:t>
            </w:r>
          </w:p>
        </w:tc>
        <w:tc>
          <w:tcPr>
            <w:tcW w:w="442" w:type="pct"/>
            <w:vMerge w:val="continue"/>
            <w:tcBorders>
              <w:left w:val="single" w:color="000000" w:sz="4" w:space="0"/>
              <w:right w:val="single" w:color="000000" w:sz="4" w:space="0"/>
            </w:tcBorders>
            <w:vAlign w:val="center"/>
          </w:tcPr>
          <w:p w14:paraId="297CFBB5">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1CA3CEBB">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缓冲垫翻转形式</w:t>
            </w:r>
          </w:p>
        </w:tc>
        <w:tc>
          <w:tcPr>
            <w:tcW w:w="2955" w:type="pct"/>
            <w:tcBorders>
              <w:top w:val="single" w:color="000000" w:sz="4" w:space="0"/>
              <w:left w:val="single" w:color="000000" w:sz="4" w:space="0"/>
              <w:bottom w:val="single" w:color="000000" w:sz="4" w:space="0"/>
            </w:tcBorders>
            <w:vAlign w:val="center"/>
          </w:tcPr>
          <w:p w14:paraId="087AA376">
            <w:pPr>
              <w:spacing w:line="240" w:lineRule="auto"/>
              <w:contextualSpacing/>
              <w:jc w:val="center"/>
              <w:rPr>
                <w:rFonts w:ascii="宋体" w:hAnsi="宋体" w:eastAsia="宋体" w:cs="宋体"/>
                <w:color w:val="auto"/>
                <w:szCs w:val="21"/>
                <w:highlight w:val="none"/>
                <w:lang w:bidi="ar"/>
              </w:rPr>
            </w:pPr>
            <w:r>
              <w:rPr>
                <w:rFonts w:hint="eastAsia" w:ascii="宋体" w:hAnsi="宋体" w:eastAsia="宋体" w:cs="宋体"/>
                <w:color w:val="auto"/>
                <w:kern w:val="0"/>
                <w:szCs w:val="21"/>
                <w:highlight w:val="none"/>
              </w:rPr>
              <w:t>上下翻转，翻转角度为90</w:t>
            </w:r>
            <w:r>
              <w:rPr>
                <w:rFonts w:hint="eastAsia" w:ascii="宋体" w:hAnsi="宋体" w:eastAsia="宋体" w:cs="宋体"/>
                <w:color w:val="auto"/>
                <w:szCs w:val="21"/>
                <w:highlight w:val="none"/>
                <w:lang w:bidi="ar"/>
              </w:rPr>
              <w:t>°。</w:t>
            </w:r>
          </w:p>
          <w:p w14:paraId="76334DF7">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bidi="ar"/>
              </w:rPr>
              <w:t>上翻最大角度为与地面垂直，下翻最大角度为与地面平行。</w:t>
            </w:r>
          </w:p>
        </w:tc>
      </w:tr>
      <w:tr w14:paraId="7A20B63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597F3994">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19</w:t>
            </w:r>
          </w:p>
        </w:tc>
        <w:tc>
          <w:tcPr>
            <w:tcW w:w="442" w:type="pct"/>
            <w:vMerge w:val="continue"/>
            <w:tcBorders>
              <w:left w:val="single" w:color="000000" w:sz="4" w:space="0"/>
              <w:right w:val="single" w:color="000000" w:sz="4" w:space="0"/>
            </w:tcBorders>
            <w:vAlign w:val="center"/>
          </w:tcPr>
          <w:p w14:paraId="28C307F1">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1F15CDF7">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缓冲垫驱动系统</w:t>
            </w:r>
          </w:p>
        </w:tc>
        <w:tc>
          <w:tcPr>
            <w:tcW w:w="2955" w:type="pct"/>
            <w:tcBorders>
              <w:top w:val="single" w:color="000000" w:sz="4" w:space="0"/>
              <w:left w:val="single" w:color="000000" w:sz="4" w:space="0"/>
              <w:bottom w:val="single" w:color="000000" w:sz="4" w:space="0"/>
            </w:tcBorders>
            <w:vAlign w:val="center"/>
          </w:tcPr>
          <w:p w14:paraId="71D359AA">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独立液压</w:t>
            </w:r>
          </w:p>
          <w:p w14:paraId="605E8C76">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（车辆行驶过程中可操控）</w:t>
            </w:r>
          </w:p>
        </w:tc>
      </w:tr>
      <w:tr w14:paraId="0774D5B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2768489E">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0</w:t>
            </w:r>
          </w:p>
        </w:tc>
        <w:tc>
          <w:tcPr>
            <w:tcW w:w="442" w:type="pct"/>
            <w:vMerge w:val="continue"/>
            <w:tcBorders>
              <w:left w:val="single" w:color="000000" w:sz="4" w:space="0"/>
              <w:right w:val="single" w:color="000000" w:sz="4" w:space="0"/>
            </w:tcBorders>
            <w:vAlign w:val="center"/>
          </w:tcPr>
          <w:p w14:paraId="0593A258">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65006FBD">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▲有效吸能长度（mm）</w:t>
            </w:r>
          </w:p>
        </w:tc>
        <w:tc>
          <w:tcPr>
            <w:tcW w:w="2955" w:type="pct"/>
            <w:tcBorders>
              <w:top w:val="single" w:color="000000" w:sz="4" w:space="0"/>
              <w:left w:val="single" w:color="000000" w:sz="4" w:space="0"/>
              <w:bottom w:val="single" w:color="000000" w:sz="4" w:space="0"/>
            </w:tcBorders>
            <w:vAlign w:val="center"/>
          </w:tcPr>
          <w:p w14:paraId="050EC5FB">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≤2100</w:t>
            </w:r>
          </w:p>
        </w:tc>
      </w:tr>
      <w:tr w14:paraId="274783D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6D922620">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1</w:t>
            </w:r>
          </w:p>
        </w:tc>
        <w:tc>
          <w:tcPr>
            <w:tcW w:w="442" w:type="pct"/>
            <w:vMerge w:val="continue"/>
            <w:tcBorders>
              <w:left w:val="single" w:color="000000" w:sz="4" w:space="0"/>
              <w:right w:val="single" w:color="000000" w:sz="4" w:space="0"/>
            </w:tcBorders>
            <w:vAlign w:val="center"/>
          </w:tcPr>
          <w:p w14:paraId="224134DC">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6BA918FF">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防撞垫宽度（mm）</w:t>
            </w:r>
          </w:p>
        </w:tc>
        <w:tc>
          <w:tcPr>
            <w:tcW w:w="2955" w:type="pct"/>
            <w:tcBorders>
              <w:top w:val="single" w:color="000000" w:sz="4" w:space="0"/>
              <w:left w:val="single" w:color="000000" w:sz="4" w:space="0"/>
              <w:bottom w:val="single" w:color="000000" w:sz="4" w:space="0"/>
            </w:tcBorders>
            <w:vAlign w:val="center"/>
          </w:tcPr>
          <w:p w14:paraId="4D9B249C">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ascii="宋体" w:hAnsi="宋体" w:eastAsia="宋体" w:cs="宋体"/>
                <w:color w:val="auto"/>
                <w:kern w:val="0"/>
                <w:szCs w:val="21"/>
                <w:highlight w:val="none"/>
              </w:rPr>
              <w:t>19</w:t>
            </w:r>
            <w:r>
              <w:rPr>
                <w:rFonts w:hint="eastAsia" w:ascii="宋体" w:hAnsi="宋体" w:eastAsia="宋体" w:cs="宋体"/>
                <w:color w:val="auto"/>
                <w:kern w:val="0"/>
                <w:szCs w:val="21"/>
                <w:highlight w:val="none"/>
              </w:rPr>
              <w:t>00</w:t>
            </w:r>
          </w:p>
        </w:tc>
      </w:tr>
      <w:tr w14:paraId="1DEAAA1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2049A961">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2</w:t>
            </w:r>
          </w:p>
        </w:tc>
        <w:tc>
          <w:tcPr>
            <w:tcW w:w="442" w:type="pct"/>
            <w:vMerge w:val="continue"/>
            <w:tcBorders>
              <w:left w:val="single" w:color="000000" w:sz="4" w:space="0"/>
              <w:right w:val="single" w:color="000000" w:sz="4" w:space="0"/>
            </w:tcBorders>
            <w:vAlign w:val="center"/>
          </w:tcPr>
          <w:p w14:paraId="51718401">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438E3EB7">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▲缓冲垫厚度（mm）</w:t>
            </w:r>
          </w:p>
        </w:tc>
        <w:tc>
          <w:tcPr>
            <w:tcW w:w="2955" w:type="pct"/>
            <w:tcBorders>
              <w:top w:val="single" w:color="000000" w:sz="4" w:space="0"/>
              <w:left w:val="single" w:color="000000" w:sz="4" w:space="0"/>
              <w:bottom w:val="single" w:color="000000" w:sz="4" w:space="0"/>
            </w:tcBorders>
            <w:vAlign w:val="center"/>
          </w:tcPr>
          <w:p w14:paraId="16581C0A">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59</w:t>
            </w:r>
            <w:r>
              <w:rPr>
                <w:rFonts w:hint="eastAsia" w:ascii="宋体" w:hAnsi="宋体" w:eastAsia="宋体" w:cs="宋体"/>
                <w:color w:val="auto"/>
                <w:kern w:val="0"/>
                <w:szCs w:val="21"/>
                <w:highlight w:val="none"/>
              </w:rPr>
              <w:t>0</w:t>
            </w:r>
          </w:p>
        </w:tc>
      </w:tr>
      <w:tr w14:paraId="6624571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0E47D5EF">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3</w:t>
            </w:r>
          </w:p>
        </w:tc>
        <w:tc>
          <w:tcPr>
            <w:tcW w:w="442" w:type="pct"/>
            <w:vMerge w:val="continue"/>
            <w:tcBorders>
              <w:left w:val="single" w:color="000000" w:sz="4" w:space="0"/>
              <w:right w:val="single" w:color="000000" w:sz="4" w:space="0"/>
            </w:tcBorders>
            <w:vAlign w:val="center"/>
          </w:tcPr>
          <w:p w14:paraId="2E719B77">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36458D60">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缓冲垫离地间隙（mm）</w:t>
            </w:r>
          </w:p>
        </w:tc>
        <w:tc>
          <w:tcPr>
            <w:tcW w:w="2955" w:type="pct"/>
            <w:tcBorders>
              <w:top w:val="single" w:color="000000" w:sz="4" w:space="0"/>
              <w:left w:val="single" w:color="000000" w:sz="4" w:space="0"/>
              <w:bottom w:val="single" w:color="000000" w:sz="4" w:space="0"/>
            </w:tcBorders>
            <w:vAlign w:val="center"/>
          </w:tcPr>
          <w:p w14:paraId="5E150DBB">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工作状态时离地间隙介于200-300</w:t>
            </w:r>
          </w:p>
        </w:tc>
      </w:tr>
      <w:tr w14:paraId="5BF4398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6DDEA96E">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4</w:t>
            </w:r>
          </w:p>
        </w:tc>
        <w:tc>
          <w:tcPr>
            <w:tcW w:w="442" w:type="pct"/>
            <w:vMerge w:val="restart"/>
            <w:tcBorders>
              <w:top w:val="single" w:color="000000" w:sz="4" w:space="0"/>
              <w:left w:val="single" w:color="000000" w:sz="4" w:space="0"/>
              <w:right w:val="single" w:color="000000" w:sz="4" w:space="0"/>
            </w:tcBorders>
            <w:vAlign w:val="center"/>
          </w:tcPr>
          <w:p w14:paraId="02461F18">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安全性配置</w:t>
            </w:r>
          </w:p>
        </w:tc>
        <w:tc>
          <w:tcPr>
            <w:tcW w:w="1299" w:type="pct"/>
            <w:tcBorders>
              <w:top w:val="single" w:color="000000" w:sz="4" w:space="0"/>
              <w:left w:val="single" w:color="000000" w:sz="4" w:space="0"/>
              <w:bottom w:val="single" w:color="000000" w:sz="4" w:space="0"/>
            </w:tcBorders>
            <w:vAlign w:val="center"/>
          </w:tcPr>
          <w:p w14:paraId="4D1DC471">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大型电子安全导向牌</w:t>
            </w:r>
          </w:p>
        </w:tc>
        <w:tc>
          <w:tcPr>
            <w:tcW w:w="2955" w:type="pct"/>
            <w:tcBorders>
              <w:top w:val="single" w:color="000000" w:sz="4" w:space="0"/>
              <w:left w:val="single" w:color="000000" w:sz="4" w:space="0"/>
              <w:bottom w:val="single" w:color="000000" w:sz="4" w:space="0"/>
            </w:tcBorders>
            <w:vAlign w:val="center"/>
          </w:tcPr>
          <w:p w14:paraId="49C07A5F">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导向灯组可遥控操作，可显示多种明确的指向标记，包括但不限于：向左改道、向右改道、禁止通行等。</w:t>
            </w:r>
          </w:p>
        </w:tc>
      </w:tr>
      <w:tr w14:paraId="7E36D46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6AA1547B">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5</w:t>
            </w:r>
          </w:p>
        </w:tc>
        <w:tc>
          <w:tcPr>
            <w:tcW w:w="442" w:type="pct"/>
            <w:vMerge w:val="continue"/>
            <w:tcBorders>
              <w:left w:val="single" w:color="000000" w:sz="4" w:space="0"/>
              <w:right w:val="single" w:color="000000" w:sz="4" w:space="0"/>
            </w:tcBorders>
            <w:vAlign w:val="center"/>
          </w:tcPr>
          <w:p w14:paraId="300C4790">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557A92B5">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配重块</w:t>
            </w:r>
          </w:p>
        </w:tc>
        <w:tc>
          <w:tcPr>
            <w:tcW w:w="2955" w:type="pct"/>
            <w:tcBorders>
              <w:top w:val="single" w:color="000000" w:sz="4" w:space="0"/>
              <w:left w:val="single" w:color="000000" w:sz="4" w:space="0"/>
              <w:bottom w:val="single" w:color="000000" w:sz="4" w:space="0"/>
            </w:tcBorders>
            <w:vAlign w:val="center"/>
          </w:tcPr>
          <w:p w14:paraId="35AE956B">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结合车辆本体自重和防撞等级要求，应配置适量配重块。</w:t>
            </w:r>
          </w:p>
        </w:tc>
      </w:tr>
      <w:tr w14:paraId="38B1B8C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363CE24C">
            <w:pPr>
              <w:spacing w:line="240" w:lineRule="auto"/>
              <w:contextualSpacing/>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26</w:t>
            </w:r>
          </w:p>
        </w:tc>
        <w:tc>
          <w:tcPr>
            <w:tcW w:w="442" w:type="pct"/>
            <w:vMerge w:val="continue"/>
            <w:tcBorders>
              <w:left w:val="single" w:color="000000" w:sz="4" w:space="0"/>
              <w:right w:val="single" w:color="000000" w:sz="4" w:space="0"/>
            </w:tcBorders>
            <w:vAlign w:val="center"/>
          </w:tcPr>
          <w:p w14:paraId="339DAB90">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7520A478">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★预警功能</w:t>
            </w:r>
          </w:p>
        </w:tc>
        <w:tc>
          <w:tcPr>
            <w:tcW w:w="2955" w:type="pct"/>
            <w:tcBorders>
              <w:top w:val="single" w:color="000000" w:sz="4" w:space="0"/>
              <w:left w:val="single" w:color="000000" w:sz="4" w:space="0"/>
              <w:bottom w:val="single" w:color="000000" w:sz="4" w:space="0"/>
            </w:tcBorders>
            <w:vAlign w:val="center"/>
          </w:tcPr>
          <w:p w14:paraId="338248F3">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预警设备可与高德或百度地图联网，产品测距范围≥250m，具有声光双重预警，且含两种灯光预警模式，即常亮和闪亮</w:t>
            </w:r>
            <w:r>
              <w:rPr>
                <w:rFonts w:hint="eastAsia" w:ascii="宋体" w:hAnsi="宋体" w:eastAsia="宋体" w:cs="Times New Roman"/>
                <w:color w:val="auto"/>
                <w:kern w:val="0"/>
                <w:szCs w:val="21"/>
                <w:highlight w:val="none"/>
              </w:rPr>
              <w:t>两种警示方式</w:t>
            </w:r>
            <w:r>
              <w:rPr>
                <w:rFonts w:hint="eastAsia" w:ascii="宋体" w:hAnsi="宋体" w:eastAsia="宋体" w:cs="宋体"/>
                <w:color w:val="auto"/>
                <w:kern w:val="0"/>
                <w:szCs w:val="21"/>
                <w:highlight w:val="none"/>
              </w:rPr>
              <w:t>。</w:t>
            </w:r>
          </w:p>
        </w:tc>
      </w:tr>
      <w:tr w14:paraId="183656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51007CA7">
            <w:pPr>
              <w:spacing w:line="240" w:lineRule="auto"/>
              <w:contextualSpacing/>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27</w:t>
            </w:r>
          </w:p>
        </w:tc>
        <w:tc>
          <w:tcPr>
            <w:tcW w:w="442" w:type="pct"/>
            <w:vMerge w:val="continue"/>
            <w:tcBorders>
              <w:left w:val="single" w:color="000000" w:sz="4" w:space="0"/>
              <w:right w:val="single" w:color="000000" w:sz="4" w:space="0"/>
            </w:tcBorders>
            <w:vAlign w:val="center"/>
          </w:tcPr>
          <w:p w14:paraId="04961D04">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6271AE21">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倒车雷达</w:t>
            </w:r>
          </w:p>
        </w:tc>
        <w:tc>
          <w:tcPr>
            <w:tcW w:w="2955" w:type="pct"/>
            <w:tcBorders>
              <w:top w:val="single" w:color="000000" w:sz="4" w:space="0"/>
              <w:left w:val="single" w:color="000000" w:sz="4" w:space="0"/>
              <w:bottom w:val="single" w:color="000000" w:sz="4" w:space="0"/>
            </w:tcBorders>
            <w:vAlign w:val="center"/>
          </w:tcPr>
          <w:p w14:paraId="5098BA1B">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w:t>
            </w:r>
          </w:p>
        </w:tc>
      </w:tr>
      <w:tr w14:paraId="6F534BA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46E85CC6">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28</w:t>
            </w:r>
          </w:p>
        </w:tc>
        <w:tc>
          <w:tcPr>
            <w:tcW w:w="442" w:type="pct"/>
            <w:vMerge w:val="restart"/>
            <w:tcBorders>
              <w:top w:val="single" w:color="000000" w:sz="4" w:space="0"/>
              <w:left w:val="single" w:color="000000" w:sz="4" w:space="0"/>
              <w:right w:val="single" w:color="000000" w:sz="4" w:space="0"/>
            </w:tcBorders>
            <w:vAlign w:val="center"/>
          </w:tcPr>
          <w:p w14:paraId="3D98524E">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需求配置</w:t>
            </w:r>
          </w:p>
        </w:tc>
        <w:tc>
          <w:tcPr>
            <w:tcW w:w="1299" w:type="pct"/>
            <w:tcBorders>
              <w:top w:val="single" w:color="000000" w:sz="4" w:space="0"/>
              <w:left w:val="single" w:color="000000" w:sz="4" w:space="0"/>
              <w:bottom w:val="single" w:color="000000" w:sz="4" w:space="0"/>
            </w:tcBorders>
            <w:vAlign w:val="center"/>
          </w:tcPr>
          <w:p w14:paraId="10184A47">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车身两侧栏板可翻转开启</w:t>
            </w:r>
          </w:p>
        </w:tc>
        <w:tc>
          <w:tcPr>
            <w:tcW w:w="2955" w:type="pct"/>
            <w:tcBorders>
              <w:top w:val="single" w:color="000000" w:sz="4" w:space="0"/>
              <w:left w:val="single" w:color="000000" w:sz="4" w:space="0"/>
              <w:bottom w:val="single" w:color="000000" w:sz="4" w:space="0"/>
            </w:tcBorders>
            <w:vAlign w:val="center"/>
          </w:tcPr>
          <w:p w14:paraId="00966E25">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w:t>
            </w:r>
          </w:p>
        </w:tc>
      </w:tr>
      <w:tr w14:paraId="7B63589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64575B6C">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29</w:t>
            </w:r>
          </w:p>
        </w:tc>
        <w:tc>
          <w:tcPr>
            <w:tcW w:w="442" w:type="pct"/>
            <w:vMerge w:val="continue"/>
            <w:tcBorders>
              <w:left w:val="single" w:color="000000" w:sz="4" w:space="0"/>
              <w:right w:val="single" w:color="000000" w:sz="4" w:space="0"/>
            </w:tcBorders>
            <w:vAlign w:val="center"/>
          </w:tcPr>
          <w:p w14:paraId="165B78A5">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3D6EEB10">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车膜</w:t>
            </w:r>
          </w:p>
        </w:tc>
        <w:tc>
          <w:tcPr>
            <w:tcW w:w="2955" w:type="pct"/>
            <w:tcBorders>
              <w:top w:val="single" w:color="000000" w:sz="4" w:space="0"/>
              <w:left w:val="single" w:color="000000" w:sz="4" w:space="0"/>
              <w:bottom w:val="single" w:color="000000" w:sz="4" w:space="0"/>
            </w:tcBorders>
            <w:vAlign w:val="center"/>
          </w:tcPr>
          <w:p w14:paraId="6A30AE59">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配置，品牌相当或优于龙膜，3M，威固。</w:t>
            </w:r>
          </w:p>
        </w:tc>
      </w:tr>
      <w:tr w14:paraId="7CFB9A5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5A80F562">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0</w:t>
            </w:r>
          </w:p>
        </w:tc>
        <w:tc>
          <w:tcPr>
            <w:tcW w:w="442" w:type="pct"/>
            <w:vMerge w:val="continue"/>
            <w:tcBorders>
              <w:left w:val="single" w:color="000000" w:sz="4" w:space="0"/>
              <w:right w:val="single" w:color="000000" w:sz="4" w:space="0"/>
            </w:tcBorders>
            <w:vAlign w:val="center"/>
          </w:tcPr>
          <w:p w14:paraId="3001DF93">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267D5E82">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行车记录仪</w:t>
            </w:r>
          </w:p>
        </w:tc>
        <w:tc>
          <w:tcPr>
            <w:tcW w:w="2955" w:type="pct"/>
            <w:tcBorders>
              <w:top w:val="single" w:color="000000" w:sz="4" w:space="0"/>
              <w:left w:val="single" w:color="000000" w:sz="4" w:space="0"/>
              <w:bottom w:val="single" w:color="000000" w:sz="4" w:space="0"/>
            </w:tcBorders>
            <w:vAlign w:val="center"/>
          </w:tcPr>
          <w:p w14:paraId="1BD577EE">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配置，分辨率:1080P或以上；内存≥64G SD(TF)卡；显示屏尺寸≥5英寸。相当或优于360、小米、海康威视。</w:t>
            </w:r>
          </w:p>
        </w:tc>
      </w:tr>
      <w:tr w14:paraId="1EF746F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302" w:type="pct"/>
            <w:tcBorders>
              <w:top w:val="single" w:color="000000" w:sz="4" w:space="0"/>
              <w:bottom w:val="single" w:color="000000" w:sz="4" w:space="0"/>
              <w:right w:val="single" w:color="000000" w:sz="4" w:space="0"/>
            </w:tcBorders>
            <w:vAlign w:val="center"/>
          </w:tcPr>
          <w:p w14:paraId="7BC7D0C7">
            <w:pPr>
              <w:spacing w:line="24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1</w:t>
            </w:r>
          </w:p>
        </w:tc>
        <w:tc>
          <w:tcPr>
            <w:tcW w:w="442" w:type="pct"/>
            <w:vMerge w:val="continue"/>
            <w:tcBorders>
              <w:left w:val="single" w:color="000000" w:sz="4" w:space="0"/>
              <w:right w:val="single" w:color="000000" w:sz="4" w:space="0"/>
            </w:tcBorders>
            <w:vAlign w:val="center"/>
          </w:tcPr>
          <w:p w14:paraId="7E3AEAF3">
            <w:pPr>
              <w:spacing w:line="240" w:lineRule="auto"/>
              <w:contextualSpacing/>
              <w:jc w:val="center"/>
              <w:rPr>
                <w:rFonts w:ascii="宋体" w:hAnsi="宋体" w:eastAsia="宋体" w:cs="宋体"/>
                <w:color w:val="auto"/>
                <w:kern w:val="0"/>
                <w:szCs w:val="21"/>
                <w:highlight w:val="none"/>
              </w:rPr>
            </w:pPr>
          </w:p>
        </w:tc>
        <w:tc>
          <w:tcPr>
            <w:tcW w:w="1299" w:type="pct"/>
            <w:tcBorders>
              <w:top w:val="single" w:color="000000" w:sz="4" w:space="0"/>
              <w:left w:val="single" w:color="000000" w:sz="4" w:space="0"/>
              <w:bottom w:val="single" w:color="000000" w:sz="4" w:space="0"/>
            </w:tcBorders>
            <w:vAlign w:val="center"/>
          </w:tcPr>
          <w:p w14:paraId="1482EE7D">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随车工具</w:t>
            </w:r>
          </w:p>
        </w:tc>
        <w:tc>
          <w:tcPr>
            <w:tcW w:w="2955" w:type="pct"/>
            <w:tcBorders>
              <w:top w:val="single" w:color="000000" w:sz="4" w:space="0"/>
              <w:left w:val="single" w:color="000000" w:sz="4" w:space="0"/>
              <w:bottom w:val="single" w:color="000000" w:sz="4" w:space="0"/>
            </w:tcBorders>
            <w:vAlign w:val="center"/>
          </w:tcPr>
          <w:p w14:paraId="48BB853E">
            <w:pPr>
              <w:spacing w:line="24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配置包括但不限于：汽车电瓶搭火线、车载充气泵、灭火器、三角木止退器、</w:t>
            </w:r>
            <w:r>
              <w:rPr>
                <w:rFonts w:hint="eastAsia" w:ascii="宋体" w:hAnsi="宋体" w:eastAsia="宋体" w:cs="宋体"/>
                <w:color w:val="auto"/>
                <w:kern w:val="0"/>
                <w:szCs w:val="21"/>
                <w:highlight w:val="none"/>
                <w:lang w:val="en-US" w:eastAsia="zh-CN"/>
              </w:rPr>
              <w:t>水基型</w:t>
            </w:r>
            <w:r>
              <w:rPr>
                <w:rFonts w:hint="eastAsia" w:ascii="宋体" w:hAnsi="宋体" w:eastAsia="宋体" w:cs="宋体"/>
                <w:color w:val="auto"/>
                <w:kern w:val="0"/>
                <w:szCs w:val="21"/>
                <w:highlight w:val="none"/>
              </w:rPr>
              <w:t>灭火器、全包围脚垫、安全锤。</w:t>
            </w:r>
          </w:p>
        </w:tc>
      </w:tr>
    </w:tbl>
    <w:p w14:paraId="2E130D0F">
      <w:pPr>
        <w:numPr>
          <w:ilvl w:val="255"/>
          <w:numId w:val="0"/>
        </w:numPr>
        <w:autoSpaceDE w:val="0"/>
        <w:autoSpaceDN w:val="0"/>
        <w:adjustRightInd w:val="0"/>
        <w:snapToGrid w:val="0"/>
        <w:spacing w:line="360" w:lineRule="auto"/>
        <w:ind w:firstLine="422" w:firstLine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★三、投标产品要求</w:t>
      </w:r>
    </w:p>
    <w:p w14:paraId="6B165F2D">
      <w:pPr>
        <w:autoSpaceDE w:val="0"/>
        <w:autoSpaceDN w:val="0"/>
        <w:adjustRightInd w:val="0"/>
        <w:snapToGrid w:val="0"/>
        <w:spacing w:line="360" w:lineRule="auto"/>
        <w:ind w:firstLine="422" w:firstLine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一）投标人投标车辆的生产企业及投标车辆（含防撞包）产品型号已列入国家工业和信息化部发布的有效的《道路机动车辆生产企业及产品公告》（或《车辆生产企业及产品公告》）【提供反映投标车辆的生产企业及投标车辆（含防撞包）产品型号已列入国家工业和信息化部发布的有效的《道路机动车辆生产企业及产品公告》（或《车辆生产企业及产品公告》）的证明文件】。</w:t>
      </w:r>
    </w:p>
    <w:p w14:paraId="6C5321B3">
      <w:pPr>
        <w:autoSpaceDE w:val="0"/>
        <w:autoSpaceDN w:val="0"/>
        <w:adjustRightInd w:val="0"/>
        <w:snapToGrid w:val="0"/>
        <w:spacing w:line="360" w:lineRule="auto"/>
        <w:ind w:firstLine="422" w:firstLine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（二）投标车辆具有中国国家强制性产品认证证书（</w:t>
      </w:r>
      <w:r>
        <w:rPr>
          <w:rFonts w:ascii="宋体" w:hAnsi="宋体" w:eastAsia="宋体" w:cs="宋体"/>
          <w:b/>
          <w:bCs/>
          <w:color w:val="auto"/>
          <w:kern w:val="0"/>
          <w:szCs w:val="21"/>
          <w:highlight w:val="none"/>
        </w:rPr>
        <w:t>3C认证)【提供投标车辆的中国国家强制性产品认证证书（3C认证)复印件】。</w:t>
      </w:r>
    </w:p>
    <w:p w14:paraId="75928480">
      <w:pPr>
        <w:autoSpaceDE w:val="0"/>
        <w:autoSpaceDN w:val="0"/>
        <w:adjustRightInd w:val="0"/>
        <w:snapToGrid w:val="0"/>
        <w:spacing w:line="360" w:lineRule="auto"/>
        <w:ind w:firstLine="422" w:firstLineChars="200"/>
        <w:contextualSpacing/>
        <w:jc w:val="left"/>
        <w:rPr>
          <w:rFonts w:hint="eastAsia" w:ascii="宋体" w:hAnsi="宋体" w:eastAsia="宋体" w:cs="宋体"/>
          <w:b/>
          <w:bCs/>
          <w:color w:val="auto"/>
          <w:kern w:val="0"/>
          <w:szCs w:val="21"/>
          <w:highlight w:val="none"/>
          <w:lang w:eastAsia="zh-CN"/>
        </w:rPr>
      </w:pPr>
      <w:r>
        <w:rPr>
          <w:rFonts w:hint="eastAsia" w:ascii="宋体" w:hAnsi="宋体" w:eastAsia="宋体" w:cs="宋体"/>
          <w:b/>
          <w:bCs/>
          <w:color w:val="auto"/>
          <w:kern w:val="0"/>
          <w:szCs w:val="21"/>
          <w:highlight w:val="none"/>
        </w:rPr>
        <w:t>（三）投标人应提供防撞包出厂检验合格证明及防撞包的产品质量险，提供防撞包防撞等级证明材料（参考《MASH2016》和国内行业标准的防撞等级测试标准，包含正向追尾、偏置正向追尾和偏斜向追尾的第三方专业检测机构出具的实车碰撞检测报告</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rPr>
        <w:t>碰撞测试工况包含</w:t>
      </w:r>
      <w:r>
        <w:rPr>
          <w:rFonts w:hint="eastAsia" w:ascii="宋体" w:hAnsi="宋体" w:eastAsia="宋体" w:cs="宋体"/>
          <w:b/>
          <w:bCs/>
          <w:color w:val="auto"/>
          <w:kern w:val="0"/>
          <w:szCs w:val="21"/>
          <w:highlight w:val="none"/>
          <w:lang w:val="en-US" w:eastAsia="zh-CN"/>
        </w:rPr>
        <w:t>对投标车型的</w:t>
      </w:r>
      <w:r>
        <w:rPr>
          <w:rFonts w:hint="eastAsia" w:ascii="宋体" w:hAnsi="宋体" w:eastAsia="宋体" w:cs="宋体"/>
          <w:b/>
          <w:bCs/>
          <w:color w:val="auto"/>
          <w:kern w:val="0"/>
          <w:szCs w:val="21"/>
          <w:highlight w:val="none"/>
        </w:rPr>
        <w:t>1100kg小车正撞、2270kg小车正撞、偏撞以及偏斜撞，测试报告中应体现出测试后车质量，及碰撞过程图片）。按招标人要求配备所有附件和完整的使用说明书，提供整套设备的结构、原理、使用等相关资料。</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lang w:val="en-US" w:eastAsia="zh-CN"/>
        </w:rPr>
        <w:t>提供</w:t>
      </w:r>
      <w:r>
        <w:rPr>
          <w:rFonts w:hint="eastAsia" w:ascii="宋体" w:hAnsi="宋体" w:eastAsia="宋体" w:cs="宋体"/>
          <w:b/>
          <w:bCs/>
          <w:color w:val="auto"/>
          <w:kern w:val="0"/>
          <w:szCs w:val="21"/>
          <w:highlight w:val="none"/>
        </w:rPr>
        <w:t>出厂检验合格证明</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lang w:val="en-US" w:eastAsia="zh-CN"/>
        </w:rPr>
        <w:t>2026年度防撞包</w:t>
      </w:r>
      <w:r>
        <w:rPr>
          <w:rFonts w:hint="eastAsia" w:ascii="宋体" w:hAnsi="宋体" w:eastAsia="宋体" w:cs="宋体"/>
          <w:b/>
          <w:bCs/>
          <w:color w:val="auto"/>
          <w:kern w:val="0"/>
          <w:szCs w:val="21"/>
          <w:highlight w:val="none"/>
        </w:rPr>
        <w:t>产品质量险</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lang w:val="en-US" w:eastAsia="zh-CN"/>
        </w:rPr>
        <w:t>碰撞检测报告</w:t>
      </w:r>
      <w:r>
        <w:rPr>
          <w:rFonts w:hint="eastAsia" w:ascii="宋体" w:hAnsi="宋体" w:eastAsia="宋体" w:cs="宋体"/>
          <w:b/>
          <w:bCs/>
          <w:color w:val="auto"/>
          <w:kern w:val="0"/>
          <w:szCs w:val="21"/>
          <w:highlight w:val="none"/>
          <w:lang w:eastAsia="zh-CN"/>
        </w:rPr>
        <w:t>】</w:t>
      </w:r>
    </w:p>
    <w:p w14:paraId="13EEA6D5">
      <w:pPr>
        <w:autoSpaceDE w:val="0"/>
        <w:autoSpaceDN w:val="0"/>
        <w:adjustRightInd w:val="0"/>
        <w:snapToGrid w:val="0"/>
        <w:spacing w:line="360" w:lineRule="auto"/>
        <w:ind w:firstLine="422" w:firstLineChars="200"/>
        <w:contextualSpacing/>
        <w:jc w:val="left"/>
        <w:rPr>
          <w:rFonts w:hint="eastAsia" w:ascii="宋体" w:hAnsi="宋体" w:eastAsia="宋体" w:cs="宋体"/>
          <w:b/>
          <w:bCs/>
          <w:color w:val="auto"/>
          <w:kern w:val="0"/>
          <w:szCs w:val="21"/>
          <w:highlight w:val="none"/>
          <w:lang w:eastAsia="zh-CN"/>
        </w:rPr>
      </w:pPr>
      <w:r>
        <w:rPr>
          <w:rFonts w:hint="eastAsia" w:ascii="宋体" w:hAnsi="宋体" w:eastAsia="宋体" w:cs="宋体"/>
          <w:b/>
          <w:bCs/>
          <w:color w:val="auto"/>
          <w:kern w:val="0"/>
          <w:szCs w:val="21"/>
          <w:highlight w:val="none"/>
        </w:rPr>
        <w:t>（四）投标人应提供所投车辆内容完整、字迹清晰易辨认的《汽车整车产品定型试验报告》并确保其真实性。投标文件承诺的所投车辆参数必须与所附的《汽车整车产品定型试验报告》的有关参数一致。</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lang w:val="en-US" w:eastAsia="zh-CN"/>
        </w:rPr>
        <w:t>提供</w:t>
      </w:r>
      <w:r>
        <w:rPr>
          <w:rFonts w:hint="eastAsia" w:ascii="宋体" w:hAnsi="宋体" w:eastAsia="宋体" w:cs="宋体"/>
          <w:b/>
          <w:bCs/>
          <w:color w:val="auto"/>
          <w:kern w:val="0"/>
          <w:szCs w:val="21"/>
          <w:highlight w:val="none"/>
        </w:rPr>
        <w:t>《汽车整车产品定型试验报告》</w:t>
      </w:r>
      <w:r>
        <w:rPr>
          <w:rFonts w:hint="eastAsia" w:ascii="宋体" w:hAnsi="宋体" w:eastAsia="宋体" w:cs="宋体"/>
          <w:b/>
          <w:bCs/>
          <w:color w:val="auto"/>
          <w:kern w:val="0"/>
          <w:szCs w:val="21"/>
          <w:highlight w:val="none"/>
          <w:lang w:eastAsia="zh-CN"/>
        </w:rPr>
        <w:t>】</w:t>
      </w:r>
    </w:p>
    <w:p w14:paraId="12961E73">
      <w:pPr>
        <w:numPr>
          <w:ilvl w:val="255"/>
          <w:numId w:val="0"/>
        </w:numPr>
        <w:autoSpaceDE w:val="0"/>
        <w:autoSpaceDN w:val="0"/>
        <w:adjustRightInd w:val="0"/>
        <w:snapToGrid w:val="0"/>
        <w:spacing w:line="360" w:lineRule="auto"/>
        <w:ind w:firstLine="422" w:firstLine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四、交货要求</w:t>
      </w:r>
    </w:p>
    <w:p w14:paraId="4FC48F18">
      <w:pPr>
        <w:numPr>
          <w:ilvl w:val="255"/>
          <w:numId w:val="0"/>
        </w:numPr>
        <w:autoSpaceDE w:val="0"/>
        <w:autoSpaceDN w:val="0"/>
        <w:adjustRightInd w:val="0"/>
        <w:snapToGrid w:val="0"/>
        <w:spacing w:line="360" w:lineRule="auto"/>
        <w:ind w:firstLine="420" w:firstLineChars="200"/>
        <w:contextualSpacing/>
        <w:jc w:val="left"/>
        <w:rPr>
          <w:rFonts w:hint="eastAsia" w:ascii="宋体" w:hAnsi="宋体" w:eastAsia="宋体" w:cs="宋体"/>
          <w:b/>
          <w:bCs/>
          <w:color w:val="auto"/>
          <w:kern w:val="0"/>
          <w:szCs w:val="21"/>
          <w:highlight w:val="none"/>
        </w:rPr>
      </w:pPr>
      <w:r>
        <w:rPr>
          <w:rFonts w:hint="eastAsia" w:ascii="宋体" w:hAnsi="宋体" w:eastAsia="宋体" w:cs="宋体"/>
          <w:color w:val="auto"/>
          <w:kern w:val="0"/>
          <w:szCs w:val="21"/>
          <w:highlight w:val="none"/>
        </w:rPr>
        <w:t>中标人应在合同签订之日起5个工作日内向招标人以书面形式报备车辆生产计划（含生产地址准确定位、生产时间节点等）</w:t>
      </w:r>
      <w:r>
        <w:rPr>
          <w:rFonts w:hint="eastAsia" w:ascii="宋体" w:hAnsi="宋体" w:eastAsia="宋体" w:cs="宋体"/>
          <w:color w:val="auto"/>
          <w:kern w:val="0"/>
          <w:szCs w:val="21"/>
          <w:highlight w:val="none"/>
          <w:lang w:eastAsia="zh-CN"/>
        </w:rPr>
        <w:t>。</w:t>
      </w:r>
    </w:p>
    <w:p w14:paraId="454F8157">
      <w:pPr>
        <w:numPr>
          <w:ilvl w:val="255"/>
          <w:numId w:val="0"/>
        </w:numPr>
        <w:autoSpaceDE w:val="0"/>
        <w:autoSpaceDN w:val="0"/>
        <w:adjustRightInd w:val="0"/>
        <w:snapToGrid w:val="0"/>
        <w:spacing w:line="360" w:lineRule="auto"/>
        <w:ind w:firstLine="422" w:firstLineChars="200"/>
        <w:contextualSpacing/>
        <w:jc w:val="left"/>
        <w:rPr>
          <w:rFonts w:ascii="宋体" w:hAnsi="宋体" w:eastAsia="宋体" w:cs="宋体"/>
          <w:color w:val="auto"/>
          <w:kern w:val="0"/>
          <w:szCs w:val="21"/>
          <w:highlight w:val="none"/>
        </w:rPr>
      </w:pPr>
      <w:r>
        <w:rPr>
          <w:rFonts w:hint="eastAsia" w:ascii="宋体" w:hAnsi="宋体" w:eastAsia="宋体" w:cs="宋体"/>
          <w:b/>
          <w:bCs/>
          <w:color w:val="auto"/>
          <w:kern w:val="0"/>
          <w:szCs w:val="21"/>
          <w:highlight w:val="none"/>
        </w:rPr>
        <w:t>（一）供货期要求</w:t>
      </w:r>
      <w:r>
        <w:rPr>
          <w:rFonts w:hint="eastAsia" w:ascii="宋体" w:hAnsi="宋体" w:eastAsia="宋体" w:cs="宋体"/>
          <w:color w:val="auto"/>
          <w:kern w:val="0"/>
          <w:szCs w:val="21"/>
          <w:highlight w:val="none"/>
        </w:rPr>
        <w:t>：</w:t>
      </w:r>
    </w:p>
    <w:p w14:paraId="2D5AD4EF">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（1）自合同签订之日起30个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内完成供货及查验车辆（不得超过中标通知书发出之日起</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w:t>
      </w:r>
    </w:p>
    <w:p w14:paraId="72842842">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（2）车辆查验合格后20个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内完成</w:t>
      </w:r>
      <w:r>
        <w:rPr>
          <w:rFonts w:hint="eastAsia" w:ascii="宋体" w:hAnsi="宋体" w:eastAsia="宋体" w:cs="宋体"/>
          <w:color w:val="auto"/>
          <w:kern w:val="0"/>
          <w:szCs w:val="21"/>
          <w:highlight w:val="none"/>
          <w:lang w:val="en-US" w:eastAsia="zh-CN"/>
        </w:rPr>
        <w:t>车辆的喷涂、</w:t>
      </w:r>
      <w:r>
        <w:rPr>
          <w:rFonts w:hint="eastAsia" w:ascii="宋体" w:hAnsi="宋体" w:eastAsia="宋体" w:cs="宋体"/>
          <w:color w:val="auto"/>
          <w:kern w:val="0"/>
          <w:szCs w:val="21"/>
          <w:highlight w:val="none"/>
        </w:rPr>
        <w:t>上牌（必须为东莞市车牌）、配件安装（包括安装行车记录仪、贴膜等）和</w:t>
      </w:r>
      <w:r>
        <w:rPr>
          <w:rFonts w:hint="eastAsia" w:ascii="宋体" w:hAnsi="宋体" w:eastAsia="宋体" w:cs="宋体"/>
          <w:color w:val="auto"/>
          <w:kern w:val="0"/>
          <w:szCs w:val="21"/>
          <w:highlight w:val="none"/>
          <w:lang w:val="en-US" w:eastAsia="zh-CN"/>
        </w:rPr>
        <w:t>验收</w:t>
      </w:r>
      <w:r>
        <w:rPr>
          <w:rFonts w:hint="eastAsia" w:ascii="宋体" w:hAnsi="宋体" w:eastAsia="宋体" w:cs="宋体"/>
          <w:color w:val="auto"/>
          <w:kern w:val="0"/>
          <w:szCs w:val="21"/>
          <w:highlight w:val="none"/>
        </w:rPr>
        <w:t>交付。</w:t>
      </w:r>
    </w:p>
    <w:p w14:paraId="2F95C962">
      <w:pPr>
        <w:autoSpaceDE w:val="0"/>
        <w:autoSpaceDN w:val="0"/>
        <w:adjustRightInd w:val="0"/>
        <w:snapToGrid w:val="0"/>
        <w:spacing w:line="360" w:lineRule="auto"/>
        <w:ind w:firstLine="422" w:firstLine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（二）喷涂要求：</w:t>
      </w:r>
    </w:p>
    <w:p w14:paraId="69687076">
      <w:p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车辆交付招标人使用时，车身颜色为</w:t>
      </w:r>
      <w:r>
        <w:rPr>
          <w:rFonts w:hint="eastAsia" w:ascii="宋体" w:hAnsi="宋体" w:eastAsia="宋体" w:cs="宋体"/>
          <w:b/>
          <w:bCs/>
          <w:color w:val="auto"/>
          <w:kern w:val="0"/>
          <w:szCs w:val="21"/>
          <w:highlight w:val="none"/>
        </w:rPr>
        <w:t>工程黄</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中标人</w:t>
      </w:r>
      <w:r>
        <w:rPr>
          <w:rFonts w:hint="eastAsia" w:ascii="宋体" w:hAnsi="宋体" w:eastAsia="宋体" w:cs="宋体"/>
          <w:color w:val="auto"/>
          <w:kern w:val="0"/>
          <w:szCs w:val="21"/>
          <w:highlight w:val="none"/>
        </w:rPr>
        <w:t>应根据招标人提供的企业LOGO,企业名称等相关内容要</w:t>
      </w:r>
      <w:r>
        <w:rPr>
          <w:rFonts w:hint="eastAsia" w:ascii="宋体" w:hAnsi="宋体" w:eastAsia="宋体" w:cs="宋体"/>
          <w:color w:val="auto"/>
          <w:kern w:val="0"/>
          <w:szCs w:val="21"/>
          <w:highlight w:val="none"/>
          <w:lang w:bidi="ar"/>
        </w:rPr>
        <w:t>求设计车辆</w:t>
      </w:r>
      <w:r>
        <w:rPr>
          <w:rFonts w:hint="eastAsia" w:ascii="宋体" w:hAnsi="宋体" w:eastAsia="宋体" w:cs="宋体"/>
          <w:color w:val="auto"/>
          <w:kern w:val="0"/>
          <w:szCs w:val="21"/>
          <w:highlight w:val="none"/>
          <w:lang w:val="en-US" w:eastAsia="zh-CN" w:bidi="ar"/>
        </w:rPr>
        <w:t>外观喷涂方案及图纸报</w:t>
      </w:r>
      <w:r>
        <w:rPr>
          <w:rFonts w:hint="eastAsia" w:ascii="宋体" w:hAnsi="宋体" w:eastAsia="宋体" w:cs="Times New Roman"/>
          <w:color w:val="auto"/>
          <w:kern w:val="0"/>
          <w:szCs w:val="21"/>
          <w:highlight w:val="none"/>
          <w:lang w:val="en-US" w:eastAsia="zh-CN"/>
        </w:rPr>
        <w:t>招标人</w:t>
      </w:r>
      <w:r>
        <w:rPr>
          <w:rFonts w:hint="eastAsia" w:ascii="宋体" w:hAnsi="宋体" w:eastAsia="宋体" w:cs="宋体"/>
          <w:color w:val="auto"/>
          <w:kern w:val="0"/>
          <w:szCs w:val="21"/>
          <w:highlight w:val="none"/>
          <w:lang w:bidi="ar"/>
        </w:rPr>
        <w:t>审核同意</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Cs w:val="21"/>
          <w:highlight w:val="none"/>
          <w:lang w:val="en-US" w:eastAsia="zh-CN" w:bidi="ar"/>
        </w:rPr>
        <w:t>在车辆查验合格后由中标人</w:t>
      </w:r>
      <w:r>
        <w:rPr>
          <w:rFonts w:hint="eastAsia" w:ascii="宋体" w:hAnsi="宋体" w:eastAsia="宋体" w:cs="宋体"/>
          <w:color w:val="auto"/>
          <w:kern w:val="0"/>
          <w:szCs w:val="21"/>
          <w:highlight w:val="none"/>
          <w:lang w:bidi="ar"/>
        </w:rPr>
        <w:t>依据图纸对车辆</w:t>
      </w:r>
      <w:r>
        <w:rPr>
          <w:rFonts w:hint="eastAsia" w:ascii="宋体" w:hAnsi="宋体" w:eastAsia="宋体" w:cs="宋体"/>
          <w:color w:val="auto"/>
          <w:kern w:val="0"/>
          <w:szCs w:val="21"/>
          <w:highlight w:val="none"/>
          <w:lang w:val="en-US" w:eastAsia="zh-CN" w:bidi="ar"/>
        </w:rPr>
        <w:t>外观</w:t>
      </w:r>
      <w:r>
        <w:rPr>
          <w:rFonts w:hint="eastAsia" w:ascii="宋体" w:hAnsi="宋体" w:eastAsia="宋体" w:cs="宋体"/>
          <w:color w:val="auto"/>
          <w:kern w:val="0"/>
          <w:szCs w:val="21"/>
          <w:highlight w:val="none"/>
          <w:lang w:bidi="ar"/>
        </w:rPr>
        <w:t>进行喷涂。</w:t>
      </w:r>
    </w:p>
    <w:p w14:paraId="511F66C3">
      <w:pPr>
        <w:autoSpaceDE w:val="0"/>
        <w:autoSpaceDN w:val="0"/>
        <w:adjustRightInd w:val="0"/>
        <w:snapToGrid w:val="0"/>
        <w:spacing w:line="360" w:lineRule="auto"/>
        <w:ind w:firstLine="422" w:firstLineChars="200"/>
        <w:contextualSpacing/>
        <w:jc w:val="left"/>
        <w:rPr>
          <w:rFonts w:ascii="宋体" w:hAnsi="宋体" w:eastAsia="宋体" w:cs="宋体"/>
          <w:color w:val="auto"/>
          <w:kern w:val="0"/>
          <w:szCs w:val="21"/>
          <w:highlight w:val="none"/>
        </w:rPr>
      </w:pPr>
      <w:r>
        <w:rPr>
          <w:rFonts w:hint="eastAsia" w:ascii="宋体" w:hAnsi="宋体" w:eastAsia="宋体" w:cs="宋体"/>
          <w:b/>
          <w:bCs/>
          <w:color w:val="auto"/>
          <w:kern w:val="0"/>
          <w:szCs w:val="21"/>
          <w:highlight w:val="none"/>
        </w:rPr>
        <w:t>（三）验收要求</w:t>
      </w:r>
      <w:r>
        <w:rPr>
          <w:rFonts w:hint="eastAsia" w:ascii="宋体" w:hAnsi="宋体" w:eastAsia="宋体" w:cs="宋体"/>
          <w:color w:val="auto"/>
          <w:kern w:val="0"/>
          <w:szCs w:val="21"/>
          <w:highlight w:val="none"/>
        </w:rPr>
        <w:t>：</w:t>
      </w:r>
    </w:p>
    <w:p w14:paraId="165D607F">
      <w:p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（1）车辆查验：</w:t>
      </w:r>
    </w:p>
    <w:p w14:paraId="575CD900">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①车辆在供货后上牌前需进行第一次查验，查验车辆应当在招标人指定地点（东莞市内）进行，中标人应提供完整的产品技术资料（包括车辆合格证原件，产品说明书、用户手册、制造厂质量合格证书及其他相关文件资料），与合同的各项技术规格、指标和性能要求对比开展查验工作。</w:t>
      </w:r>
    </w:p>
    <w:p w14:paraId="36D0CB0C">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②中标人应派遣有经验有能力的工程师或委托第三方配合招标人检验其所供应的货物的外观性能和各项参数指标是否符合采购要求，同时招标人有权自行委托第三方机构对车辆设备进行车辆查验，中标人不得持有异议。查验不合格时第三方机构的查验服务费由中标人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招标人自行委托的</w:t>
      </w:r>
      <w:r>
        <w:rPr>
          <w:rFonts w:hint="eastAsia" w:ascii="宋体" w:hAnsi="宋体" w:eastAsia="宋体" w:cs="宋体"/>
          <w:color w:val="auto"/>
          <w:sz w:val="21"/>
          <w:szCs w:val="21"/>
          <w:highlight w:val="none"/>
        </w:rPr>
        <w:t>第三方机构的查验服务费由</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rPr>
        <w:t>承担</w:t>
      </w:r>
      <w:r>
        <w:rPr>
          <w:rFonts w:hint="eastAsia" w:ascii="宋体" w:hAnsi="宋体" w:eastAsia="宋体" w:cs="宋体"/>
          <w:color w:val="auto"/>
          <w:sz w:val="21"/>
          <w:szCs w:val="21"/>
          <w:highlight w:val="none"/>
          <w:lang w:eastAsia="zh-CN"/>
        </w:rPr>
        <w:t>。</w:t>
      </w:r>
    </w:p>
    <w:p w14:paraId="68578221">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③</w:t>
      </w:r>
      <w:r>
        <w:rPr>
          <w:rFonts w:hint="eastAsia" w:ascii="宋体" w:hAnsi="宋体" w:eastAsia="宋体" w:cs="宋体"/>
          <w:color w:val="auto"/>
          <w:kern w:val="0"/>
          <w:szCs w:val="21"/>
          <w:highlight w:val="none"/>
        </w:rPr>
        <w:t>车辆的查验、试驾完成后，若查验合格，各方在查验证明上签字；若查验不合格，中标人需在查验证明上写明不合格内容及整改时限要求，因查验或整改不合格导致逾期供货的，按第九条逾期供货条款执行；</w:t>
      </w:r>
    </w:p>
    <w:p w14:paraId="6E1D1230">
      <w:pPr>
        <w:widowControl/>
        <w:numPr>
          <w:ilvl w:val="-1"/>
          <w:numId w:val="0"/>
        </w:numPr>
        <w:kinsoku w:val="0"/>
        <w:autoSpaceDE w:val="0"/>
        <w:autoSpaceDN w:val="0"/>
        <w:adjustRightInd w:val="0"/>
        <w:snapToGrid w:val="0"/>
        <w:spacing w:line="360" w:lineRule="auto"/>
        <w:ind w:firstLine="420" w:firstLineChars="200"/>
        <w:contextualSpacing w:val="0"/>
        <w:jc w:val="left"/>
        <w:textAlignment w:val="baseline"/>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④</w:t>
      </w:r>
      <w:r>
        <w:rPr>
          <w:rFonts w:hint="eastAsia" w:ascii="宋体" w:hAnsi="宋体" w:eastAsia="宋体" w:cs="宋体"/>
          <w:color w:val="auto"/>
          <w:kern w:val="0"/>
          <w:szCs w:val="21"/>
          <w:highlight w:val="none"/>
        </w:rPr>
        <w:t>招标人查验车辆时需进行试车及预警功能实地演示，中标人需无条件配合。若查验不合格的，中标人不得以车辆已试用不得退回为由拒绝退货</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 w:val="21"/>
          <w:szCs w:val="21"/>
          <w:highlight w:val="none"/>
          <w:lang w:val="en-US" w:eastAsia="zh-CN"/>
        </w:rPr>
        <w:t>换货或整改，不得以此为由回招标人索取任何赔偿或费用</w:t>
      </w:r>
      <w:r>
        <w:rPr>
          <w:rFonts w:hint="eastAsia" w:ascii="宋体" w:hAnsi="宋体" w:eastAsia="宋体" w:cs="宋体"/>
          <w:color w:val="auto"/>
          <w:kern w:val="0"/>
          <w:sz w:val="21"/>
          <w:szCs w:val="21"/>
          <w:highlight w:val="none"/>
          <w:lang w:bidi="ar"/>
        </w:rPr>
        <w:t>。</w:t>
      </w:r>
    </w:p>
    <w:p w14:paraId="13F048C6">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（2）车辆验收：</w:t>
      </w:r>
    </w:p>
    <w:p w14:paraId="7477388A">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查验合格后，中标人需完成车辆上牌及配件安装（包括喷涂、安装行车记录仪、贴膜等）相关工作、并将车辆移交至招标人指定地点（东莞市内）后开展验收工作，检查确认货物是否齐全（若发现车辆部件丢失、损坏，均由中标人承担责任）。若验收合格，各方于验收证明上签字并进行车辆交付；若验收不合格，中标人需在验收证明上写明不合格内容及整改时限要求，因验收或整改不合格导致逾期供货的，按第九条逾期供货条款执行。</w:t>
      </w:r>
    </w:p>
    <w:p w14:paraId="4B21B2F3">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（3）车辆交付：</w:t>
      </w:r>
    </w:p>
    <w:p w14:paraId="0BF5E8B3">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车辆验收合格后进行车辆交付，交付时应确保所有车辆油表显示在一半或一半以上，以确保车辆验收后招标人的正常使用，同时中标人将车辆相关证件及资料移</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包括电子档扫描件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交至招标人，包括但不限于以下资料：</w:t>
      </w:r>
    </w:p>
    <w:p w14:paraId="0A9CF941">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①</w:t>
      </w:r>
      <w:r>
        <w:rPr>
          <w:rFonts w:hint="eastAsia" w:ascii="宋体" w:hAnsi="宋体" w:eastAsia="宋体" w:cs="宋体"/>
          <w:color w:val="auto"/>
          <w:kern w:val="0"/>
          <w:szCs w:val="21"/>
          <w:highlight w:val="none"/>
        </w:rPr>
        <w:t>车辆合格证复印件；</w:t>
      </w:r>
    </w:p>
    <w:p w14:paraId="4AF9703D">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②</w:t>
      </w:r>
      <w:r>
        <w:rPr>
          <w:rFonts w:hint="eastAsia" w:ascii="宋体" w:hAnsi="宋体" w:eastAsia="宋体" w:cs="宋体"/>
          <w:color w:val="auto"/>
          <w:kern w:val="0"/>
          <w:szCs w:val="21"/>
          <w:highlight w:val="none"/>
        </w:rPr>
        <w:t>质量服务卡或保修手册；</w:t>
      </w:r>
    </w:p>
    <w:p w14:paraId="03B80818">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③</w:t>
      </w:r>
      <w:r>
        <w:rPr>
          <w:rFonts w:hint="eastAsia" w:ascii="宋体" w:hAnsi="宋体" w:eastAsia="宋体" w:cs="宋体"/>
          <w:color w:val="auto"/>
          <w:kern w:val="0"/>
          <w:szCs w:val="21"/>
          <w:highlight w:val="none"/>
        </w:rPr>
        <w:t>车辆使用说明书或用户使用手册（中文）；</w:t>
      </w:r>
    </w:p>
    <w:p w14:paraId="512864D9">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④</w:t>
      </w:r>
      <w:r>
        <w:rPr>
          <w:rFonts w:hint="eastAsia" w:ascii="宋体" w:hAnsi="宋体" w:eastAsia="宋体" w:cs="宋体"/>
          <w:color w:val="auto"/>
          <w:kern w:val="0"/>
          <w:szCs w:val="21"/>
          <w:highlight w:val="none"/>
        </w:rPr>
        <w:t>随车工具及备件清单；</w:t>
      </w:r>
    </w:p>
    <w:p w14:paraId="22A43AFC">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⑤</w:t>
      </w:r>
      <w:r>
        <w:rPr>
          <w:rFonts w:hint="eastAsia" w:ascii="宋体" w:hAnsi="宋体" w:eastAsia="宋体" w:cs="宋体"/>
          <w:color w:val="auto"/>
          <w:kern w:val="0"/>
          <w:szCs w:val="21"/>
          <w:highlight w:val="none"/>
        </w:rPr>
        <w:t>三包凭证；</w:t>
      </w:r>
    </w:p>
    <w:p w14:paraId="173D8CB2">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⑥</w:t>
      </w:r>
      <w:r>
        <w:rPr>
          <w:rFonts w:hint="eastAsia" w:ascii="宋体" w:hAnsi="宋体" w:eastAsia="宋体" w:cs="宋体"/>
          <w:color w:val="auto"/>
          <w:kern w:val="0"/>
          <w:szCs w:val="21"/>
          <w:highlight w:val="none"/>
        </w:rPr>
        <w:t>发票</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按招标人要求开具）</w:t>
      </w:r>
      <w:r>
        <w:rPr>
          <w:rFonts w:hint="eastAsia" w:ascii="宋体" w:hAnsi="宋体" w:eastAsia="宋体" w:cs="宋体"/>
          <w:color w:val="auto"/>
          <w:kern w:val="0"/>
          <w:szCs w:val="21"/>
          <w:highlight w:val="none"/>
        </w:rPr>
        <w:t>；</w:t>
      </w:r>
    </w:p>
    <w:p w14:paraId="0F6242E2">
      <w:pPr>
        <w:snapToGrid w:val="0"/>
        <w:spacing w:line="360" w:lineRule="auto"/>
        <w:ind w:firstLine="420" w:firstLineChars="200"/>
        <w:contextualSpacing/>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⑦</w:t>
      </w:r>
      <w:r>
        <w:rPr>
          <w:rFonts w:hint="eastAsia" w:ascii="宋体" w:hAnsi="宋体" w:eastAsia="宋体" w:cs="宋体"/>
          <w:color w:val="auto"/>
          <w:kern w:val="0"/>
          <w:szCs w:val="21"/>
          <w:highlight w:val="none"/>
          <w:lang w:eastAsia="zh-CN"/>
        </w:rPr>
        <w:t>保险单；</w:t>
      </w:r>
    </w:p>
    <w:p w14:paraId="2973FDCC">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⑧</w:t>
      </w:r>
      <w:r>
        <w:rPr>
          <w:rFonts w:hint="eastAsia" w:ascii="宋体" w:hAnsi="宋体" w:eastAsia="宋体" w:cs="宋体"/>
          <w:color w:val="auto"/>
          <w:kern w:val="0"/>
          <w:szCs w:val="21"/>
          <w:highlight w:val="none"/>
        </w:rPr>
        <w:t>车辆一致性证书；</w:t>
      </w:r>
    </w:p>
    <w:p w14:paraId="67663E09">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⑨</w:t>
      </w:r>
      <w:r>
        <w:rPr>
          <w:rFonts w:hint="eastAsia" w:ascii="宋体" w:hAnsi="宋体" w:eastAsia="宋体" w:cs="宋体"/>
          <w:color w:val="auto"/>
          <w:kern w:val="0"/>
          <w:szCs w:val="21"/>
          <w:highlight w:val="none"/>
        </w:rPr>
        <w:t>机动车登记证书；</w:t>
      </w:r>
    </w:p>
    <w:p w14:paraId="28A37B5D">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⑩</w:t>
      </w:r>
      <w:r>
        <w:rPr>
          <w:rFonts w:hint="eastAsia" w:ascii="宋体" w:hAnsi="宋体" w:eastAsia="宋体" w:cs="宋体"/>
          <w:color w:val="auto"/>
          <w:kern w:val="0"/>
          <w:szCs w:val="21"/>
          <w:highlight w:val="none"/>
        </w:rPr>
        <w:t>新车交付确认表；</w:t>
      </w:r>
    </w:p>
    <w:p w14:paraId="0BB78606">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lang w:eastAsia="zh-CN"/>
        </w:rPr>
        <w:t>⑪</w:t>
      </w:r>
      <w:r>
        <w:rPr>
          <w:rFonts w:hint="eastAsia" w:ascii="宋体" w:hAnsi="宋体" w:eastAsia="宋体" w:cs="宋体"/>
          <w:color w:val="auto"/>
          <w:kern w:val="0"/>
          <w:szCs w:val="21"/>
          <w:highlight w:val="none"/>
        </w:rPr>
        <w:t>完税证明</w:t>
      </w:r>
      <w:r>
        <w:rPr>
          <w:rFonts w:hint="eastAsia" w:ascii="宋体" w:hAnsi="宋体" w:eastAsia="宋体" w:cs="宋体"/>
          <w:color w:val="auto"/>
          <w:kern w:val="0"/>
          <w:szCs w:val="21"/>
          <w:highlight w:val="none"/>
          <w:lang w:val="en-US" w:eastAsia="zh-CN"/>
        </w:rPr>
        <w:t>复印件</w:t>
      </w:r>
      <w:r>
        <w:rPr>
          <w:rFonts w:hint="eastAsia" w:ascii="宋体" w:hAnsi="宋体" w:eastAsia="宋体" w:cs="宋体"/>
          <w:color w:val="auto"/>
          <w:kern w:val="0"/>
          <w:szCs w:val="21"/>
          <w:highlight w:val="none"/>
        </w:rPr>
        <w:t>；</w:t>
      </w:r>
    </w:p>
    <w:p w14:paraId="22506390">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lang w:eastAsia="zh-CN"/>
        </w:rPr>
        <w:t>⑫</w:t>
      </w:r>
      <w:r>
        <w:rPr>
          <w:rFonts w:hint="eastAsia" w:ascii="宋体" w:hAnsi="宋体" w:eastAsia="宋体" w:cs="宋体"/>
          <w:color w:val="auto"/>
          <w:kern w:val="0"/>
          <w:szCs w:val="21"/>
          <w:highlight w:val="none"/>
        </w:rPr>
        <w:t>其他</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如有）</w:t>
      </w:r>
      <w:r>
        <w:rPr>
          <w:rFonts w:hint="eastAsia" w:ascii="宋体" w:hAnsi="宋体" w:eastAsia="宋体" w:cs="宋体"/>
          <w:color w:val="auto"/>
          <w:kern w:val="0"/>
          <w:szCs w:val="21"/>
          <w:highlight w:val="none"/>
        </w:rPr>
        <w:t>。</w:t>
      </w:r>
    </w:p>
    <w:p w14:paraId="19F67284">
      <w:pPr>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车辆验收合格不代表对产品质量的最终认定，不可免除中标人对产品的瑕疵和缺陷承担相应责任；招标人在使用过程中发现车辆不符合合同要求的，中标人应承担相应的退、换责任。因车辆质量发生争议，由广东省或东莞市质量技术监督部门进行质量鉴定。鉴定费用由招标人先行垫付。如车辆符合质量标准的，鉴定费由招标人承担；不符合质量标准的，鉴定费用中标人承担。</w:t>
      </w:r>
    </w:p>
    <w:p w14:paraId="252725B6">
      <w:pPr>
        <w:autoSpaceDE w:val="0"/>
        <w:autoSpaceDN w:val="0"/>
        <w:adjustRightInd w:val="0"/>
        <w:spacing w:line="360" w:lineRule="auto"/>
        <w:ind w:firstLine="422" w:firstLine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五、价款要求</w:t>
      </w:r>
    </w:p>
    <w:p w14:paraId="0434E63F">
      <w:pPr>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本项目的费用为总价包干，已包含所列货物、零配件、原材料及生产制造、检验、包装、利润、关税、保险、管理、运输（包括退货运输费）、装卸费、人工费、安装调试、人员培训、技术服务（包括技术资料、图纸的提供）、车辆入户登记费用、上牌服务费、车辆购置税、首年车船税、增值税、验车费、首年交强险、首年商业保险</w:t>
      </w:r>
      <w:r>
        <w:rPr>
          <w:rFonts w:hint="eastAsia" w:ascii="宋体" w:hAnsi="宋体" w:eastAsia="宋体" w:cs="宋体"/>
          <w:color w:val="auto"/>
          <w:szCs w:val="21"/>
          <w:highlight w:val="none"/>
          <w:lang w:val="zh-CN"/>
        </w:rPr>
        <w:t>﹝</w:t>
      </w:r>
      <w:r>
        <w:rPr>
          <w:rFonts w:hint="eastAsia" w:ascii="宋体" w:hAnsi="宋体" w:eastAsia="宋体" w:cs="宋体"/>
          <w:color w:val="auto"/>
          <w:kern w:val="0"/>
          <w:szCs w:val="21"/>
          <w:highlight w:val="none"/>
        </w:rPr>
        <w:t>机动车损失保险、第三者责任保险</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00万元保额、车上人员（驾驶员和乘客，</w:t>
      </w:r>
      <w:r>
        <w:rPr>
          <w:rFonts w:hint="eastAsia" w:ascii="宋体" w:hAnsi="宋体" w:eastAsia="宋体" w:cs="宋体"/>
          <w:color w:val="auto"/>
          <w:kern w:val="0"/>
          <w:szCs w:val="21"/>
          <w:highlight w:val="none"/>
          <w:lang w:val="en-US" w:eastAsia="zh-CN"/>
        </w:rPr>
        <w:t>核定座位数*10万元/座保额</w:t>
      </w:r>
      <w:r>
        <w:rPr>
          <w:rFonts w:hint="eastAsia" w:ascii="宋体" w:hAnsi="宋体" w:eastAsia="宋体" w:cs="宋体"/>
          <w:color w:val="auto"/>
          <w:kern w:val="0"/>
          <w:szCs w:val="21"/>
          <w:highlight w:val="none"/>
        </w:rPr>
        <w:t>）责任保险、防撞包单元碰撞险</w:t>
      </w:r>
      <w:r>
        <w:rPr>
          <w:rFonts w:hint="eastAsia" w:ascii="宋体" w:hAnsi="宋体" w:eastAsia="宋体" w:cs="宋体"/>
          <w:color w:val="auto"/>
          <w:szCs w:val="21"/>
          <w:highlight w:val="none"/>
          <w:lang w:val="zh-CN"/>
        </w:rPr>
        <w:t>﹞</w:t>
      </w:r>
      <w:r>
        <w:rPr>
          <w:rFonts w:hint="eastAsia" w:ascii="宋体" w:hAnsi="宋体" w:eastAsia="宋体" w:cs="宋体"/>
          <w:color w:val="auto"/>
          <w:kern w:val="0"/>
          <w:szCs w:val="21"/>
          <w:highlight w:val="none"/>
        </w:rPr>
        <w:t>、车身喷涂（按招标人要求）、检测及验收合格之前及质保期内维修维护、售后服务</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拖车费</w:t>
      </w:r>
      <w:r>
        <w:rPr>
          <w:rFonts w:hint="eastAsia" w:ascii="宋体" w:hAnsi="宋体" w:eastAsia="宋体" w:cs="宋体"/>
          <w:color w:val="auto"/>
          <w:kern w:val="0"/>
          <w:szCs w:val="21"/>
          <w:highlight w:val="none"/>
        </w:rPr>
        <w:t>等全部费用。未经</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书面同意，</w:t>
      </w:r>
      <w:r>
        <w:rPr>
          <w:rFonts w:hint="eastAsia" w:ascii="宋体" w:hAnsi="宋体" w:eastAsia="宋体" w:cs="宋体"/>
          <w:color w:val="auto"/>
          <w:kern w:val="0"/>
          <w:szCs w:val="21"/>
          <w:highlight w:val="none"/>
          <w:lang w:val="en-US" w:eastAsia="zh-CN"/>
        </w:rPr>
        <w:t>中标人</w:t>
      </w:r>
      <w:r>
        <w:rPr>
          <w:rFonts w:hint="eastAsia" w:ascii="宋体" w:hAnsi="宋体" w:eastAsia="宋体" w:cs="宋体"/>
          <w:color w:val="auto"/>
          <w:kern w:val="0"/>
          <w:szCs w:val="21"/>
          <w:highlight w:val="none"/>
        </w:rPr>
        <w:t>不得向</w:t>
      </w:r>
      <w:r>
        <w:rPr>
          <w:rFonts w:hint="eastAsia" w:ascii="宋体" w:hAnsi="宋体" w:eastAsia="宋体" w:cs="宋体"/>
          <w:color w:val="auto"/>
          <w:kern w:val="0"/>
          <w:szCs w:val="21"/>
          <w:highlight w:val="none"/>
          <w:lang w:eastAsia="zh-CN"/>
        </w:rPr>
        <w:t>招标人</w:t>
      </w:r>
      <w:r>
        <w:rPr>
          <w:rFonts w:hint="eastAsia" w:ascii="宋体" w:hAnsi="宋体" w:eastAsia="宋体" w:cs="宋体"/>
          <w:color w:val="auto"/>
          <w:kern w:val="0"/>
          <w:szCs w:val="21"/>
          <w:highlight w:val="none"/>
        </w:rPr>
        <w:t>主张前述费用以外的任何其它费用或补偿。</w:t>
      </w:r>
    </w:p>
    <w:p w14:paraId="38272EDF">
      <w:pPr>
        <w:snapToGrid w:val="0"/>
        <w:spacing w:line="360" w:lineRule="auto"/>
        <w:ind w:firstLine="420" w:firstLineChars="200"/>
        <w:contextualSpacing/>
        <w:jc w:val="left"/>
        <w:rPr>
          <w:rFonts w:ascii="宋体" w:hAnsi="宋体" w:eastAsia="宋体" w:cs="宋体"/>
          <w:color w:val="auto"/>
          <w:kern w:val="0"/>
          <w:szCs w:val="21"/>
          <w:highlight w:val="none"/>
        </w:rPr>
      </w:pPr>
    </w:p>
    <w:p w14:paraId="79164079">
      <w:pPr>
        <w:snapToGrid w:val="0"/>
        <w:spacing w:line="360" w:lineRule="auto"/>
        <w:ind w:firstLine="420" w:firstLineChars="200"/>
        <w:contextualSpacing/>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（二）费用支付：</w:t>
      </w:r>
    </w:p>
    <w:p w14:paraId="2F5D0958">
      <w:pPr>
        <w:spacing w:line="360" w:lineRule="auto"/>
        <w:ind w:firstLine="422"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（1）预付款：</w:t>
      </w:r>
      <w:r>
        <w:rPr>
          <w:rFonts w:hint="eastAsia" w:ascii="宋体" w:hAnsi="宋体" w:eastAsia="宋体" w:cs="宋体"/>
          <w:color w:val="auto"/>
          <w:sz w:val="21"/>
          <w:szCs w:val="21"/>
          <w:highlight w:val="none"/>
        </w:rPr>
        <w:t>合同签订并提交履约担保后，中标人提交符合招标人要求的请款报告并出具等额有效的收款收据后，招标人支付合同总价的10%作为预付款（中标人需配合提供符合招标人要求的请款资料及等额有效的收款收据）。</w:t>
      </w:r>
    </w:p>
    <w:p w14:paraId="4D4D9271">
      <w:pPr>
        <w:spacing w:line="360" w:lineRule="auto"/>
        <w:ind w:firstLine="422" w:firstLineChars="200"/>
        <w:contextualSpacing/>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（2）验收款：</w:t>
      </w:r>
    </w:p>
    <w:p w14:paraId="04DF3702">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 1 \* GB3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采取预留质保金方式的，到货并安装调试完毕、验收合格后并上牌交付后，中标人提交符合招标人要求的请款</w:t>
      </w:r>
      <w:r>
        <w:rPr>
          <w:rFonts w:hint="eastAsia" w:ascii="宋体" w:hAnsi="宋体" w:eastAsia="宋体" w:cs="宋体"/>
          <w:color w:val="auto"/>
          <w:sz w:val="21"/>
          <w:szCs w:val="21"/>
          <w:highlight w:val="none"/>
          <w:lang w:val="en-US" w:eastAsia="zh-CN"/>
        </w:rPr>
        <w:t>资料</w:t>
      </w:r>
      <w:r>
        <w:rPr>
          <w:rFonts w:hint="eastAsia" w:ascii="宋体" w:hAnsi="宋体" w:eastAsia="宋体" w:cs="宋体"/>
          <w:color w:val="auto"/>
          <w:sz w:val="21"/>
          <w:szCs w:val="21"/>
          <w:highlight w:val="none"/>
        </w:rPr>
        <w:t>并</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rPr>
        <w:t>100%结算价的等额有效的增值税专用发票原件，招标人在二十个工作日内支付至结算价的9</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％，剩余结算价的</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％用作质保金。</w:t>
      </w:r>
    </w:p>
    <w:p w14:paraId="23FE669A">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 2 \* GB3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采取不可撤销质量保函方式的，到货并安装调试完毕、验收合格并上牌交付后，中标人提交符合招标人要求的请款</w:t>
      </w:r>
      <w:r>
        <w:rPr>
          <w:rFonts w:hint="eastAsia" w:ascii="宋体" w:hAnsi="宋体" w:eastAsia="宋体" w:cs="宋体"/>
          <w:color w:val="auto"/>
          <w:sz w:val="21"/>
          <w:szCs w:val="21"/>
          <w:highlight w:val="none"/>
          <w:lang w:val="en-US" w:eastAsia="zh-CN"/>
        </w:rPr>
        <w:t>资料</w:t>
      </w:r>
      <w:r>
        <w:rPr>
          <w:rFonts w:hint="eastAsia" w:ascii="宋体" w:hAnsi="宋体" w:eastAsia="宋体" w:cs="宋体"/>
          <w:color w:val="auto"/>
          <w:sz w:val="21"/>
          <w:szCs w:val="21"/>
          <w:highlight w:val="none"/>
        </w:rPr>
        <w:t>并</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rPr>
        <w:t>100%结算价等额</w:t>
      </w:r>
      <w:r>
        <w:rPr>
          <w:rFonts w:hint="eastAsia" w:ascii="宋体" w:hAnsi="宋体" w:eastAsia="宋体" w:cs="宋体"/>
          <w:color w:val="auto"/>
          <w:sz w:val="21"/>
          <w:szCs w:val="21"/>
          <w:highlight w:val="none"/>
          <w:lang w:val="en-US" w:eastAsia="zh-CN"/>
        </w:rPr>
        <w:t>有效</w:t>
      </w:r>
      <w:r>
        <w:rPr>
          <w:rFonts w:hint="eastAsia" w:ascii="宋体" w:hAnsi="宋体" w:eastAsia="宋体" w:cs="宋体"/>
          <w:color w:val="auto"/>
          <w:sz w:val="21"/>
          <w:szCs w:val="21"/>
          <w:highlight w:val="none"/>
        </w:rPr>
        <w:t>的增值税专用发票原件，并提供结算价</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%且有效期至质保期满的</w:t>
      </w:r>
      <w:r>
        <w:rPr>
          <w:rFonts w:hint="eastAsia" w:ascii="宋体" w:hAnsi="宋体" w:eastAsia="宋体" w:cs="宋体"/>
          <w:bCs/>
          <w:color w:val="auto"/>
          <w:sz w:val="21"/>
          <w:szCs w:val="21"/>
          <w:highlight w:val="none"/>
        </w:rPr>
        <w:t>不可撤销质量保函</w:t>
      </w:r>
      <w:r>
        <w:rPr>
          <w:rFonts w:hint="eastAsia" w:ascii="宋体" w:hAnsi="宋体" w:eastAsia="宋体" w:cs="宋体"/>
          <w:color w:val="auto"/>
          <w:sz w:val="21"/>
          <w:szCs w:val="21"/>
          <w:highlight w:val="none"/>
        </w:rPr>
        <w:t>后二十个工作日内，招标人向中标人支付至结算价的100％价款。</w:t>
      </w:r>
    </w:p>
    <w:p w14:paraId="62AC01B7">
      <w:pPr>
        <w:spacing w:line="360" w:lineRule="auto"/>
        <w:ind w:firstLine="422" w:firstLineChars="200"/>
        <w:contextualSpacing/>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（3）质保</w:t>
      </w:r>
      <w:r>
        <w:rPr>
          <w:rFonts w:hint="eastAsia" w:ascii="宋体" w:hAnsi="宋体" w:eastAsia="宋体" w:cs="宋体"/>
          <w:b/>
          <w:bCs/>
          <w:color w:val="auto"/>
          <w:sz w:val="21"/>
          <w:szCs w:val="21"/>
          <w:highlight w:val="none"/>
          <w:lang w:val="en-US" w:eastAsia="zh-CN"/>
        </w:rPr>
        <w:t>款</w:t>
      </w:r>
      <w:r>
        <w:rPr>
          <w:rFonts w:hint="eastAsia" w:ascii="宋体" w:hAnsi="宋体" w:eastAsia="宋体" w:cs="宋体"/>
          <w:b/>
          <w:bCs/>
          <w:color w:val="auto"/>
          <w:sz w:val="21"/>
          <w:szCs w:val="21"/>
          <w:highlight w:val="none"/>
        </w:rPr>
        <w:t>：</w:t>
      </w:r>
    </w:p>
    <w:p w14:paraId="1323E311">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 1 \* GB3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采取预留质保金方式的，车辆质保期满后，经招标人审核确认中标人提供的车辆无质量问题且中标人无违约行为，中标人提交请款报告并出具前述100%结算价款金额的等额有效的增值税专用发票复印件后二十个工作日内，招标人向中标人支付合同结算价剩余款项；</w:t>
      </w:r>
    </w:p>
    <w:p w14:paraId="388F0BB0">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 2 \* GB3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采取不可撤销质量保函方式的，车辆质保期满后一个月内，由中标人提出退回不可撤销质量保函申请，经招标人审核确认中标人车辆无质量问题且中标人无违约行为，由招标人退回不可撤销质量保函。</w:t>
      </w:r>
    </w:p>
    <w:p w14:paraId="07429E47">
      <w:pPr>
        <w:spacing w:line="360" w:lineRule="auto"/>
        <w:ind w:firstLine="630" w:firstLineChars="300"/>
        <w:contextualSpacing/>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val="en-US"/>
        </w:rPr>
        <w:t>③无论何种原因导致质保金/保函数额不符合要求的，中标人应当在5个工作日内予以补足。逾期不予补足的，招标人有权按需补足的金额要求中标人承担违约金，并要求限期补足。如中标人仍不补足的，招标人将按招标人有权按照合同约定追究违约责任</w:t>
      </w:r>
      <w:r>
        <w:rPr>
          <w:rFonts w:hint="eastAsia" w:ascii="宋体" w:hAnsi="宋体" w:eastAsia="宋体" w:cs="宋体"/>
          <w:b w:val="0"/>
          <w:bCs w:val="0"/>
          <w:color w:val="auto"/>
          <w:sz w:val="21"/>
          <w:szCs w:val="21"/>
          <w:highlight w:val="none"/>
          <w:lang w:val="en-US" w:eastAsia="zh-CN"/>
        </w:rPr>
        <w:t>。</w:t>
      </w:r>
    </w:p>
    <w:p w14:paraId="67FAC4F2">
      <w:pPr>
        <w:numPr>
          <w:ilvl w:val="255"/>
          <w:numId w:val="0"/>
        </w:numPr>
        <w:tabs>
          <w:tab w:val="left" w:pos="540"/>
        </w:tabs>
        <w:adjustRightInd w:val="0"/>
        <w:snapToGrid w:val="0"/>
        <w:spacing w:line="360" w:lineRule="auto"/>
        <w:ind w:left="420"/>
        <w:contextualSpacing/>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六、质保及售后服务要求</w:t>
      </w:r>
    </w:p>
    <w:p w14:paraId="7A8CDE4A">
      <w:pPr>
        <w:numPr>
          <w:ilvl w:val="255"/>
          <w:numId w:val="0"/>
        </w:numPr>
        <w:autoSpaceDE w:val="0"/>
        <w:autoSpaceDN w:val="0"/>
        <w:adjustRightInd w:val="0"/>
        <w:snapToGrid w:val="0"/>
        <w:spacing w:line="360" w:lineRule="auto"/>
        <w:ind w:firstLine="422" w:firstLine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（一）质保</w:t>
      </w:r>
    </w:p>
    <w:p w14:paraId="2B5395BC">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（1）质保期：24个月，自车辆及随车设备经招标人书面确认验收合格之日起计算。</w:t>
      </w:r>
    </w:p>
    <w:p w14:paraId="6871E11D">
      <w:pPr>
        <w:numPr>
          <w:ilvl w:val="255"/>
          <w:numId w:val="0"/>
        </w:num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（2）质保责任：按照国家规定的要求，在质保期内免费</w:t>
      </w:r>
      <w:r>
        <w:rPr>
          <w:rFonts w:hint="eastAsia" w:ascii="宋体" w:hAnsi="宋体" w:eastAsia="宋体" w:cs="宋体"/>
          <w:color w:val="auto"/>
          <w:kern w:val="0"/>
          <w:sz w:val="21"/>
          <w:szCs w:val="21"/>
          <w:highlight w:val="none"/>
        </w:rPr>
        <w:t>（包括但不限于为完成质保产生的拖车费、配件购置费、测试费、人工等各项费用）</w:t>
      </w:r>
      <w:r>
        <w:rPr>
          <w:rFonts w:hint="eastAsia" w:ascii="宋体" w:hAnsi="宋体" w:eastAsia="宋体" w:cs="宋体"/>
          <w:color w:val="auto"/>
          <w:kern w:val="0"/>
          <w:szCs w:val="21"/>
          <w:highlight w:val="none"/>
        </w:rPr>
        <w:t>解决非招标人原因造成的质量问题，中标人需参照国家相关法律（包括但不限于家用汽车产品修理更换退货责任规定）等规定承担三包责任。质保期内，对设备出现的不符合合同要求的、有问题的，中标人应进行免费维修、保修或更换配件</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中标人</w:t>
      </w:r>
      <w:r>
        <w:rPr>
          <w:rFonts w:hint="eastAsia" w:ascii="宋体" w:hAnsi="宋体" w:eastAsia="宋体" w:cs="宋体"/>
          <w:color w:val="auto"/>
          <w:kern w:val="0"/>
          <w:sz w:val="21"/>
          <w:szCs w:val="21"/>
          <w:highlight w:val="none"/>
        </w:rPr>
        <w:t>免费提供维护、维修以及其它售后服务，不再收取任何费用</w:t>
      </w:r>
      <w:r>
        <w:rPr>
          <w:rFonts w:hint="eastAsia" w:ascii="宋体" w:hAnsi="宋体" w:eastAsia="宋体" w:cs="宋体"/>
          <w:color w:val="auto"/>
          <w:kern w:val="0"/>
          <w:szCs w:val="21"/>
          <w:highlight w:val="none"/>
        </w:rPr>
        <w:t>。</w:t>
      </w:r>
    </w:p>
    <w:p w14:paraId="7E31A925">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（3）车辆零部件清单：中标人须在投标文件上提供</w:t>
      </w:r>
      <w:r>
        <w:rPr>
          <w:rFonts w:hint="eastAsia" w:ascii="宋体" w:hAnsi="宋体" w:eastAsia="宋体" w:cs="宋体"/>
          <w:color w:val="auto"/>
          <w:kern w:val="0"/>
          <w:szCs w:val="21"/>
          <w:highlight w:val="none"/>
          <w:lang w:bidi="ar"/>
        </w:rPr>
        <w:t>产品用户使用说明书中的零部件</w:t>
      </w:r>
      <w:r>
        <w:rPr>
          <w:rFonts w:hint="eastAsia" w:ascii="宋体" w:hAnsi="宋体" w:eastAsia="宋体" w:cs="宋体"/>
          <w:color w:val="auto"/>
          <w:kern w:val="0"/>
          <w:szCs w:val="21"/>
          <w:highlight w:val="none"/>
          <w:lang w:val="en-US" w:eastAsia="zh-CN" w:bidi="ar"/>
        </w:rPr>
        <w:t>保修期限表</w:t>
      </w:r>
      <w:r>
        <w:rPr>
          <w:rFonts w:hint="eastAsia" w:ascii="宋体" w:hAnsi="宋体" w:eastAsia="宋体" w:cs="宋体"/>
          <w:color w:val="auto"/>
          <w:kern w:val="0"/>
          <w:szCs w:val="21"/>
          <w:highlight w:val="none"/>
          <w:lang w:bidi="ar"/>
        </w:rPr>
        <w:t>，并明确各零部件的质保期限，其中部分零</w:t>
      </w:r>
      <w:r>
        <w:rPr>
          <w:rFonts w:hint="eastAsia" w:ascii="宋体" w:hAnsi="宋体" w:eastAsia="宋体" w:cs="宋体"/>
          <w:color w:val="auto"/>
          <w:kern w:val="0"/>
          <w:szCs w:val="21"/>
          <w:highlight w:val="none"/>
          <w:lang w:val="en-US" w:eastAsia="zh-CN" w:bidi="ar"/>
        </w:rPr>
        <w:t>部</w:t>
      </w:r>
      <w:r>
        <w:rPr>
          <w:rFonts w:hint="eastAsia" w:ascii="宋体" w:hAnsi="宋体" w:eastAsia="宋体" w:cs="宋体"/>
          <w:color w:val="auto"/>
          <w:kern w:val="0"/>
          <w:szCs w:val="21"/>
          <w:highlight w:val="none"/>
          <w:lang w:bidi="ar"/>
        </w:rPr>
        <w:t>件保修期限要求详见附</w:t>
      </w:r>
      <w:r>
        <w:rPr>
          <w:rFonts w:hint="eastAsia" w:ascii="宋体" w:hAnsi="宋体" w:eastAsia="宋体" w:cs="宋体"/>
          <w:color w:val="auto"/>
          <w:kern w:val="0"/>
          <w:szCs w:val="21"/>
          <w:highlight w:val="none"/>
          <w:lang w:val="en-US" w:eastAsia="zh-CN" w:bidi="ar"/>
        </w:rPr>
        <w:t>表《</w:t>
      </w:r>
      <w:r>
        <w:rPr>
          <w:rFonts w:hint="eastAsia" w:ascii="宋体" w:hAnsi="宋体" w:eastAsia="宋体" w:cs="宋体"/>
          <w:color w:val="auto"/>
          <w:kern w:val="0"/>
          <w:szCs w:val="21"/>
          <w:highlight w:val="none"/>
          <w:lang w:bidi="ar"/>
        </w:rPr>
        <w:t>部分零部件保修期限</w:t>
      </w:r>
      <w:r>
        <w:rPr>
          <w:rFonts w:hint="eastAsia" w:ascii="宋体" w:hAnsi="宋体" w:eastAsia="宋体" w:cs="宋体"/>
          <w:color w:val="auto"/>
          <w:kern w:val="0"/>
          <w:szCs w:val="21"/>
          <w:highlight w:val="none"/>
          <w:lang w:val="en-US" w:eastAsia="zh-CN" w:bidi="ar"/>
        </w:rPr>
        <w:t>表》，</w:t>
      </w:r>
      <w:r>
        <w:rPr>
          <w:rFonts w:hint="eastAsia" w:ascii="宋体" w:hAnsi="宋体" w:eastAsia="宋体" w:cs="宋体"/>
          <w:color w:val="auto"/>
          <w:kern w:val="0"/>
          <w:sz w:val="22"/>
          <w:highlight w:val="none"/>
          <w:u w:val="none"/>
          <w:lang w:val="en-US" w:eastAsia="zh-CN" w:bidi="ar"/>
        </w:rPr>
        <w:t>投标人提供的</w:t>
      </w:r>
      <w:r>
        <w:rPr>
          <w:rFonts w:hint="eastAsia" w:ascii="宋体" w:hAnsi="宋体" w:eastAsia="宋体" w:cs="宋体"/>
          <w:color w:val="auto"/>
          <w:kern w:val="0"/>
          <w:sz w:val="22"/>
          <w:highlight w:val="none"/>
          <w:u w:val="none"/>
          <w:lang w:bidi="ar"/>
        </w:rPr>
        <w:t>产品用户使用说明书中的零部件</w:t>
      </w:r>
      <w:r>
        <w:rPr>
          <w:rFonts w:hint="eastAsia" w:ascii="宋体" w:hAnsi="宋体" w:eastAsia="宋体" w:cs="宋体"/>
          <w:color w:val="auto"/>
          <w:kern w:val="0"/>
          <w:szCs w:val="21"/>
          <w:highlight w:val="none"/>
          <w:lang w:val="en-US" w:eastAsia="zh-CN" w:bidi="ar"/>
        </w:rPr>
        <w:t>保修期限表</w:t>
      </w:r>
      <w:r>
        <w:rPr>
          <w:rFonts w:hint="eastAsia" w:ascii="宋体" w:hAnsi="宋体" w:eastAsia="宋体" w:cs="宋体"/>
          <w:color w:val="auto"/>
          <w:kern w:val="0"/>
          <w:sz w:val="22"/>
          <w:highlight w:val="none"/>
          <w:u w:val="none"/>
          <w:lang w:val="en-US" w:eastAsia="zh-CN" w:bidi="ar"/>
        </w:rPr>
        <w:t>与附表有差异的，以附表质保期限为准</w:t>
      </w:r>
      <w:r>
        <w:rPr>
          <w:rFonts w:hint="eastAsia" w:ascii="宋体" w:hAnsi="宋体" w:eastAsia="宋体" w:cs="宋体"/>
          <w:color w:val="auto"/>
          <w:kern w:val="0"/>
          <w:szCs w:val="21"/>
          <w:highlight w:val="none"/>
          <w:lang w:bidi="ar"/>
        </w:rPr>
        <w:t>。</w:t>
      </w:r>
    </w:p>
    <w:p w14:paraId="47646961">
      <w:pPr>
        <w:numPr>
          <w:ilvl w:val="255"/>
          <w:numId w:val="0"/>
        </w:numPr>
        <w:autoSpaceDE w:val="0"/>
        <w:autoSpaceDN w:val="0"/>
        <w:adjustRightInd w:val="0"/>
        <w:snapToGrid w:val="0"/>
        <w:spacing w:line="360" w:lineRule="auto"/>
        <w:ind w:firstLine="422" w:firstLineChars="200"/>
        <w:contextualSpacing/>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 xml:space="preserve"> （4）其他：</w:t>
      </w:r>
      <w:r>
        <w:rPr>
          <w:rFonts w:hint="eastAsia" w:ascii="宋体" w:hAnsi="宋体" w:eastAsia="宋体" w:cs="宋体"/>
          <w:b/>
          <w:bCs/>
          <w:color w:val="auto"/>
          <w:kern w:val="0"/>
          <w:szCs w:val="21"/>
          <w:highlight w:val="none"/>
          <w:lang w:bidi="ar"/>
        </w:rPr>
        <w:t>招标人有权选择中标人指定的维护保养点外的汽修店进行维护保养。</w:t>
      </w:r>
      <w:r>
        <w:rPr>
          <w:rFonts w:hint="eastAsia" w:ascii="宋体" w:hAnsi="宋体" w:eastAsia="宋体" w:cs="宋体"/>
          <w:b/>
          <w:bCs/>
          <w:color w:val="auto"/>
          <w:kern w:val="0"/>
          <w:szCs w:val="21"/>
          <w:highlight w:val="none"/>
        </w:rPr>
        <w:t>中标人不得以车辆未在原厂实施维护保养而终止质保期或拒绝提供质保服务。</w:t>
      </w:r>
    </w:p>
    <w:p w14:paraId="097A81DF">
      <w:pPr>
        <w:autoSpaceDE w:val="0"/>
        <w:autoSpaceDN w:val="0"/>
        <w:adjustRightInd w:val="0"/>
        <w:snapToGrid w:val="0"/>
        <w:spacing w:line="360" w:lineRule="auto"/>
        <w:ind w:left="420" w:left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（二）售后及保养</w:t>
      </w:r>
    </w:p>
    <w:p w14:paraId="761AF676">
      <w:pPr>
        <w:numPr>
          <w:ilvl w:val="-1"/>
          <w:numId w:val="0"/>
        </w:numPr>
        <w:autoSpaceDE/>
        <w:autoSpaceDN/>
        <w:adjustRightInd/>
        <w:snapToGrid/>
        <w:spacing w:line="360" w:lineRule="auto"/>
        <w:ind w:firstLine="422" w:firstLineChars="200"/>
        <w:contextualSpacing/>
        <w:jc w:val="both"/>
        <w:rPr>
          <w:rFonts w:hint="eastAsia" w:ascii="宋体" w:hAnsi="宋体" w:eastAsia="宋体" w:cs="宋体"/>
          <w:b/>
          <w:bCs/>
          <w:color w:val="auto"/>
          <w:kern w:val="0"/>
          <w:sz w:val="21"/>
          <w:szCs w:val="21"/>
          <w:highlight w:val="none"/>
          <w:lang w:bidi="ar"/>
        </w:rPr>
      </w:pPr>
      <w:r>
        <w:rPr>
          <w:rFonts w:hint="eastAsia" w:ascii="宋体" w:hAnsi="宋体" w:eastAsia="宋体" w:cs="宋体"/>
          <w:b/>
          <w:bCs/>
          <w:color w:val="auto"/>
          <w:kern w:val="0"/>
          <w:sz w:val="21"/>
          <w:szCs w:val="21"/>
          <w:highlight w:val="none"/>
          <w:lang w:val="zh-CN" w:bidi="ar"/>
        </w:rPr>
        <w:t>★</w:t>
      </w:r>
      <w:r>
        <w:rPr>
          <w:rFonts w:hint="eastAsia" w:ascii="宋体" w:hAnsi="宋体" w:eastAsia="宋体" w:cs="宋体"/>
          <w:b/>
          <w:bCs/>
          <w:color w:val="auto"/>
          <w:kern w:val="0"/>
          <w:sz w:val="21"/>
          <w:szCs w:val="21"/>
          <w:highlight w:val="none"/>
          <w:lang w:bidi="ar"/>
        </w:rPr>
        <w:t>（1）质保期内，中标人须根据车辆使用说明书或用户使用手册（中文）要求的频率及次数提供免费的整车保养及整体检查（机油、冷却液、刹车油以及车辆上装部分的润滑油脂等耗材均免费）。</w:t>
      </w:r>
    </w:p>
    <w:p w14:paraId="734D248A">
      <w:pPr>
        <w:widowControl/>
        <w:numPr>
          <w:ilvl w:val="255"/>
          <w:numId w:val="0"/>
        </w:numPr>
        <w:spacing w:line="360" w:lineRule="auto"/>
        <w:ind w:firstLine="420" w:firstLineChars="200"/>
        <w:contextualSpacing/>
        <w:jc w:val="left"/>
        <w:rPr>
          <w:rFonts w:hint="eastAsia"/>
          <w:color w:val="auto"/>
          <w:highlight w:val="none"/>
        </w:rPr>
      </w:pPr>
      <w:r>
        <w:rPr>
          <w:rFonts w:hint="eastAsia" w:ascii="宋体" w:hAnsi="宋体" w:eastAsia="宋体" w:cs="宋体"/>
          <w:color w:val="auto"/>
          <w:kern w:val="0"/>
          <w:szCs w:val="21"/>
          <w:highlight w:val="none"/>
          <w:lang w:val="en-US" w:eastAsia="zh-CN"/>
        </w:rPr>
        <w:t>（2）如招标人有需要，中标人须无条件为招标人处理防撞车事故售后全过程，并为招标人办理保险理赔等售后服务。</w:t>
      </w:r>
    </w:p>
    <w:p w14:paraId="17731E4D">
      <w:pPr>
        <w:numPr>
          <w:ilvl w:val="255"/>
          <w:numId w:val="0"/>
        </w:numPr>
        <w:snapToGrid w:val="0"/>
        <w:spacing w:line="360" w:lineRule="auto"/>
        <w:ind w:firstLine="420" w:firstLineChars="200"/>
        <w:contextualSpacing/>
        <w:jc w:val="left"/>
        <w:rPr>
          <w:rFonts w:hAnsi="宋体" w:cs="宋体"/>
          <w:color w:val="auto"/>
          <w:sz w:val="21"/>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w:t>
      </w:r>
      <w:r>
        <w:rPr>
          <w:rFonts w:hint="eastAsia" w:ascii="宋体" w:hAnsi="宋体" w:eastAsia="宋体" w:cs="宋体"/>
          <w:color w:val="auto"/>
          <w:kern w:val="0"/>
          <w:sz w:val="21"/>
          <w:szCs w:val="21"/>
          <w:highlight w:val="none"/>
        </w:rPr>
        <w:t>中标人质保期内须提供24小时服务热线和全天候维修服务用以处理所有售后服务，中标人维修人员自接到维修通知起1小时内响应，招标人有权要求中标人6小时内到达招标人指定地点，并于到位后2小时内提供解决方案。</w:t>
      </w:r>
    </w:p>
    <w:p w14:paraId="0C0308D2">
      <w:pPr>
        <w:autoSpaceDE w:val="0"/>
        <w:autoSpaceDN w:val="0"/>
        <w:adjustRightInd w:val="0"/>
        <w:snapToGrid w:val="0"/>
        <w:spacing w:line="360" w:lineRule="auto"/>
        <w:ind w:firstLine="420" w:firstLineChars="200"/>
        <w:contextualSpacing/>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如车辆因质量因素造成的损坏，均由中标人负责免费维修和更换备件。如属缺陷产品，按《缺陷汽车产品召回管理规定》召回。招标人有权拒绝使用带有缺陷的或与合同要求不符的设备或零件，这些设备或零件由中标人修好或更换，招标人不负担所增加费用。在质保期内，招标人如发现产品的质量、规格、性能、数量等与招标文件要求及中标人投标文件响应承诺的不符，或发现产品无论由于任何原因存在隐藏缺陷、工艺问题或使用不良的材料的，或产品出现质量问题的，中标人应承担更换或退货责任。</w:t>
      </w:r>
    </w:p>
    <w:p w14:paraId="0A1B2B4F">
      <w:pPr>
        <w:autoSpaceDE w:val="0"/>
        <w:autoSpaceDN w:val="0"/>
        <w:adjustRightInd w:val="0"/>
        <w:snapToGrid w:val="0"/>
        <w:spacing w:line="360" w:lineRule="auto"/>
        <w:ind w:firstLine="420" w:firstLineChars="200"/>
        <w:contextualSpacing/>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）在质保期内</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非人为原因造成</w:t>
      </w:r>
      <w:r>
        <w:rPr>
          <w:rFonts w:hint="eastAsia" w:ascii="宋体" w:hAnsi="宋体" w:eastAsia="宋体" w:cs="宋体"/>
          <w:color w:val="auto"/>
          <w:kern w:val="0"/>
          <w:sz w:val="21"/>
          <w:szCs w:val="21"/>
          <w:highlight w:val="none"/>
        </w:rPr>
        <w:t>车辆出现严重故障、影响正常运行的情况下，应进行免费</w:t>
      </w:r>
      <w:r>
        <w:rPr>
          <w:rFonts w:hint="eastAsia" w:ascii="宋体" w:hAnsi="宋体" w:eastAsia="宋体" w:cs="宋体"/>
          <w:color w:val="auto"/>
          <w:kern w:val="0"/>
          <w:sz w:val="21"/>
          <w:szCs w:val="21"/>
          <w:highlight w:val="none"/>
          <w:lang w:val="en-US" w:eastAsia="zh-CN"/>
        </w:rPr>
        <w:t>修复</w:t>
      </w:r>
      <w:r>
        <w:rPr>
          <w:rFonts w:hint="eastAsia" w:ascii="宋体" w:hAnsi="宋体" w:eastAsia="宋体" w:cs="宋体"/>
          <w:color w:val="auto"/>
          <w:kern w:val="0"/>
          <w:sz w:val="21"/>
          <w:szCs w:val="21"/>
          <w:highlight w:val="none"/>
        </w:rPr>
        <w:t>。如发现故障5天内无法修复，或一个故障累计出现超过三次（含三次），或累计经三次维修后仍无法正常运行的，</w:t>
      </w:r>
      <w:r>
        <w:rPr>
          <w:rFonts w:hint="eastAsia" w:ascii="宋体" w:hAnsi="宋体" w:eastAsia="宋体" w:cs="宋体"/>
          <w:color w:val="auto"/>
          <w:kern w:val="0"/>
          <w:sz w:val="21"/>
          <w:szCs w:val="21"/>
          <w:highlight w:val="none"/>
          <w:lang w:val="en-US" w:eastAsia="zh-CN"/>
        </w:rPr>
        <w:t>招标人有权收取罚款10000元/次。</w:t>
      </w:r>
    </w:p>
    <w:p w14:paraId="679735A4">
      <w:pPr>
        <w:autoSpaceDE w:val="0"/>
        <w:autoSpaceDN w:val="0"/>
        <w:adjustRightInd w:val="0"/>
        <w:snapToGrid w:val="0"/>
        <w:spacing w:line="360" w:lineRule="auto"/>
        <w:ind w:firstLine="420" w:firstLineChars="200"/>
        <w:contextualSpacing/>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）质保期内全部服务费（含更换零部件，达到用户需求书及合同约定条件的更换货物）和维修费及中标人技术服务人员的一切费用由中标人自理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包括但不限于为完成质保期的工作而产生的运费、购置费、测试费、人工等各项费用（包括进口关税和增值税等）。</w:t>
      </w:r>
    </w:p>
    <w:p w14:paraId="11FB9141">
      <w:pPr>
        <w:autoSpaceDE w:val="0"/>
        <w:autoSpaceDN w:val="0"/>
        <w:adjustRightInd w:val="0"/>
        <w:snapToGrid w:val="0"/>
        <w:spacing w:line="360" w:lineRule="auto"/>
        <w:ind w:firstLine="420" w:firstLineChars="200"/>
        <w:contextualSpacing/>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）车辆下装部分，中标人须根据招标人要求，在东莞市范围内提供不少于一个售后服务点，且须满足提供全部售后服务，否则按违反承诺处理。</w:t>
      </w:r>
    </w:p>
    <w:p w14:paraId="7370D583">
      <w:pPr>
        <w:snapToGrid w:val="0"/>
        <w:spacing w:line="360" w:lineRule="auto"/>
        <w:ind w:firstLine="422" w:firstLineChars="20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（三）培训要求</w:t>
      </w:r>
    </w:p>
    <w:p w14:paraId="45E42F16">
      <w:pPr>
        <w:numPr>
          <w:ilvl w:val="255"/>
          <w:numId w:val="0"/>
        </w:numPr>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人在验收合格后提供一次免费专业知识和设备实操培训服务，就货物的功能对招标人进行相应的维护保养培训和安全操作规范培训，培训地点主要在车辆交付现场或由双方约定，技术培训费用已包含在采购总价中。主要培训内容包括但不限于：1、车辆结构及原理培训，了解车辆及车辆各部件名称用途；2、车辆操作使用培训，包括日常操作，作业前准备，停车注意事项、车辆仪表控制操作，配件不同工况选择以及车辆操作使用技巧；3、车辆操作使用注意事项；4、车辆维护与保养；5、故障分析与排除；6、专项保养指引手册，须标注易损易耗件的明细、保养注意事项等；7、列明各种专项操作完成后，针对特定零部件的保养方法。</w:t>
      </w:r>
    </w:p>
    <w:p w14:paraId="48A2D547">
      <w:pPr>
        <w:numPr>
          <w:ilvl w:val="255"/>
          <w:numId w:val="0"/>
        </w:numPr>
        <w:autoSpaceDE w:val="0"/>
        <w:autoSpaceDN w:val="0"/>
        <w:adjustRightInd w:val="0"/>
        <w:spacing w:line="360" w:lineRule="auto"/>
        <w:ind w:firstLine="422" w:firstLineChars="200"/>
        <w:contextualSpacing/>
        <w:jc w:val="left"/>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七、知识产权</w:t>
      </w:r>
    </w:p>
    <w:p w14:paraId="5F9A67EB">
      <w:pPr>
        <w:widowControl/>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招标价格已包括所有应支付的专利权</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商权</w:t>
      </w:r>
      <w:r>
        <w:rPr>
          <w:rFonts w:hint="eastAsia" w:ascii="宋体" w:hAnsi="宋体" w:eastAsia="宋体" w:cs="宋体"/>
          <w:color w:val="auto"/>
          <w:kern w:val="0"/>
          <w:szCs w:val="21"/>
          <w:highlight w:val="none"/>
        </w:rPr>
        <w:t>和版权、设计或其他知识产权</w:t>
      </w:r>
      <w:r>
        <w:rPr>
          <w:rFonts w:hint="eastAsia" w:ascii="宋体" w:hAnsi="宋体" w:eastAsia="宋体" w:cs="宋体"/>
          <w:color w:val="auto"/>
          <w:kern w:val="0"/>
          <w:szCs w:val="21"/>
          <w:highlight w:val="none"/>
          <w:lang w:val="en-US" w:eastAsia="zh-CN"/>
        </w:rPr>
        <w:t>而需要向其他方支付</w:t>
      </w:r>
      <w:r>
        <w:rPr>
          <w:rFonts w:hint="eastAsia" w:ascii="宋体" w:hAnsi="宋体" w:eastAsia="宋体" w:cs="宋体"/>
          <w:color w:val="auto"/>
          <w:kern w:val="0"/>
          <w:szCs w:val="21"/>
          <w:highlight w:val="none"/>
        </w:rPr>
        <w:t>的</w:t>
      </w:r>
      <w:r>
        <w:rPr>
          <w:rFonts w:hint="eastAsia" w:ascii="宋体" w:hAnsi="宋体" w:eastAsia="宋体" w:cs="宋体"/>
          <w:color w:val="auto"/>
          <w:kern w:val="0"/>
          <w:szCs w:val="21"/>
          <w:highlight w:val="none"/>
          <w:lang w:val="en-US" w:eastAsia="zh-CN"/>
        </w:rPr>
        <w:t>专利技术</w:t>
      </w:r>
      <w:r>
        <w:rPr>
          <w:rFonts w:hint="eastAsia" w:ascii="宋体" w:hAnsi="宋体" w:eastAsia="宋体" w:cs="宋体"/>
          <w:color w:val="auto"/>
          <w:kern w:val="0"/>
          <w:szCs w:val="21"/>
          <w:highlight w:val="none"/>
        </w:rPr>
        <w:t>使用费和版税。中标人应保证交付的全部产品不存在侵犯第三方知识产权和其他权利的情况（包括但不限于所供产品附带已安装的系统、软件等）且拥有对产品完全的所有权。如有违反，中标人须承担因此产生的全部责任及费用，如因此造成招标人损失的，中标人应予以赔偿。</w:t>
      </w:r>
    </w:p>
    <w:p w14:paraId="08D39806">
      <w:pPr>
        <w:numPr>
          <w:ilvl w:val="255"/>
          <w:numId w:val="0"/>
        </w:numPr>
        <w:tabs>
          <w:tab w:val="left" w:pos="540"/>
        </w:tabs>
        <w:adjustRightInd w:val="0"/>
        <w:snapToGrid w:val="0"/>
        <w:spacing w:line="360" w:lineRule="auto"/>
        <w:ind w:firstLine="422" w:firstLineChars="200"/>
        <w:contextualSpacing/>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八、造假或虚假承诺行为的处理</w:t>
      </w:r>
    </w:p>
    <w:p w14:paraId="44E97D5A">
      <w:pPr>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履约阶段若发现有造假或虚假承诺的，中标人需严格按照招标文件要求进行整改直至满足招标文件要求，如中标人5个工作日内未完成整改工作，由此造成的损失的，招标人可对中标人处以每日</w:t>
      </w:r>
      <w:r>
        <w:rPr>
          <w:rFonts w:hint="eastAsia" w:ascii="宋体" w:hAnsi="宋体" w:eastAsia="宋体" w:cs="Times New Roman"/>
          <w:color w:val="auto"/>
          <w:kern w:val="0"/>
          <w:szCs w:val="21"/>
          <w:highlight w:val="none"/>
          <w:lang w:val="en-US" w:eastAsia="zh-CN"/>
        </w:rPr>
        <w:t>2</w:t>
      </w:r>
      <w:r>
        <w:rPr>
          <w:rFonts w:hint="eastAsia" w:ascii="宋体" w:hAnsi="宋体" w:eastAsia="宋体" w:cs="Times New Roman"/>
          <w:color w:val="auto"/>
          <w:kern w:val="0"/>
          <w:szCs w:val="21"/>
          <w:highlight w:val="none"/>
        </w:rPr>
        <w:t>‰</w:t>
      </w:r>
      <w:r>
        <w:rPr>
          <w:rFonts w:hint="eastAsia" w:ascii="宋体" w:hAnsi="宋体" w:eastAsia="宋体" w:cs="宋体"/>
          <w:color w:val="auto"/>
          <w:kern w:val="0"/>
          <w:szCs w:val="21"/>
          <w:highlight w:val="none"/>
        </w:rPr>
        <w:t>合同</w:t>
      </w:r>
      <w:r>
        <w:rPr>
          <w:rFonts w:hint="eastAsia" w:ascii="宋体" w:hAnsi="宋体" w:eastAsia="宋体" w:cs="宋体"/>
          <w:color w:val="auto"/>
          <w:kern w:val="0"/>
          <w:szCs w:val="21"/>
          <w:highlight w:val="none"/>
          <w:lang w:val="en-US" w:eastAsia="zh-CN"/>
        </w:rPr>
        <w:t>含税总价</w:t>
      </w:r>
      <w:r>
        <w:rPr>
          <w:rFonts w:hint="eastAsia" w:ascii="宋体" w:hAnsi="宋体" w:eastAsia="宋体" w:cs="宋体"/>
          <w:color w:val="auto"/>
          <w:kern w:val="0"/>
          <w:szCs w:val="21"/>
          <w:highlight w:val="none"/>
        </w:rPr>
        <w:t>的罚金。</w:t>
      </w:r>
    </w:p>
    <w:p w14:paraId="4A4CE016">
      <w:pPr>
        <w:numPr>
          <w:ilvl w:val="255"/>
          <w:numId w:val="0"/>
        </w:numPr>
        <w:tabs>
          <w:tab w:val="left" w:pos="540"/>
        </w:tabs>
        <w:snapToGrid w:val="0"/>
        <w:spacing w:line="360" w:lineRule="auto"/>
        <w:ind w:firstLine="422" w:firstLineChars="200"/>
        <w:contextualSpacing/>
        <w:rPr>
          <w:rFonts w:hint="default" w:ascii="宋体" w:hAnsi="宋体" w:eastAsia="宋体" w:cs="宋体"/>
          <w:b/>
          <w:color w:val="auto"/>
          <w:kern w:val="0"/>
          <w:szCs w:val="21"/>
          <w:highlight w:val="none"/>
          <w:lang w:val="en-US" w:eastAsia="zh-CN"/>
        </w:rPr>
      </w:pPr>
      <w:r>
        <w:rPr>
          <w:rFonts w:hint="eastAsia" w:ascii="宋体" w:hAnsi="宋体" w:eastAsia="宋体" w:cs="宋体"/>
          <w:b/>
          <w:color w:val="auto"/>
          <w:kern w:val="0"/>
          <w:szCs w:val="21"/>
          <w:highlight w:val="none"/>
        </w:rPr>
        <w:t>九、</w:t>
      </w:r>
      <w:r>
        <w:rPr>
          <w:rFonts w:hint="eastAsia" w:ascii="宋体" w:hAnsi="宋体" w:eastAsia="宋体" w:cs="宋体"/>
          <w:b/>
          <w:color w:val="auto"/>
          <w:kern w:val="0"/>
          <w:szCs w:val="21"/>
          <w:highlight w:val="none"/>
          <w:lang w:val="en-US" w:eastAsia="zh-CN"/>
        </w:rPr>
        <w:t>违约责任</w:t>
      </w:r>
    </w:p>
    <w:p w14:paraId="63BFA121">
      <w:p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（一）中标人逾期供货或交货的</w:t>
      </w:r>
      <w:r>
        <w:rPr>
          <w:rFonts w:hint="eastAsia" w:ascii="宋体" w:hAnsi="宋体" w:eastAsia="宋体" w:cs="Times New Roman"/>
          <w:color w:val="auto"/>
          <w:kern w:val="0"/>
          <w:szCs w:val="21"/>
          <w:highlight w:val="none"/>
          <w:lang w:val="en-US" w:eastAsia="zh-CN" w:bidi="ar"/>
        </w:rPr>
        <w:t>（包括但不限于因查验、验收不合格等导致的逾期供货）</w:t>
      </w:r>
      <w:r>
        <w:rPr>
          <w:rFonts w:hint="eastAsia" w:ascii="宋体" w:hAnsi="宋体" w:eastAsia="宋体" w:cs="宋体"/>
          <w:color w:val="auto"/>
          <w:kern w:val="0"/>
          <w:szCs w:val="21"/>
          <w:highlight w:val="none"/>
        </w:rPr>
        <w:t>，招标人有权要求中标人</w:t>
      </w:r>
      <w:r>
        <w:rPr>
          <w:rFonts w:hint="eastAsia" w:ascii="宋体" w:hAnsi="宋体" w:eastAsia="宋体" w:cs="宋体"/>
          <w:color w:val="auto"/>
          <w:kern w:val="0"/>
          <w:szCs w:val="21"/>
          <w:highlight w:val="none"/>
          <w:lang w:val="en-US" w:eastAsia="zh-CN"/>
        </w:rPr>
        <w:t>限期</w:t>
      </w:r>
      <w:r>
        <w:rPr>
          <w:rFonts w:hint="eastAsia" w:ascii="宋体" w:hAnsi="宋体" w:eastAsia="宋体" w:cs="宋体"/>
          <w:color w:val="auto"/>
          <w:kern w:val="0"/>
          <w:szCs w:val="21"/>
          <w:highlight w:val="none"/>
        </w:rPr>
        <w:t>整改，并按照5000元/日的标准支付违约金(最高不超过合同含税总价的</w:t>
      </w:r>
      <w:r>
        <w:rPr>
          <w:rFonts w:hint="eastAsia" w:ascii="宋体" w:hAnsi="宋体" w:eastAsia="宋体" w:cs="宋体"/>
          <w:color w:val="auto"/>
          <w:kern w:val="0"/>
          <w:szCs w:val="21"/>
          <w:highlight w:val="none"/>
          <w:lang w:eastAsia="zh-CN"/>
        </w:rPr>
        <w:t>3%</w:t>
      </w:r>
      <w:r>
        <w:rPr>
          <w:rFonts w:hint="eastAsia" w:ascii="宋体" w:hAnsi="宋体" w:eastAsia="宋体" w:cs="宋体"/>
          <w:color w:val="auto"/>
          <w:kern w:val="0"/>
          <w:szCs w:val="21"/>
          <w:highlight w:val="none"/>
        </w:rPr>
        <w:t>)，若三次整改不通过导致逾期超过供货及验收所约定时限的30个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，中标人除支付上述违约金外，招标人有权直接解除合同，同时要求中标人支付合同总价</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的违约金。</w:t>
      </w:r>
    </w:p>
    <w:p w14:paraId="7B1AA59D">
      <w:p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二）中标人未按招标人要求对车辆进行喷涂的，经招标人1次书面警告后，5个自然日内无法完成整改的，招标人有权要求中标人支付违约金3000元/辆，并有权直接委托第三方对车辆进行喷涂，相关喷涂费用由中标人承担。</w:t>
      </w:r>
    </w:p>
    <w:p w14:paraId="0C8CD049">
      <w:pPr>
        <w:autoSpaceDE w:val="0"/>
        <w:autoSpaceDN w:val="0"/>
        <w:adjustRightInd w:val="0"/>
        <w:snapToGrid w:val="0"/>
        <w:spacing w:line="360" w:lineRule="auto"/>
        <w:ind w:firstLine="420" w:firstLineChars="200"/>
        <w:contextualSpacing/>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中标人所交付车辆整车改装须符合现行国家规定的专项作业车辆相关标准，且符合东莞市上牌要求，并完成车辆上东莞市牌照的所有工作。因不能上牌导致未能按期交货，中标人按照本条第1款承担违约责任，所造成的损失由中标人承担</w:t>
      </w:r>
      <w:r>
        <w:rPr>
          <w:rFonts w:hint="eastAsia" w:ascii="宋体" w:hAnsi="宋体" w:eastAsia="宋体" w:cs="宋体"/>
          <w:color w:val="auto"/>
          <w:kern w:val="0"/>
          <w:szCs w:val="21"/>
          <w:highlight w:val="none"/>
          <w:lang w:eastAsia="zh-CN"/>
        </w:rPr>
        <w:t>。</w:t>
      </w:r>
    </w:p>
    <w:p w14:paraId="2AC9A934">
      <w:pPr>
        <w:autoSpaceDE w:val="0"/>
        <w:autoSpaceDN w:val="0"/>
        <w:adjustRightInd w:val="0"/>
        <w:snapToGrid w:val="0"/>
        <w:spacing w:line="360" w:lineRule="auto"/>
        <w:ind w:firstLine="420" w:firstLineChars="20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（四）中标人未按本需求配合完成车辆查验或验收的，招标人经1次书面警告后，5个自然日内无法完成整改的，招标人有权要求中标人支付违约金</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0000元/次。逾期超过10个自然日未按要求完成整改的，招标人有权单方解除合同。</w:t>
      </w:r>
    </w:p>
    <w:p w14:paraId="3BF0936F">
      <w:pPr>
        <w:spacing w:line="360" w:lineRule="auto"/>
        <w:ind w:firstLine="420" w:firstLineChars="200"/>
        <w:contextualSpacing/>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质保期内，若中标人售后服务态度恶劣、持续响应不及时的，招标人有权按照合同约定追究违约责任。对于中标人质保期内售后服务响应不及时的，第一、二次中标人发警告函，第三次（含第三次）以后，每次将扣除质保金或质量保函金额的5%。</w:t>
      </w:r>
    </w:p>
    <w:p w14:paraId="64B1528C">
      <w:pPr>
        <w:spacing w:line="360" w:lineRule="auto"/>
        <w:ind w:firstLine="420" w:firstLineChars="200"/>
        <w:contextualSpacing/>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六</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履约阶段若发现有造假或虚假承诺的，中标人需严格按照招标文件</w:t>
      </w:r>
      <w:r>
        <w:rPr>
          <w:rFonts w:hint="eastAsia" w:ascii="宋体" w:hAnsi="宋体" w:eastAsia="宋体" w:cs="宋体"/>
          <w:bCs w:val="0"/>
          <w:color w:val="auto"/>
          <w:kern w:val="0"/>
          <w:sz w:val="21"/>
          <w:szCs w:val="21"/>
          <w:highlight w:val="none"/>
        </w:rPr>
        <w:t>及中标人投标文件承诺</w:t>
      </w:r>
      <w:r>
        <w:rPr>
          <w:rFonts w:hint="eastAsia" w:ascii="宋体" w:hAnsi="宋体" w:eastAsia="宋体" w:cs="宋体"/>
          <w:color w:val="auto"/>
          <w:kern w:val="0"/>
          <w:sz w:val="21"/>
          <w:szCs w:val="21"/>
          <w:highlight w:val="none"/>
        </w:rPr>
        <w:t>要求进行整改直至满足招标文件</w:t>
      </w:r>
      <w:r>
        <w:rPr>
          <w:rFonts w:hint="eastAsia" w:ascii="宋体" w:hAnsi="宋体" w:eastAsia="宋体" w:cs="宋体"/>
          <w:bCs w:val="0"/>
          <w:color w:val="auto"/>
          <w:kern w:val="0"/>
          <w:sz w:val="21"/>
          <w:szCs w:val="21"/>
          <w:highlight w:val="none"/>
        </w:rPr>
        <w:t>及中标人投标文件承诺</w:t>
      </w:r>
      <w:r>
        <w:rPr>
          <w:rFonts w:hint="eastAsia" w:ascii="宋体" w:hAnsi="宋体" w:eastAsia="宋体" w:cs="宋体"/>
          <w:color w:val="auto"/>
          <w:kern w:val="0"/>
          <w:sz w:val="21"/>
          <w:szCs w:val="21"/>
          <w:highlight w:val="none"/>
        </w:rPr>
        <w:t>要求，如中标人</w:t>
      </w:r>
      <w:r>
        <w:rPr>
          <w:rFonts w:hint="eastAsia" w:ascii="宋体" w:hAnsi="宋体" w:eastAsia="宋体" w:cs="宋体"/>
          <w:color w:val="auto"/>
          <w:kern w:val="0"/>
          <w:sz w:val="21"/>
          <w:szCs w:val="21"/>
          <w:highlight w:val="none"/>
          <w:lang w:val="en-US" w:eastAsia="zh-CN"/>
        </w:rPr>
        <w:t>5个自然日</w:t>
      </w:r>
      <w:r>
        <w:rPr>
          <w:rFonts w:hint="eastAsia" w:ascii="宋体" w:hAnsi="宋体" w:eastAsia="宋体" w:cs="宋体"/>
          <w:color w:val="auto"/>
          <w:kern w:val="0"/>
          <w:sz w:val="21"/>
          <w:szCs w:val="21"/>
          <w:highlight w:val="none"/>
        </w:rPr>
        <w:t>内不落实整改工作，由此造成的损失，招标人可对中标人处以每日</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eastAsia="宋体" w:cs="宋体"/>
          <w:color w:val="auto"/>
          <w:kern w:val="0"/>
          <w:sz w:val="21"/>
          <w:szCs w:val="21"/>
          <w:highlight w:val="none"/>
        </w:rPr>
        <w:t>暂定合同价款的罚金。</w:t>
      </w:r>
    </w:p>
    <w:p w14:paraId="00CF6087">
      <w:pPr>
        <w:rPr>
          <w:rFonts w:hint="eastAsia" w:ascii="宋体" w:hAnsi="宋体" w:eastAsia="宋体" w:cs="宋体"/>
          <w:i w:val="0"/>
          <w:iCs w:val="0"/>
          <w:color w:val="auto"/>
          <w:kern w:val="0"/>
          <w:sz w:val="30"/>
          <w:szCs w:val="30"/>
          <w:highlight w:val="none"/>
          <w:u w:val="none"/>
          <w:lang w:val="en-US" w:eastAsia="zh-CN" w:bidi="ar"/>
        </w:rPr>
      </w:pPr>
      <w:r>
        <w:rPr>
          <w:rFonts w:hint="eastAsia" w:ascii="宋体" w:hAnsi="宋体" w:eastAsia="宋体" w:cs="宋体"/>
          <w:i w:val="0"/>
          <w:iCs w:val="0"/>
          <w:color w:val="auto"/>
          <w:kern w:val="0"/>
          <w:sz w:val="30"/>
          <w:szCs w:val="30"/>
          <w:highlight w:val="none"/>
          <w:u w:val="none"/>
          <w:lang w:val="en-US" w:eastAsia="zh-CN" w:bidi="ar"/>
        </w:rPr>
        <w:br w:type="page"/>
      </w:r>
    </w:p>
    <w:p w14:paraId="1B6F91AF">
      <w:pPr>
        <w:widowControl/>
        <w:ind w:firstLine="0" w:firstLineChars="0"/>
        <w:jc w:val="both"/>
        <w:textAlignment w:val="center"/>
        <w:rPr>
          <w:rFonts w:hint="eastAsia" w:ascii="宋体" w:hAnsi="宋体" w:eastAsia="宋体" w:cs="宋体"/>
          <w:i w:val="0"/>
          <w:iCs w:val="0"/>
          <w:color w:val="auto"/>
          <w:kern w:val="0"/>
          <w:sz w:val="30"/>
          <w:szCs w:val="30"/>
          <w:highlight w:val="none"/>
          <w:u w:val="none"/>
          <w:lang w:val="en-US" w:eastAsia="zh-CN" w:bidi="ar"/>
        </w:rPr>
      </w:pPr>
      <w:r>
        <w:rPr>
          <w:rFonts w:hint="eastAsia" w:ascii="宋体" w:hAnsi="宋体" w:eastAsia="宋体" w:cs="宋体"/>
          <w:i w:val="0"/>
          <w:iCs w:val="0"/>
          <w:color w:val="auto"/>
          <w:kern w:val="0"/>
          <w:sz w:val="30"/>
          <w:szCs w:val="30"/>
          <w:highlight w:val="none"/>
          <w:u w:val="none"/>
          <w:lang w:val="en-US" w:eastAsia="zh-CN" w:bidi="ar"/>
        </w:rPr>
        <w:t>附件1：</w:t>
      </w:r>
    </w:p>
    <w:tbl>
      <w:tblPr>
        <w:tblStyle w:val="3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499"/>
        <w:gridCol w:w="6063"/>
        <w:gridCol w:w="1221"/>
        <w:gridCol w:w="707"/>
      </w:tblGrid>
      <w:tr w14:paraId="40CBF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B6563">
            <w:pPr>
              <w:keepNext w:val="0"/>
              <w:keepLines w:val="0"/>
              <w:widowControl/>
              <w:suppressLineNumbers w:val="0"/>
              <w:jc w:val="center"/>
              <w:textAlignment w:val="center"/>
              <w:rPr>
                <w:rFonts w:hint="eastAsia" w:ascii="宋体" w:hAnsi="宋体" w:eastAsia="宋体" w:cs="宋体"/>
                <w:b/>
                <w:bCs/>
                <w:i w:val="0"/>
                <w:iCs w:val="0"/>
                <w:color w:val="auto"/>
                <w:sz w:val="40"/>
                <w:szCs w:val="40"/>
                <w:highlight w:val="none"/>
                <w:u w:val="none"/>
              </w:rPr>
            </w:pPr>
            <w:r>
              <w:rPr>
                <w:rFonts w:hint="eastAsia" w:ascii="宋体" w:hAnsi="宋体" w:eastAsia="宋体" w:cs="宋体"/>
                <w:b/>
                <w:bCs/>
                <w:i w:val="0"/>
                <w:iCs w:val="0"/>
                <w:color w:val="auto"/>
                <w:kern w:val="0"/>
                <w:sz w:val="40"/>
                <w:szCs w:val="40"/>
                <w:highlight w:val="none"/>
                <w:u w:val="none"/>
                <w:lang w:val="en-US" w:eastAsia="zh-CN" w:bidi="ar"/>
              </w:rPr>
              <w:t>查验单</w:t>
            </w:r>
          </w:p>
        </w:tc>
      </w:tr>
      <w:tr w14:paraId="1FDE4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16972">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合同名称：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FA75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14:paraId="149AA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EA02">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采购单位：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84E4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14:paraId="2DACD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1726B">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供货单位：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1C2A">
            <w:pPr>
              <w:jc w:val="center"/>
              <w:rPr>
                <w:rFonts w:hint="eastAsia" w:ascii="宋体" w:hAnsi="宋体" w:eastAsia="宋体" w:cs="宋体"/>
                <w:i w:val="0"/>
                <w:iCs w:val="0"/>
                <w:color w:val="auto"/>
                <w:sz w:val="22"/>
                <w:szCs w:val="22"/>
                <w:highlight w:val="none"/>
                <w:u w:val="none"/>
              </w:rPr>
            </w:pPr>
          </w:p>
        </w:tc>
      </w:tr>
      <w:tr w14:paraId="4679C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BAB41">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设备名称：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9D8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14:paraId="0E850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8C682">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车架号</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1A7D3">
            <w:pPr>
              <w:jc w:val="center"/>
              <w:rPr>
                <w:rFonts w:hint="eastAsia" w:ascii="宋体" w:hAnsi="宋体" w:eastAsia="宋体" w:cs="宋体"/>
                <w:i w:val="0"/>
                <w:iCs w:val="0"/>
                <w:color w:val="auto"/>
                <w:sz w:val="22"/>
                <w:szCs w:val="22"/>
                <w:highlight w:val="none"/>
                <w:u w:val="none"/>
              </w:rPr>
            </w:pPr>
          </w:p>
        </w:tc>
      </w:tr>
      <w:tr w14:paraId="64ABD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BE40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D763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投标文件参数要求</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2923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是否</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符合要求</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A4D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523C6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F597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48BF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A25D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D01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53B1A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1E98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F7A9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CA38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5B98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65EB3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5459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3522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693D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925E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20DE6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2760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3CE4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A1F1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07A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18BBF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D90B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00CA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8BED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105A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64BF0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01233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参加查收单位和代表：</w:t>
            </w:r>
          </w:p>
        </w:tc>
      </w:tr>
      <w:tr w14:paraId="07E79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845B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采购单位查验意见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40F796">
            <w:pPr>
              <w:jc w:val="center"/>
              <w:rPr>
                <w:rFonts w:hint="eastAsia" w:ascii="宋体" w:hAnsi="宋体" w:eastAsia="宋体" w:cs="宋体"/>
                <w:i w:val="0"/>
                <w:iCs w:val="0"/>
                <w:color w:val="auto"/>
                <w:sz w:val="22"/>
                <w:szCs w:val="22"/>
                <w:highlight w:val="none"/>
                <w:u w:val="none"/>
              </w:rPr>
            </w:pPr>
          </w:p>
        </w:tc>
      </w:tr>
      <w:tr w14:paraId="6276F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206F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供货单位查验意见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DCFA3">
            <w:pPr>
              <w:jc w:val="center"/>
              <w:rPr>
                <w:rFonts w:hint="eastAsia" w:ascii="宋体" w:hAnsi="宋体" w:eastAsia="宋体" w:cs="宋体"/>
                <w:i w:val="0"/>
                <w:iCs w:val="0"/>
                <w:color w:val="auto"/>
                <w:sz w:val="24"/>
                <w:szCs w:val="24"/>
                <w:highlight w:val="none"/>
                <w:u w:val="none"/>
              </w:rPr>
            </w:pPr>
          </w:p>
        </w:tc>
      </w:tr>
      <w:tr w14:paraId="0F456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8069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第三方单位查验意见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8EB4C">
            <w:pPr>
              <w:jc w:val="center"/>
              <w:rPr>
                <w:rFonts w:hint="eastAsia" w:ascii="宋体" w:hAnsi="宋体" w:eastAsia="宋体" w:cs="宋体"/>
                <w:i w:val="0"/>
                <w:iCs w:val="0"/>
                <w:color w:val="auto"/>
                <w:sz w:val="24"/>
                <w:szCs w:val="24"/>
                <w:highlight w:val="none"/>
                <w:u w:val="none"/>
              </w:rPr>
            </w:pPr>
          </w:p>
        </w:tc>
      </w:tr>
    </w:tbl>
    <w:p w14:paraId="623764FA">
      <w:pPr>
        <w:rPr>
          <w:rFonts w:hint="eastAsia" w:ascii="宋体" w:hAnsi="宋体" w:eastAsia="宋体" w:cs="宋体"/>
          <w:i w:val="0"/>
          <w:iCs w:val="0"/>
          <w:color w:val="auto"/>
          <w:kern w:val="0"/>
          <w:sz w:val="30"/>
          <w:szCs w:val="30"/>
          <w:highlight w:val="none"/>
          <w:u w:val="none"/>
          <w:lang w:val="en-US" w:eastAsia="zh-CN" w:bidi="ar"/>
        </w:rPr>
      </w:pPr>
      <w:r>
        <w:rPr>
          <w:rFonts w:hint="eastAsia" w:ascii="宋体" w:hAnsi="宋体" w:eastAsia="宋体" w:cs="宋体"/>
          <w:i w:val="0"/>
          <w:iCs w:val="0"/>
          <w:color w:val="auto"/>
          <w:kern w:val="0"/>
          <w:sz w:val="30"/>
          <w:szCs w:val="30"/>
          <w:highlight w:val="none"/>
          <w:u w:val="none"/>
          <w:lang w:val="en-US" w:eastAsia="zh-CN" w:bidi="ar"/>
        </w:rPr>
        <w:br w:type="page"/>
      </w:r>
    </w:p>
    <w:p w14:paraId="11923C0F">
      <w:pPr>
        <w:widowControl/>
        <w:ind w:firstLine="0" w:firstLineChars="0"/>
        <w:jc w:val="both"/>
        <w:textAlignment w:val="center"/>
        <w:rPr>
          <w:rFonts w:hint="eastAsia" w:ascii="宋体" w:hAnsi="宋体" w:eastAsia="宋体" w:cs="宋体"/>
          <w:i w:val="0"/>
          <w:iCs w:val="0"/>
          <w:color w:val="auto"/>
          <w:kern w:val="0"/>
          <w:sz w:val="30"/>
          <w:szCs w:val="30"/>
          <w:highlight w:val="none"/>
          <w:u w:val="none"/>
          <w:lang w:val="en-US" w:eastAsia="zh-CN" w:bidi="ar"/>
        </w:rPr>
      </w:pPr>
      <w:r>
        <w:rPr>
          <w:rFonts w:hint="eastAsia" w:ascii="宋体" w:hAnsi="宋体" w:eastAsia="宋体" w:cs="宋体"/>
          <w:i w:val="0"/>
          <w:iCs w:val="0"/>
          <w:color w:val="auto"/>
          <w:kern w:val="0"/>
          <w:sz w:val="30"/>
          <w:szCs w:val="30"/>
          <w:highlight w:val="none"/>
          <w:u w:val="none"/>
          <w:lang w:val="en-US" w:eastAsia="zh-CN" w:bidi="ar"/>
        </w:rPr>
        <w:t>附件2：</w:t>
      </w:r>
    </w:p>
    <w:tbl>
      <w:tblPr>
        <w:tblStyle w:val="3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499"/>
        <w:gridCol w:w="6065"/>
        <w:gridCol w:w="1221"/>
        <w:gridCol w:w="705"/>
      </w:tblGrid>
      <w:tr w14:paraId="38603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12441">
            <w:pPr>
              <w:keepNext w:val="0"/>
              <w:keepLines w:val="0"/>
              <w:widowControl/>
              <w:suppressLineNumbers w:val="0"/>
              <w:jc w:val="center"/>
              <w:textAlignment w:val="center"/>
              <w:rPr>
                <w:rFonts w:hint="eastAsia" w:ascii="宋体" w:hAnsi="宋体" w:eastAsia="宋体" w:cs="宋体"/>
                <w:b/>
                <w:bCs/>
                <w:i w:val="0"/>
                <w:iCs w:val="0"/>
                <w:color w:val="auto"/>
                <w:sz w:val="40"/>
                <w:szCs w:val="40"/>
                <w:highlight w:val="none"/>
                <w:u w:val="none"/>
              </w:rPr>
            </w:pPr>
            <w:r>
              <w:rPr>
                <w:rFonts w:hint="eastAsia" w:ascii="宋体" w:hAnsi="宋体" w:eastAsia="宋体" w:cs="宋体"/>
                <w:b/>
                <w:bCs/>
                <w:i w:val="0"/>
                <w:iCs w:val="0"/>
                <w:color w:val="auto"/>
                <w:kern w:val="0"/>
                <w:sz w:val="40"/>
                <w:szCs w:val="40"/>
                <w:highlight w:val="none"/>
                <w:u w:val="none"/>
                <w:lang w:val="en-US" w:eastAsia="zh-CN" w:bidi="ar"/>
              </w:rPr>
              <w:t>验收单</w:t>
            </w:r>
          </w:p>
        </w:tc>
      </w:tr>
      <w:tr w14:paraId="14302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056A7">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合同名称：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154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14:paraId="79640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74C1">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采购单位：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CE14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14:paraId="0FFB0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5E2C1">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供货单位：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C429A">
            <w:pPr>
              <w:jc w:val="center"/>
              <w:rPr>
                <w:rFonts w:hint="eastAsia" w:ascii="宋体" w:hAnsi="宋体" w:eastAsia="宋体" w:cs="宋体"/>
                <w:i w:val="0"/>
                <w:iCs w:val="0"/>
                <w:color w:val="auto"/>
                <w:sz w:val="22"/>
                <w:szCs w:val="22"/>
                <w:highlight w:val="none"/>
                <w:u w:val="none"/>
              </w:rPr>
            </w:pPr>
          </w:p>
        </w:tc>
      </w:tr>
      <w:tr w14:paraId="797EC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C74AE">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设备名称：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FEF5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p>
        </w:tc>
      </w:tr>
      <w:tr w14:paraId="3D641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8C449">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车架号</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CC924">
            <w:pPr>
              <w:jc w:val="center"/>
              <w:rPr>
                <w:rFonts w:hint="eastAsia" w:ascii="宋体" w:hAnsi="宋体" w:eastAsia="宋体" w:cs="宋体"/>
                <w:i w:val="0"/>
                <w:iCs w:val="0"/>
                <w:color w:val="auto"/>
                <w:sz w:val="22"/>
                <w:szCs w:val="22"/>
                <w:highlight w:val="none"/>
                <w:u w:val="none"/>
              </w:rPr>
            </w:pPr>
          </w:p>
        </w:tc>
      </w:tr>
      <w:tr w14:paraId="72E54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1994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3163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投标文件参数要求</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28C2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是否</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符合要求</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67F6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21139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36E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B570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D856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2E9C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6DCB1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E6777">
            <w:pPr>
              <w:pStyle w:val="2"/>
              <w:rPr>
                <w:rFonts w:hint="eastAsia"/>
                <w:color w:val="auto"/>
                <w:highlight w:val="none"/>
                <w:lang w:val="en-US" w:eastAsia="zh-CN"/>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AC1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7693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70CE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4FC9C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B4D8F">
            <w:pPr>
              <w:pStyle w:val="2"/>
              <w:rPr>
                <w:rFonts w:hint="eastAsia"/>
                <w:color w:val="auto"/>
                <w:highlight w:val="none"/>
                <w:lang w:val="en-US" w:eastAsia="zh-CN"/>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F3FA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502A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B8C5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4691F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0CCA">
            <w:pPr>
              <w:pStyle w:val="2"/>
              <w:rPr>
                <w:rFonts w:hint="eastAsia"/>
                <w:color w:val="auto"/>
                <w:highlight w:val="none"/>
                <w:lang w:val="en-US" w:eastAsia="zh-CN"/>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5B56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7A56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315D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1EDC2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8B469">
            <w:pPr>
              <w:pStyle w:val="2"/>
              <w:rPr>
                <w:rFonts w:hint="eastAsia"/>
                <w:color w:val="auto"/>
                <w:highlight w:val="none"/>
                <w:lang w:val="en-US" w:eastAsia="zh-CN"/>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CA56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DDFD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DFED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p>
        </w:tc>
      </w:tr>
      <w:tr w14:paraId="2306A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05DE9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参加查收单位和代表：</w:t>
            </w:r>
          </w:p>
        </w:tc>
      </w:tr>
      <w:tr w14:paraId="52E4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6AC86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采购单位验收意见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A8ACCD">
            <w:pPr>
              <w:jc w:val="center"/>
              <w:rPr>
                <w:rFonts w:hint="eastAsia" w:ascii="宋体" w:hAnsi="宋体" w:eastAsia="宋体" w:cs="宋体"/>
                <w:i w:val="0"/>
                <w:iCs w:val="0"/>
                <w:color w:val="auto"/>
                <w:sz w:val="22"/>
                <w:szCs w:val="22"/>
                <w:highlight w:val="none"/>
                <w:u w:val="none"/>
              </w:rPr>
            </w:pPr>
          </w:p>
        </w:tc>
      </w:tr>
      <w:tr w14:paraId="1053D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00B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供货单位验收意见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EA250">
            <w:pPr>
              <w:jc w:val="center"/>
              <w:rPr>
                <w:rFonts w:hint="eastAsia" w:ascii="宋体" w:hAnsi="宋体" w:eastAsia="宋体" w:cs="宋体"/>
                <w:i w:val="0"/>
                <w:iCs w:val="0"/>
                <w:color w:val="auto"/>
                <w:sz w:val="24"/>
                <w:szCs w:val="24"/>
                <w:highlight w:val="none"/>
                <w:u w:val="none"/>
              </w:rPr>
            </w:pPr>
          </w:p>
        </w:tc>
      </w:tr>
      <w:tr w14:paraId="441A8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60D8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第三方单位验收意见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906F5">
            <w:pPr>
              <w:jc w:val="center"/>
              <w:rPr>
                <w:rFonts w:hint="eastAsia" w:ascii="宋体" w:hAnsi="宋体" w:eastAsia="宋体" w:cs="宋体"/>
                <w:i w:val="0"/>
                <w:iCs w:val="0"/>
                <w:color w:val="auto"/>
                <w:sz w:val="24"/>
                <w:szCs w:val="24"/>
                <w:highlight w:val="none"/>
                <w:u w:val="none"/>
              </w:rPr>
            </w:pPr>
          </w:p>
        </w:tc>
      </w:tr>
    </w:tbl>
    <w:p w14:paraId="7699506B">
      <w:pPr>
        <w:widowControl/>
        <w:ind w:firstLine="0" w:firstLineChars="0"/>
        <w:jc w:val="both"/>
        <w:textAlignment w:val="center"/>
        <w:rPr>
          <w:rFonts w:hint="default" w:ascii="宋体" w:hAnsi="宋体" w:eastAsia="宋体" w:cs="宋体"/>
          <w:i w:val="0"/>
          <w:iCs w:val="0"/>
          <w:color w:val="auto"/>
          <w:kern w:val="0"/>
          <w:sz w:val="30"/>
          <w:szCs w:val="30"/>
          <w:highlight w:val="none"/>
          <w:u w:val="none"/>
          <w:lang w:val="en-US" w:eastAsia="zh-CN" w:bidi="ar"/>
        </w:rPr>
      </w:pPr>
    </w:p>
    <w:p w14:paraId="34FF84F5">
      <w:pPr>
        <w:widowControl/>
        <w:ind w:firstLine="0" w:firstLineChars="0"/>
        <w:jc w:val="both"/>
        <w:textAlignment w:val="center"/>
        <w:rPr>
          <w:rFonts w:hint="eastAsia" w:ascii="宋体" w:hAnsi="宋体" w:eastAsia="宋体" w:cs="宋体"/>
          <w:color w:val="auto"/>
          <w:kern w:val="0"/>
          <w:sz w:val="30"/>
          <w:szCs w:val="30"/>
          <w:highlight w:val="none"/>
          <w:lang w:bidi="ar"/>
        </w:rPr>
      </w:pPr>
      <w:r>
        <w:rPr>
          <w:rFonts w:hint="eastAsia" w:ascii="宋体" w:hAnsi="宋体" w:eastAsia="宋体" w:cs="宋体"/>
          <w:i w:val="0"/>
          <w:iCs w:val="0"/>
          <w:color w:val="auto"/>
          <w:kern w:val="0"/>
          <w:sz w:val="30"/>
          <w:szCs w:val="30"/>
          <w:highlight w:val="none"/>
          <w:u w:val="none"/>
          <w:lang w:val="en-US" w:eastAsia="zh-CN" w:bidi="ar"/>
        </w:rPr>
        <w:t>附表3：</w:t>
      </w:r>
      <w:r>
        <w:rPr>
          <w:rFonts w:hint="eastAsia" w:ascii="宋体" w:hAnsi="宋体" w:eastAsia="宋体" w:cs="宋体"/>
          <w:color w:val="auto"/>
          <w:kern w:val="0"/>
          <w:sz w:val="30"/>
          <w:szCs w:val="30"/>
          <w:highlight w:val="none"/>
          <w:u w:val="none"/>
          <w:lang w:bidi="ar"/>
        </w:rPr>
        <w:t>部分零部件保修期限</w:t>
      </w:r>
      <w:r>
        <w:rPr>
          <w:rFonts w:hint="eastAsia" w:ascii="宋体" w:hAnsi="宋体" w:eastAsia="宋体" w:cs="宋体"/>
          <w:color w:val="auto"/>
          <w:kern w:val="0"/>
          <w:sz w:val="30"/>
          <w:szCs w:val="30"/>
          <w:highlight w:val="none"/>
          <w:u w:val="none"/>
          <w:lang w:val="en-US" w:eastAsia="zh-CN" w:bidi="ar"/>
        </w:rPr>
        <w:t>表</w:t>
      </w:r>
    </w:p>
    <w:p w14:paraId="2F96132C">
      <w:pPr>
        <w:ind w:firstLine="210" w:firstLineChars="100"/>
        <w:jc w:val="left"/>
        <w:rPr>
          <w:color w:val="auto"/>
          <w:highlight w:val="none"/>
        </w:rPr>
      </w:pPr>
      <w:r>
        <w:rPr>
          <w:rFonts w:hint="eastAsia" w:ascii="宋体" w:hAnsi="宋体" w:eastAsia="宋体" w:cs="宋体"/>
          <w:color w:val="auto"/>
          <w:kern w:val="0"/>
          <w:szCs w:val="21"/>
          <w:highlight w:val="none"/>
          <w:lang w:bidi="ar"/>
        </w:rPr>
        <w:t xml:space="preserve"> </w:t>
      </w:r>
    </w:p>
    <w:tbl>
      <w:tblPr>
        <w:tblStyle w:val="36"/>
        <w:tblW w:w="7315"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4"/>
        <w:gridCol w:w="2221"/>
        <w:gridCol w:w="2175"/>
        <w:gridCol w:w="2265"/>
      </w:tblGrid>
      <w:tr w14:paraId="5417C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4AFC">
            <w:pPr>
              <w:keepNext w:val="0"/>
              <w:keepLines w:val="0"/>
              <w:widowControl/>
              <w:suppressLineNumbers w:val="0"/>
              <w:jc w:val="center"/>
              <w:textAlignment w:val="center"/>
              <w:rPr>
                <w:rFonts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序号</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9BA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分类</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6725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易损易耗件名称</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033A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质保期限</w:t>
            </w:r>
          </w:p>
        </w:tc>
      </w:tr>
      <w:tr w14:paraId="55F5F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0E1F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w:t>
            </w:r>
          </w:p>
        </w:tc>
        <w:tc>
          <w:tcPr>
            <w:tcW w:w="2221" w:type="dxa"/>
            <w:vMerge w:val="restart"/>
            <w:tcBorders>
              <w:top w:val="single" w:color="000000" w:sz="4" w:space="0"/>
              <w:left w:val="single" w:color="000000" w:sz="4" w:space="0"/>
              <w:bottom w:val="nil"/>
              <w:right w:val="single" w:color="000000" w:sz="4" w:space="0"/>
            </w:tcBorders>
            <w:shd w:val="clear" w:color="auto" w:fill="auto"/>
            <w:vAlign w:val="center"/>
          </w:tcPr>
          <w:p w14:paraId="565969F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承诺质保配置</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E59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离合器摩擦片</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323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6AC46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1BA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2</w:t>
            </w:r>
          </w:p>
        </w:tc>
        <w:tc>
          <w:tcPr>
            <w:tcW w:w="2221" w:type="dxa"/>
            <w:vMerge w:val="continue"/>
            <w:tcBorders>
              <w:top w:val="single" w:color="000000" w:sz="4" w:space="0"/>
              <w:left w:val="single" w:color="000000" w:sz="4" w:space="0"/>
              <w:bottom w:val="nil"/>
              <w:right w:val="single" w:color="000000" w:sz="4" w:space="0"/>
            </w:tcBorders>
            <w:shd w:val="clear" w:color="auto" w:fill="auto"/>
            <w:vAlign w:val="center"/>
          </w:tcPr>
          <w:p w14:paraId="692FC381">
            <w:pPr>
              <w:jc w:val="center"/>
              <w:rPr>
                <w:rFonts w:hint="eastAsia" w:ascii="宋体" w:hAnsi="宋体" w:eastAsia="宋体" w:cs="宋体"/>
                <w:b/>
                <w:bCs/>
                <w:i w:val="0"/>
                <w:iCs w:val="0"/>
                <w:color w:val="auto"/>
                <w:sz w:val="20"/>
                <w:szCs w:val="20"/>
                <w:highlight w:val="none"/>
                <w:u w:val="none"/>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BA6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制动摩擦片</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DA4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4AE0D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21CC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w:t>
            </w:r>
          </w:p>
        </w:tc>
        <w:tc>
          <w:tcPr>
            <w:tcW w:w="2221" w:type="dxa"/>
            <w:vMerge w:val="continue"/>
            <w:tcBorders>
              <w:top w:val="single" w:color="000000" w:sz="4" w:space="0"/>
              <w:left w:val="single" w:color="000000" w:sz="4" w:space="0"/>
              <w:bottom w:val="nil"/>
              <w:right w:val="single" w:color="000000" w:sz="4" w:space="0"/>
            </w:tcBorders>
            <w:shd w:val="clear" w:color="auto" w:fill="auto"/>
            <w:vAlign w:val="center"/>
          </w:tcPr>
          <w:p w14:paraId="471AB5C2">
            <w:pPr>
              <w:jc w:val="center"/>
              <w:rPr>
                <w:rFonts w:hint="eastAsia" w:ascii="宋体" w:hAnsi="宋体" w:eastAsia="宋体" w:cs="宋体"/>
                <w:b/>
                <w:bCs/>
                <w:i w:val="0"/>
                <w:iCs w:val="0"/>
                <w:color w:val="auto"/>
                <w:sz w:val="20"/>
                <w:szCs w:val="20"/>
                <w:highlight w:val="none"/>
                <w:u w:val="none"/>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265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启动电瓶</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AC2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30C23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F01B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4</w:t>
            </w:r>
          </w:p>
        </w:tc>
        <w:tc>
          <w:tcPr>
            <w:tcW w:w="2221" w:type="dxa"/>
            <w:vMerge w:val="continue"/>
            <w:tcBorders>
              <w:top w:val="single" w:color="000000" w:sz="4" w:space="0"/>
              <w:left w:val="single" w:color="000000" w:sz="4" w:space="0"/>
              <w:bottom w:val="nil"/>
              <w:right w:val="single" w:color="000000" w:sz="4" w:space="0"/>
            </w:tcBorders>
            <w:shd w:val="clear" w:color="auto" w:fill="auto"/>
            <w:vAlign w:val="center"/>
          </w:tcPr>
          <w:p w14:paraId="60707DAC">
            <w:pPr>
              <w:jc w:val="center"/>
              <w:rPr>
                <w:rFonts w:hint="eastAsia" w:ascii="宋体" w:hAnsi="宋体" w:eastAsia="宋体" w:cs="宋体"/>
                <w:b/>
                <w:bCs/>
                <w:i w:val="0"/>
                <w:iCs w:val="0"/>
                <w:color w:val="auto"/>
                <w:sz w:val="20"/>
                <w:szCs w:val="20"/>
                <w:highlight w:val="none"/>
                <w:u w:val="none"/>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E8C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各项照明灯泡部件</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B21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0E28A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909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5</w:t>
            </w:r>
          </w:p>
        </w:tc>
        <w:tc>
          <w:tcPr>
            <w:tcW w:w="2221" w:type="dxa"/>
            <w:vMerge w:val="continue"/>
            <w:tcBorders>
              <w:top w:val="single" w:color="000000" w:sz="4" w:space="0"/>
              <w:left w:val="single" w:color="000000" w:sz="4" w:space="0"/>
              <w:bottom w:val="nil"/>
              <w:right w:val="single" w:color="000000" w:sz="4" w:space="0"/>
            </w:tcBorders>
            <w:shd w:val="clear" w:color="auto" w:fill="auto"/>
            <w:vAlign w:val="center"/>
          </w:tcPr>
          <w:p w14:paraId="5A640C27">
            <w:pPr>
              <w:jc w:val="center"/>
              <w:rPr>
                <w:rFonts w:hint="eastAsia" w:ascii="宋体" w:hAnsi="宋体" w:eastAsia="宋体" w:cs="宋体"/>
                <w:b/>
                <w:bCs/>
                <w:i w:val="0"/>
                <w:iCs w:val="0"/>
                <w:color w:val="auto"/>
                <w:sz w:val="20"/>
                <w:szCs w:val="20"/>
                <w:highlight w:val="none"/>
                <w:u w:val="none"/>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E1F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轮胎（含备胎）</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BE5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6个月</w:t>
            </w:r>
          </w:p>
        </w:tc>
      </w:tr>
      <w:tr w14:paraId="160F0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8A1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6</w:t>
            </w:r>
          </w:p>
        </w:tc>
        <w:tc>
          <w:tcPr>
            <w:tcW w:w="2221" w:type="dxa"/>
            <w:vMerge w:val="continue"/>
            <w:tcBorders>
              <w:top w:val="single" w:color="000000" w:sz="4" w:space="0"/>
              <w:left w:val="single" w:color="000000" w:sz="4" w:space="0"/>
              <w:bottom w:val="nil"/>
              <w:right w:val="single" w:color="000000" w:sz="4" w:space="0"/>
            </w:tcBorders>
            <w:shd w:val="clear" w:color="auto" w:fill="auto"/>
            <w:vAlign w:val="center"/>
          </w:tcPr>
          <w:p w14:paraId="7F575E29">
            <w:pPr>
              <w:jc w:val="center"/>
              <w:rPr>
                <w:rFonts w:hint="eastAsia" w:ascii="宋体" w:hAnsi="宋体" w:eastAsia="宋体" w:cs="宋体"/>
                <w:b/>
                <w:bCs/>
                <w:i w:val="0"/>
                <w:iCs w:val="0"/>
                <w:color w:val="auto"/>
                <w:sz w:val="20"/>
                <w:szCs w:val="20"/>
                <w:highlight w:val="none"/>
                <w:u w:val="none"/>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9BE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雨刮片</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FF4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6个月</w:t>
            </w:r>
          </w:p>
        </w:tc>
      </w:tr>
      <w:tr w14:paraId="16CDC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C0CE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7</w:t>
            </w:r>
          </w:p>
        </w:tc>
        <w:tc>
          <w:tcPr>
            <w:tcW w:w="2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11A6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加装配置</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04A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倒车影像</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2D2B8">
            <w:pPr>
              <w:jc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1E543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D805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8</w:t>
            </w:r>
          </w:p>
        </w:tc>
        <w:tc>
          <w:tcPr>
            <w:tcW w:w="2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B7088">
            <w:pPr>
              <w:jc w:val="center"/>
              <w:rPr>
                <w:rFonts w:hint="eastAsia" w:ascii="宋体" w:hAnsi="宋体" w:eastAsia="宋体" w:cs="宋体"/>
                <w:b/>
                <w:bCs/>
                <w:i w:val="0"/>
                <w:iCs w:val="0"/>
                <w:color w:val="auto"/>
                <w:sz w:val="20"/>
                <w:szCs w:val="20"/>
                <w:highlight w:val="none"/>
                <w:u w:val="none"/>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8B0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行车记录仪</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9FD23">
            <w:pPr>
              <w:jc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0816A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3CA7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9</w:t>
            </w:r>
          </w:p>
        </w:tc>
        <w:tc>
          <w:tcPr>
            <w:tcW w:w="2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BE029">
            <w:pPr>
              <w:jc w:val="center"/>
              <w:rPr>
                <w:rFonts w:hint="eastAsia" w:ascii="宋体" w:hAnsi="宋体" w:eastAsia="宋体" w:cs="宋体"/>
                <w:b/>
                <w:bCs/>
                <w:i w:val="0"/>
                <w:iCs w:val="0"/>
                <w:color w:val="auto"/>
                <w:sz w:val="20"/>
                <w:szCs w:val="20"/>
                <w:highlight w:val="none"/>
                <w:u w:val="none"/>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207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大型电子安全导向牌</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197B3">
            <w:pPr>
              <w:jc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bl>
    <w:p w14:paraId="28D1E0B0">
      <w:pPr>
        <w:widowControl/>
        <w:jc w:val="left"/>
        <w:rPr>
          <w:rFonts w:ascii="宋体" w:hAnsi="宋体" w:eastAsia="宋体" w:cs="宋体"/>
          <w:color w:val="auto"/>
          <w:szCs w:val="24"/>
          <w:highlight w:val="none"/>
          <w:lang w:val="zh-CN"/>
        </w:rPr>
      </w:pPr>
    </w:p>
    <w:p w14:paraId="76156F08">
      <w:pPr>
        <w:widowControl/>
        <w:numPr>
          <w:ilvl w:val="0"/>
          <w:numId w:val="0"/>
        </w:numPr>
        <w:rPr>
          <w:rFonts w:ascii="宋体" w:hAnsi="宋体" w:eastAsia="宋体" w:cs="Times New Roman"/>
          <w:b/>
          <w:color w:val="auto"/>
          <w:szCs w:val="21"/>
          <w:highlight w:val="none"/>
        </w:rPr>
      </w:pPr>
      <w:r>
        <w:rPr>
          <w:color w:val="auto"/>
          <w:highlight w:val="none"/>
          <w:lang w:bidi="ar"/>
        </w:rPr>
        <w:br w:type="page"/>
      </w:r>
    </w:p>
    <w:p w14:paraId="105911D1">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color w:val="auto"/>
          <w:kern w:val="44"/>
          <w:sz w:val="32"/>
          <w:szCs w:val="32"/>
          <w:highlight w:val="none"/>
          <w:lang w:val="zh-CN"/>
        </w:rPr>
      </w:pPr>
      <w:r>
        <w:rPr>
          <w:rFonts w:hint="eastAsia" w:ascii="宋体" w:hAnsi="宋体" w:eastAsia="宋体" w:cs="宋体"/>
          <w:b/>
          <w:bCs/>
          <w:color w:val="auto"/>
          <w:kern w:val="44"/>
          <w:sz w:val="32"/>
          <w:szCs w:val="32"/>
          <w:highlight w:val="none"/>
          <w:lang w:val="zh-CN"/>
        </w:rPr>
        <w:t>第四篇</w:t>
      </w:r>
      <w:r>
        <w:rPr>
          <w:rFonts w:ascii="宋体" w:hAnsi="宋体" w:eastAsia="宋体" w:cs="宋体"/>
          <w:b/>
          <w:bCs/>
          <w:color w:val="auto"/>
          <w:kern w:val="44"/>
          <w:sz w:val="32"/>
          <w:szCs w:val="32"/>
          <w:highlight w:val="none"/>
          <w:lang w:val="zh-CN"/>
        </w:rPr>
        <w:t xml:space="preserve"> </w:t>
      </w:r>
      <w:r>
        <w:rPr>
          <w:rFonts w:hint="eastAsia" w:ascii="宋体" w:hAnsi="宋体" w:eastAsia="宋体" w:cs="宋体"/>
          <w:b/>
          <w:bCs/>
          <w:color w:val="auto"/>
          <w:kern w:val="44"/>
          <w:sz w:val="32"/>
          <w:szCs w:val="32"/>
          <w:highlight w:val="none"/>
          <w:lang w:val="zh-CN"/>
        </w:rPr>
        <w:t>合同条款格式</w:t>
      </w:r>
    </w:p>
    <w:p w14:paraId="0EB34781">
      <w:pPr>
        <w:autoSpaceDE w:val="0"/>
        <w:autoSpaceDN w:val="0"/>
        <w:adjustRightInd w:val="0"/>
        <w:spacing w:line="360" w:lineRule="auto"/>
        <w:ind w:firstLine="6720" w:firstLineChars="3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合同编号：</w:t>
      </w:r>
    </w:p>
    <w:p w14:paraId="5BFE3B13">
      <w:pPr>
        <w:autoSpaceDE w:val="0"/>
        <w:autoSpaceDN w:val="0"/>
        <w:adjustRightInd w:val="0"/>
        <w:spacing w:line="360" w:lineRule="auto"/>
        <w:jc w:val="center"/>
        <w:rPr>
          <w:rFonts w:ascii="宋体" w:hAnsi="宋体" w:eastAsia="宋体" w:cs="宋体"/>
          <w:b/>
          <w:color w:val="auto"/>
          <w:kern w:val="0"/>
          <w:sz w:val="52"/>
          <w:szCs w:val="52"/>
          <w:highlight w:val="none"/>
        </w:rPr>
      </w:pPr>
    </w:p>
    <w:p w14:paraId="5AFBE2AC">
      <w:pPr>
        <w:autoSpaceDE w:val="0"/>
        <w:autoSpaceDN w:val="0"/>
        <w:adjustRightInd w:val="0"/>
        <w:spacing w:line="360" w:lineRule="auto"/>
        <w:jc w:val="center"/>
        <w:rPr>
          <w:rFonts w:ascii="宋体" w:hAnsi="宋体" w:eastAsia="宋体" w:cs="宋体"/>
          <w:b/>
          <w:color w:val="auto"/>
          <w:kern w:val="0"/>
          <w:sz w:val="56"/>
          <w:szCs w:val="56"/>
          <w:highlight w:val="none"/>
        </w:rPr>
      </w:pPr>
    </w:p>
    <w:p w14:paraId="37A79CEE">
      <w:pPr>
        <w:autoSpaceDE w:val="0"/>
        <w:autoSpaceDN w:val="0"/>
        <w:adjustRightInd w:val="0"/>
        <w:spacing w:line="360" w:lineRule="auto"/>
        <w:jc w:val="center"/>
        <w:rPr>
          <w:rFonts w:hint="eastAsia" w:ascii="宋体" w:hAnsi="宋体" w:eastAsia="宋体" w:cs="宋体"/>
          <w:b/>
          <w:color w:val="auto"/>
          <w:kern w:val="0"/>
          <w:sz w:val="52"/>
          <w:szCs w:val="52"/>
          <w:highlight w:val="none"/>
        </w:rPr>
      </w:pPr>
      <w:r>
        <w:rPr>
          <w:rFonts w:hint="eastAsia" w:ascii="宋体" w:hAnsi="宋体" w:eastAsia="宋体" w:cs="宋体"/>
          <w:b/>
          <w:color w:val="auto"/>
          <w:kern w:val="0"/>
          <w:sz w:val="52"/>
          <w:szCs w:val="52"/>
          <w:highlight w:val="none"/>
        </w:rPr>
        <w:t>东莞市水务环境投资控股集团管网有限公司</w:t>
      </w:r>
    </w:p>
    <w:p w14:paraId="40DE4350">
      <w:pPr>
        <w:autoSpaceDE w:val="0"/>
        <w:autoSpaceDN w:val="0"/>
        <w:adjustRightInd w:val="0"/>
        <w:spacing w:line="360" w:lineRule="auto"/>
        <w:jc w:val="center"/>
        <w:rPr>
          <w:rFonts w:hint="eastAsia" w:ascii="宋体" w:hAnsi="宋体" w:eastAsia="宋体" w:cs="宋体"/>
          <w:b/>
          <w:color w:val="auto"/>
          <w:kern w:val="0"/>
          <w:sz w:val="52"/>
          <w:szCs w:val="52"/>
          <w:highlight w:val="none"/>
          <w:lang w:val="en-US" w:eastAsia="zh-CN"/>
        </w:rPr>
      </w:pPr>
      <w:r>
        <w:rPr>
          <w:rFonts w:hint="eastAsia" w:ascii="宋体" w:hAnsi="宋体" w:eastAsia="宋体" w:cs="宋体"/>
          <w:b/>
          <w:color w:val="auto"/>
          <w:kern w:val="0"/>
          <w:sz w:val="52"/>
          <w:szCs w:val="52"/>
          <w:highlight w:val="none"/>
        </w:rPr>
        <w:t>202</w:t>
      </w:r>
      <w:r>
        <w:rPr>
          <w:rFonts w:hint="eastAsia" w:ascii="宋体" w:hAnsi="宋体" w:eastAsia="宋体" w:cs="宋体"/>
          <w:b/>
          <w:color w:val="auto"/>
          <w:kern w:val="0"/>
          <w:sz w:val="52"/>
          <w:szCs w:val="52"/>
          <w:highlight w:val="none"/>
          <w:lang w:val="en-US" w:eastAsia="zh-CN"/>
        </w:rPr>
        <w:t>6年防撞缓冲车采购项目合同</w:t>
      </w:r>
    </w:p>
    <w:p w14:paraId="1ACDE216">
      <w:pPr>
        <w:autoSpaceDE w:val="0"/>
        <w:autoSpaceDN w:val="0"/>
        <w:adjustRightInd w:val="0"/>
        <w:spacing w:line="360" w:lineRule="auto"/>
        <w:jc w:val="center"/>
        <w:rPr>
          <w:rFonts w:hint="eastAsia" w:ascii="宋体" w:hAnsi="宋体" w:eastAsia="宋体" w:cs="宋体"/>
          <w:b/>
          <w:color w:val="auto"/>
          <w:kern w:val="0"/>
          <w:sz w:val="52"/>
          <w:szCs w:val="52"/>
          <w:highlight w:val="none"/>
          <w:lang w:val="en-US" w:eastAsia="zh-CN"/>
        </w:rPr>
      </w:pPr>
      <w:r>
        <w:rPr>
          <w:rFonts w:hint="eastAsia" w:ascii="宋体" w:hAnsi="宋体" w:eastAsia="宋体" w:cs="宋体"/>
          <w:b/>
          <w:color w:val="auto"/>
          <w:kern w:val="0"/>
          <w:sz w:val="52"/>
          <w:szCs w:val="52"/>
          <w:highlight w:val="none"/>
          <w:lang w:val="en-US" w:eastAsia="zh-CN"/>
        </w:rPr>
        <w:t>（第四次招标）</w:t>
      </w:r>
    </w:p>
    <w:p w14:paraId="0C68351F">
      <w:pPr>
        <w:autoSpaceDE w:val="0"/>
        <w:autoSpaceDN w:val="0"/>
        <w:adjustRightInd w:val="0"/>
        <w:spacing w:line="360" w:lineRule="auto"/>
        <w:jc w:val="left"/>
        <w:rPr>
          <w:rFonts w:ascii="宋体" w:hAnsi="宋体" w:eastAsia="宋体" w:cs="宋体"/>
          <w:color w:val="auto"/>
          <w:kern w:val="0"/>
          <w:sz w:val="32"/>
          <w:szCs w:val="32"/>
          <w:highlight w:val="none"/>
          <w:u w:val="single"/>
        </w:rPr>
      </w:pPr>
    </w:p>
    <w:p w14:paraId="12805EE8">
      <w:pPr>
        <w:autoSpaceDE w:val="0"/>
        <w:autoSpaceDN w:val="0"/>
        <w:adjustRightInd w:val="0"/>
        <w:spacing w:line="360" w:lineRule="auto"/>
        <w:jc w:val="left"/>
        <w:rPr>
          <w:rFonts w:ascii="宋体" w:hAnsi="宋体" w:eastAsia="宋体" w:cs="宋体"/>
          <w:color w:val="auto"/>
          <w:kern w:val="0"/>
          <w:szCs w:val="21"/>
          <w:highlight w:val="none"/>
        </w:rPr>
      </w:pPr>
    </w:p>
    <w:p w14:paraId="363AB140">
      <w:pPr>
        <w:autoSpaceDE w:val="0"/>
        <w:autoSpaceDN w:val="0"/>
        <w:adjustRightInd w:val="0"/>
        <w:spacing w:line="360" w:lineRule="auto"/>
        <w:jc w:val="left"/>
        <w:rPr>
          <w:rFonts w:ascii="宋体" w:hAnsi="宋体" w:eastAsia="宋体" w:cs="宋体"/>
          <w:color w:val="auto"/>
          <w:kern w:val="0"/>
          <w:szCs w:val="21"/>
          <w:highlight w:val="none"/>
        </w:rPr>
      </w:pPr>
    </w:p>
    <w:p w14:paraId="7D18DC2D">
      <w:pPr>
        <w:autoSpaceDE w:val="0"/>
        <w:autoSpaceDN w:val="0"/>
        <w:adjustRightInd w:val="0"/>
        <w:spacing w:before="120" w:beforeLines="50" w:after="120" w:afterLines="50"/>
        <w:jc w:val="left"/>
        <w:rPr>
          <w:rFonts w:ascii="宋体" w:hAnsi="宋体" w:eastAsia="宋体" w:cs="宋体"/>
          <w:color w:val="auto"/>
          <w:kern w:val="0"/>
          <w:szCs w:val="21"/>
          <w:highlight w:val="none"/>
        </w:rPr>
      </w:pPr>
    </w:p>
    <w:p w14:paraId="326F066D">
      <w:pPr>
        <w:autoSpaceDE w:val="0"/>
        <w:autoSpaceDN w:val="0"/>
        <w:adjustRightInd w:val="0"/>
        <w:spacing w:before="120" w:beforeLines="50" w:after="120" w:afterLines="50"/>
        <w:jc w:val="left"/>
        <w:rPr>
          <w:rFonts w:ascii="宋体" w:hAnsi="宋体" w:eastAsia="宋体" w:cs="宋体"/>
          <w:color w:val="auto"/>
          <w:kern w:val="0"/>
          <w:szCs w:val="21"/>
          <w:highlight w:val="none"/>
        </w:rPr>
      </w:pPr>
    </w:p>
    <w:p w14:paraId="73B69262">
      <w:pPr>
        <w:widowControl/>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14:paraId="494F1E25">
      <w:pPr>
        <w:autoSpaceDE w:val="0"/>
        <w:autoSpaceDN w:val="0"/>
        <w:adjustRightInd w:val="0"/>
        <w:spacing w:before="120" w:beforeLines="50" w:after="120" w:afterLines="50" w:line="360" w:lineRule="auto"/>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甲方：东莞市水务环境投资控股集团管网有限公司</w:t>
      </w:r>
    </w:p>
    <w:p w14:paraId="6FCAF973">
      <w:pPr>
        <w:autoSpaceDE w:val="0"/>
        <w:autoSpaceDN w:val="0"/>
        <w:adjustRightInd w:val="0"/>
        <w:spacing w:before="120" w:beforeLines="50" w:after="120" w:afterLines="50" w:line="360" w:lineRule="auto"/>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地址：东莞市东城街道东城运河路5号</w:t>
      </w:r>
    </w:p>
    <w:p w14:paraId="1E06077D">
      <w:pPr>
        <w:autoSpaceDE w:val="0"/>
        <w:autoSpaceDN w:val="0"/>
        <w:adjustRightInd w:val="0"/>
        <w:spacing w:before="120" w:beforeLines="50" w:after="120" w:afterLines="50" w:line="360" w:lineRule="auto"/>
        <w:jc w:val="left"/>
        <w:rPr>
          <w:rFonts w:ascii="宋体" w:hAnsi="宋体" w:eastAsia="宋体" w:cs="Times New Roman"/>
          <w:color w:val="auto"/>
          <w:kern w:val="0"/>
          <w:szCs w:val="21"/>
          <w:highlight w:val="none"/>
        </w:rPr>
      </w:pPr>
    </w:p>
    <w:p w14:paraId="0EC5A732">
      <w:pPr>
        <w:autoSpaceDE w:val="0"/>
        <w:autoSpaceDN w:val="0"/>
        <w:adjustRightInd w:val="0"/>
        <w:spacing w:line="360" w:lineRule="auto"/>
        <w:jc w:val="left"/>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乙方：</w:t>
      </w:r>
    </w:p>
    <w:p w14:paraId="59BDE51D">
      <w:pPr>
        <w:autoSpaceDE w:val="0"/>
        <w:autoSpaceDN w:val="0"/>
        <w:adjustRightInd w:val="0"/>
        <w:spacing w:line="360" w:lineRule="auto"/>
        <w:jc w:val="left"/>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地址：</w:t>
      </w:r>
    </w:p>
    <w:p w14:paraId="30AE8952">
      <w:pPr>
        <w:autoSpaceDE w:val="0"/>
        <w:autoSpaceDN w:val="0"/>
        <w:adjustRightInd w:val="0"/>
        <w:spacing w:line="360" w:lineRule="auto"/>
        <w:ind w:firstLine="420" w:firstLineChars="200"/>
        <w:jc w:val="left"/>
        <w:rPr>
          <w:rFonts w:hint="eastAsia" w:ascii="宋体" w:hAnsi="宋体" w:eastAsia="宋体" w:cs="Times New Roman"/>
          <w:color w:val="auto"/>
          <w:kern w:val="0"/>
          <w:szCs w:val="21"/>
          <w:highlight w:val="none"/>
        </w:rPr>
      </w:pPr>
    </w:p>
    <w:p w14:paraId="2B69BC1B">
      <w:pPr>
        <w:autoSpaceDE w:val="0"/>
        <w:autoSpaceDN w:val="0"/>
        <w:adjustRightInd w:val="0"/>
        <w:spacing w:line="360" w:lineRule="auto"/>
        <w:ind w:firstLine="420" w:firstLineChars="200"/>
        <w:jc w:val="left"/>
        <w:rPr>
          <w:rFonts w:ascii="宋体" w:hAnsi="宋体" w:eastAsia="宋体" w:cs="Times New Roman"/>
          <w:b/>
          <w:color w:val="auto"/>
          <w:kern w:val="0"/>
          <w:szCs w:val="21"/>
          <w:highlight w:val="none"/>
        </w:rPr>
      </w:pPr>
      <w:r>
        <w:rPr>
          <w:rFonts w:hint="eastAsia" w:ascii="宋体" w:hAnsi="宋体" w:eastAsia="宋体" w:cs="Times New Roman"/>
          <w:color w:val="auto"/>
          <w:kern w:val="0"/>
          <w:szCs w:val="21"/>
          <w:highlight w:val="none"/>
        </w:rPr>
        <w:t>根据《中华人民共和国民法典》及相关法律、法规的规定，甲乙双方经友好协商，就甲方向乙方订购下列货物事宜达成如下条款：</w:t>
      </w:r>
    </w:p>
    <w:p w14:paraId="6F3EB63D">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一、合同货物清单</w:t>
      </w:r>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331"/>
        <w:gridCol w:w="1331"/>
        <w:gridCol w:w="2331"/>
        <w:gridCol w:w="998"/>
        <w:gridCol w:w="1899"/>
        <w:gridCol w:w="1502"/>
      </w:tblGrid>
      <w:tr w14:paraId="05F6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391" w:type="pct"/>
            <w:vAlign w:val="center"/>
          </w:tcPr>
          <w:p w14:paraId="12E7BF5B">
            <w:pPr>
              <w:widowControl/>
              <w:autoSpaceDE w:val="0"/>
              <w:autoSpaceDN w:val="0"/>
              <w:adjustRightInd w:val="0"/>
              <w:spacing w:line="240" w:lineRule="auto"/>
              <w:jc w:val="center"/>
              <w:rPr>
                <w:rFonts w:hint="eastAsia" w:hAnsi="宋体" w:cs="宋体"/>
                <w:b/>
                <w:bCs/>
                <w:color w:val="auto"/>
                <w:sz w:val="21"/>
                <w:szCs w:val="21"/>
                <w:highlight w:val="none"/>
              </w:rPr>
            </w:pPr>
            <w:r>
              <w:rPr>
                <w:rFonts w:hint="eastAsia" w:hAnsi="宋体" w:cs="宋体"/>
                <w:b/>
                <w:bCs/>
                <w:color w:val="auto"/>
                <w:sz w:val="21"/>
                <w:szCs w:val="21"/>
                <w:highlight w:val="none"/>
              </w:rPr>
              <w:t>序号</w:t>
            </w:r>
          </w:p>
        </w:tc>
        <w:tc>
          <w:tcPr>
            <w:tcW w:w="653" w:type="pct"/>
            <w:vAlign w:val="center"/>
          </w:tcPr>
          <w:p w14:paraId="50EF66D5">
            <w:pPr>
              <w:widowControl/>
              <w:autoSpaceDE w:val="0"/>
              <w:autoSpaceDN w:val="0"/>
              <w:adjustRightInd w:val="0"/>
              <w:spacing w:line="240" w:lineRule="auto"/>
              <w:jc w:val="center"/>
              <w:rPr>
                <w:rFonts w:hint="eastAsia" w:hAnsi="宋体" w:cs="宋体"/>
                <w:b/>
                <w:bCs/>
                <w:color w:val="auto"/>
                <w:sz w:val="21"/>
                <w:szCs w:val="21"/>
                <w:highlight w:val="none"/>
              </w:rPr>
            </w:pPr>
            <w:r>
              <w:rPr>
                <w:rFonts w:hint="eastAsia" w:hAnsi="宋体" w:cs="宋体"/>
                <w:b/>
                <w:bCs/>
                <w:color w:val="auto"/>
                <w:sz w:val="21"/>
                <w:szCs w:val="21"/>
                <w:highlight w:val="none"/>
              </w:rPr>
              <w:t>名称</w:t>
            </w:r>
          </w:p>
        </w:tc>
        <w:tc>
          <w:tcPr>
            <w:tcW w:w="653" w:type="pct"/>
            <w:vAlign w:val="center"/>
          </w:tcPr>
          <w:p w14:paraId="2063EF02">
            <w:pPr>
              <w:widowControl/>
              <w:autoSpaceDE w:val="0"/>
              <w:autoSpaceDN w:val="0"/>
              <w:adjustRightInd w:val="0"/>
              <w:spacing w:line="240" w:lineRule="auto"/>
              <w:jc w:val="center"/>
              <w:rPr>
                <w:rFonts w:hint="eastAsia" w:hAnsi="宋体" w:cs="宋体"/>
                <w:b/>
                <w:bCs/>
                <w:color w:val="auto"/>
                <w:sz w:val="21"/>
                <w:szCs w:val="21"/>
                <w:highlight w:val="none"/>
              </w:rPr>
            </w:pPr>
            <w:r>
              <w:rPr>
                <w:rFonts w:hint="eastAsia" w:hAnsi="宋体" w:cs="宋体"/>
                <w:b/>
                <w:bCs/>
                <w:color w:val="auto"/>
                <w:sz w:val="21"/>
                <w:szCs w:val="21"/>
                <w:highlight w:val="none"/>
              </w:rPr>
              <w:t>品牌</w:t>
            </w:r>
          </w:p>
        </w:tc>
        <w:tc>
          <w:tcPr>
            <w:tcW w:w="1144" w:type="pct"/>
            <w:vAlign w:val="center"/>
          </w:tcPr>
          <w:p w14:paraId="33DC3164">
            <w:pPr>
              <w:widowControl/>
              <w:autoSpaceDE w:val="0"/>
              <w:autoSpaceDN w:val="0"/>
              <w:adjustRightInd w:val="0"/>
              <w:spacing w:line="240" w:lineRule="auto"/>
              <w:jc w:val="center"/>
              <w:rPr>
                <w:rFonts w:hint="eastAsia" w:hAnsi="宋体" w:cs="宋体"/>
                <w:b/>
                <w:bCs/>
                <w:color w:val="auto"/>
                <w:sz w:val="21"/>
                <w:szCs w:val="21"/>
                <w:highlight w:val="none"/>
              </w:rPr>
            </w:pPr>
            <w:r>
              <w:rPr>
                <w:rFonts w:hint="eastAsia" w:hAnsi="宋体" w:cs="宋体"/>
                <w:b/>
                <w:bCs/>
                <w:color w:val="auto"/>
                <w:sz w:val="21"/>
                <w:szCs w:val="21"/>
                <w:highlight w:val="none"/>
              </w:rPr>
              <w:t>车型</w:t>
            </w:r>
          </w:p>
        </w:tc>
        <w:tc>
          <w:tcPr>
            <w:tcW w:w="490" w:type="pct"/>
            <w:vAlign w:val="center"/>
          </w:tcPr>
          <w:p w14:paraId="23DD7E86">
            <w:pPr>
              <w:widowControl/>
              <w:autoSpaceDE w:val="0"/>
              <w:autoSpaceDN w:val="0"/>
              <w:adjustRightInd w:val="0"/>
              <w:spacing w:line="240" w:lineRule="auto"/>
              <w:jc w:val="center"/>
              <w:rPr>
                <w:rFonts w:hint="eastAsia" w:hAnsi="宋体" w:cs="宋体"/>
                <w:b/>
                <w:bCs/>
                <w:color w:val="auto"/>
                <w:sz w:val="21"/>
                <w:szCs w:val="21"/>
                <w:highlight w:val="none"/>
              </w:rPr>
            </w:pPr>
            <w:r>
              <w:rPr>
                <w:rFonts w:hint="eastAsia" w:hAnsi="宋体" w:cs="宋体"/>
                <w:b/>
                <w:bCs/>
                <w:color w:val="auto"/>
                <w:sz w:val="21"/>
                <w:szCs w:val="21"/>
                <w:highlight w:val="none"/>
              </w:rPr>
              <w:t>数量</w:t>
            </w:r>
          </w:p>
        </w:tc>
        <w:tc>
          <w:tcPr>
            <w:tcW w:w="932" w:type="pct"/>
            <w:vAlign w:val="center"/>
          </w:tcPr>
          <w:p w14:paraId="0ECA2368">
            <w:pPr>
              <w:widowControl/>
              <w:autoSpaceDE w:val="0"/>
              <w:autoSpaceDN w:val="0"/>
              <w:adjustRightInd w:val="0"/>
              <w:spacing w:line="240" w:lineRule="auto"/>
              <w:jc w:val="center"/>
              <w:rPr>
                <w:rFonts w:hint="eastAsia" w:hAnsi="宋体" w:cs="宋体"/>
                <w:b/>
                <w:bCs/>
                <w:color w:val="auto"/>
                <w:sz w:val="21"/>
                <w:szCs w:val="21"/>
                <w:highlight w:val="none"/>
              </w:rPr>
            </w:pPr>
            <w:r>
              <w:rPr>
                <w:rFonts w:hint="eastAsia" w:hAnsi="宋体" w:cs="宋体"/>
                <w:b/>
                <w:bCs/>
                <w:color w:val="auto"/>
                <w:sz w:val="21"/>
                <w:szCs w:val="21"/>
                <w:highlight w:val="none"/>
              </w:rPr>
              <w:t>含税单价（元）</w:t>
            </w:r>
          </w:p>
        </w:tc>
        <w:tc>
          <w:tcPr>
            <w:tcW w:w="737" w:type="pct"/>
            <w:vAlign w:val="center"/>
          </w:tcPr>
          <w:p w14:paraId="48AB33C0">
            <w:pPr>
              <w:widowControl/>
              <w:autoSpaceDE w:val="0"/>
              <w:autoSpaceDN w:val="0"/>
              <w:adjustRightInd w:val="0"/>
              <w:spacing w:line="240" w:lineRule="auto"/>
              <w:jc w:val="center"/>
              <w:rPr>
                <w:rFonts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含税总价（元）</w:t>
            </w:r>
          </w:p>
        </w:tc>
      </w:tr>
      <w:tr w14:paraId="3A8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91" w:type="pct"/>
            <w:vAlign w:val="center"/>
          </w:tcPr>
          <w:p w14:paraId="1D50C8FF">
            <w:pPr>
              <w:widowControl/>
              <w:autoSpaceDE w:val="0"/>
              <w:autoSpaceDN w:val="0"/>
              <w:adjustRightInd w:val="0"/>
              <w:spacing w:line="360" w:lineRule="auto"/>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w:t>
            </w:r>
          </w:p>
        </w:tc>
        <w:tc>
          <w:tcPr>
            <w:tcW w:w="653" w:type="pct"/>
            <w:vAlign w:val="center"/>
          </w:tcPr>
          <w:p w14:paraId="7F3C4096">
            <w:pPr>
              <w:widowControl/>
              <w:autoSpaceDE w:val="0"/>
              <w:autoSpaceDN w:val="0"/>
              <w:adjustRightInd w:val="0"/>
              <w:spacing w:line="240" w:lineRule="auto"/>
              <w:jc w:val="center"/>
              <w:rPr>
                <w:rFonts w:ascii="宋体" w:hAnsi="宋体" w:eastAsia="宋体" w:cs="Times New Roman"/>
                <w:color w:val="auto"/>
                <w:kern w:val="0"/>
                <w:szCs w:val="21"/>
                <w:highlight w:val="none"/>
              </w:rPr>
            </w:pPr>
            <w:r>
              <w:rPr>
                <w:rFonts w:hint="eastAsia" w:ascii="宋体" w:hAnsi="宋体" w:eastAsia="宋体" w:cs="宋体"/>
                <w:color w:val="auto"/>
                <w:kern w:val="0"/>
                <w:szCs w:val="21"/>
                <w:highlight w:val="none"/>
                <w:lang w:val="en-US" w:eastAsia="zh-CN"/>
              </w:rPr>
              <w:t>防撞缓冲车</w:t>
            </w:r>
          </w:p>
        </w:tc>
        <w:tc>
          <w:tcPr>
            <w:tcW w:w="1354" w:type="dxa"/>
            <w:vAlign w:val="center"/>
          </w:tcPr>
          <w:p w14:paraId="680E2D62">
            <w:pPr>
              <w:widowControl/>
              <w:autoSpaceDE w:val="0"/>
              <w:autoSpaceDN w:val="0"/>
              <w:adjustRightInd w:val="0"/>
              <w:spacing w:line="240" w:lineRule="auto"/>
              <w:jc w:val="center"/>
              <w:rPr>
                <w:rFonts w:hint="eastAsia" w:hAnsi="宋体" w:cs="宋体"/>
                <w:color w:val="auto"/>
                <w:sz w:val="21"/>
                <w:szCs w:val="21"/>
                <w:highlight w:val="none"/>
              </w:rPr>
            </w:pPr>
          </w:p>
        </w:tc>
        <w:tc>
          <w:tcPr>
            <w:tcW w:w="2373" w:type="dxa"/>
            <w:vAlign w:val="center"/>
          </w:tcPr>
          <w:p w14:paraId="64ACE6B5">
            <w:pPr>
              <w:widowControl/>
              <w:autoSpaceDE w:val="0"/>
              <w:autoSpaceDN w:val="0"/>
              <w:adjustRightInd w:val="0"/>
              <w:spacing w:line="240" w:lineRule="auto"/>
              <w:jc w:val="center"/>
              <w:rPr>
                <w:rFonts w:hint="eastAsia" w:hAnsi="宋体" w:cs="宋体"/>
                <w:color w:val="auto"/>
                <w:sz w:val="21"/>
                <w:szCs w:val="21"/>
                <w:highlight w:val="none"/>
              </w:rPr>
            </w:pPr>
          </w:p>
        </w:tc>
        <w:tc>
          <w:tcPr>
            <w:tcW w:w="1016" w:type="dxa"/>
            <w:vAlign w:val="center"/>
          </w:tcPr>
          <w:p w14:paraId="04C799CF">
            <w:pPr>
              <w:widowControl/>
              <w:autoSpaceDE w:val="0"/>
              <w:autoSpaceDN w:val="0"/>
              <w:adjustRightInd w:val="0"/>
              <w:spacing w:line="240" w:lineRule="auto"/>
              <w:jc w:val="center"/>
              <w:rPr>
                <w:rFonts w:hint="eastAsia" w:hAnsi="宋体" w:cs="宋体"/>
                <w:color w:val="auto"/>
                <w:sz w:val="21"/>
                <w:szCs w:val="21"/>
                <w:highlight w:val="none"/>
              </w:rPr>
            </w:pPr>
            <w:r>
              <w:rPr>
                <w:rFonts w:hint="eastAsia" w:hAnsi="宋体" w:cs="宋体"/>
                <w:color w:val="auto"/>
                <w:sz w:val="21"/>
                <w:szCs w:val="21"/>
                <w:highlight w:val="none"/>
                <w:lang w:val="en-US" w:eastAsia="zh-CN"/>
              </w:rPr>
              <w:t>9</w:t>
            </w:r>
            <w:r>
              <w:rPr>
                <w:rFonts w:hint="eastAsia" w:hAnsi="宋体" w:cs="宋体"/>
                <w:color w:val="auto"/>
                <w:sz w:val="21"/>
                <w:szCs w:val="21"/>
                <w:highlight w:val="none"/>
              </w:rPr>
              <w:t>辆</w:t>
            </w:r>
          </w:p>
        </w:tc>
        <w:tc>
          <w:tcPr>
            <w:tcW w:w="1933" w:type="dxa"/>
            <w:vAlign w:val="center"/>
          </w:tcPr>
          <w:p w14:paraId="5B486FEE">
            <w:pPr>
              <w:widowControl/>
              <w:autoSpaceDE w:val="0"/>
              <w:autoSpaceDN w:val="0"/>
              <w:adjustRightInd w:val="0"/>
              <w:spacing w:line="240" w:lineRule="auto"/>
              <w:jc w:val="center"/>
              <w:rPr>
                <w:rFonts w:hint="eastAsia" w:hAnsi="宋体" w:cs="宋体"/>
                <w:color w:val="auto"/>
                <w:sz w:val="21"/>
                <w:szCs w:val="21"/>
                <w:highlight w:val="none"/>
              </w:rPr>
            </w:pPr>
          </w:p>
        </w:tc>
        <w:tc>
          <w:tcPr>
            <w:tcW w:w="1529" w:type="dxa"/>
            <w:vAlign w:val="center"/>
          </w:tcPr>
          <w:p w14:paraId="0ED72749">
            <w:pPr>
              <w:widowControl/>
              <w:autoSpaceDE w:val="0"/>
              <w:autoSpaceDN w:val="0"/>
              <w:adjustRightInd w:val="0"/>
              <w:spacing w:line="240" w:lineRule="auto"/>
              <w:jc w:val="center"/>
              <w:rPr>
                <w:rFonts w:hint="eastAsia" w:hAnsi="宋体" w:cs="宋体"/>
                <w:color w:val="auto"/>
                <w:sz w:val="21"/>
                <w:szCs w:val="21"/>
                <w:highlight w:val="none"/>
              </w:rPr>
            </w:pPr>
          </w:p>
        </w:tc>
      </w:tr>
    </w:tbl>
    <w:p w14:paraId="7C1236A9">
      <w:pPr>
        <w:autoSpaceDE w:val="0"/>
        <w:autoSpaceDN w:val="0"/>
        <w:adjustRightInd w:val="0"/>
        <w:spacing w:line="360" w:lineRule="auto"/>
        <w:ind w:left="420"/>
        <w:jc w:val="left"/>
        <w:rPr>
          <w:rFonts w:ascii="宋体" w:hAnsi="宋体" w:eastAsia="宋体" w:cs="宋体"/>
          <w:b/>
          <w:bCs/>
          <w:color w:val="auto"/>
          <w:kern w:val="0"/>
          <w:szCs w:val="21"/>
          <w:highlight w:val="none"/>
        </w:rPr>
      </w:pPr>
      <w:r>
        <w:rPr>
          <w:rFonts w:hint="eastAsia" w:ascii="Times New Roman" w:hAnsi="宋体" w:eastAsia="宋体" w:cs="Times New Roman"/>
          <w:b/>
          <w:bCs/>
          <w:color w:val="auto"/>
          <w:kern w:val="0"/>
          <w:szCs w:val="21"/>
          <w:highlight w:val="none"/>
          <w:lang w:eastAsia="zh-CN"/>
        </w:rPr>
        <w:t>防撞缓冲车</w:t>
      </w:r>
      <w:r>
        <w:rPr>
          <w:rFonts w:hint="eastAsia" w:ascii="宋体" w:hAnsi="宋体" w:eastAsia="宋体" w:cs="Times New Roman"/>
          <w:b/>
          <w:bCs/>
          <w:color w:val="auto"/>
          <w:kern w:val="0"/>
          <w:szCs w:val="21"/>
          <w:highlight w:val="none"/>
        </w:rPr>
        <w:t>技术参数表</w:t>
      </w:r>
      <w:r>
        <w:rPr>
          <w:rFonts w:hint="eastAsia" w:ascii="宋体" w:hAnsi="宋体" w:eastAsia="宋体" w:cs="Times New Roman"/>
          <w:b/>
          <w:bCs/>
          <w:color w:val="auto"/>
          <w:kern w:val="0"/>
          <w:szCs w:val="21"/>
          <w:highlight w:val="none"/>
          <w:lang w:val="en-US" w:eastAsia="zh-CN"/>
        </w:rPr>
        <w:t>详</w:t>
      </w:r>
      <w:r>
        <w:rPr>
          <w:rFonts w:hint="eastAsia" w:ascii="宋体" w:hAnsi="宋体" w:eastAsia="宋体" w:cs="宋体"/>
          <w:b/>
          <w:bCs/>
          <w:color w:val="auto"/>
          <w:kern w:val="0"/>
          <w:szCs w:val="21"/>
          <w:highlight w:val="none"/>
        </w:rPr>
        <w:t>见投标文件</w:t>
      </w:r>
    </w:p>
    <w:p w14:paraId="4885A219">
      <w:pPr>
        <w:rPr>
          <w:color w:val="auto"/>
          <w:highlight w:val="none"/>
        </w:rPr>
      </w:pPr>
    </w:p>
    <w:p w14:paraId="5FBF16A8">
      <w:pPr>
        <w:autoSpaceDE w:val="0"/>
        <w:autoSpaceDN w:val="0"/>
        <w:adjustRightInd w:val="0"/>
        <w:spacing w:line="360" w:lineRule="auto"/>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二、合同价款</w:t>
      </w:r>
    </w:p>
    <w:p w14:paraId="4A682946">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1、合同含税总价：（人民币）</w:t>
      </w:r>
      <w:r>
        <w:rPr>
          <w:rFonts w:hint="eastAsia" w:ascii="宋体" w:hAnsi="宋体" w:eastAsia="宋体" w:cs="Times New Roman"/>
          <w:color w:val="auto"/>
          <w:kern w:val="0"/>
          <w:szCs w:val="21"/>
          <w:highlight w:val="none"/>
          <w:u w:val="single"/>
        </w:rPr>
        <w:t>大写：</w:t>
      </w:r>
      <w:r>
        <w:rPr>
          <w:rFonts w:hint="eastAsia" w:ascii="宋体" w:hAnsi="宋体" w:eastAsia="宋体" w:cs="Times New Roman"/>
          <w:color w:val="auto"/>
          <w:kern w:val="0"/>
          <w:szCs w:val="21"/>
          <w:highlight w:val="none"/>
          <w:u w:val="single"/>
          <w:lang w:val="en-US" w:eastAsia="zh-CN"/>
        </w:rPr>
        <w:t xml:space="preserve">    </w:t>
      </w:r>
      <w:r>
        <w:rPr>
          <w:rFonts w:hint="eastAsia" w:ascii="宋体" w:hAnsi="宋体" w:eastAsia="宋体" w:cs="Times New Roman"/>
          <w:color w:val="auto"/>
          <w:kern w:val="0"/>
          <w:szCs w:val="21"/>
          <w:highlight w:val="none"/>
          <w:u w:val="single"/>
        </w:rPr>
        <w:t>（小写：¥</w:t>
      </w:r>
      <w:r>
        <w:rPr>
          <w:rFonts w:hint="eastAsia" w:ascii="宋体" w:hAnsi="宋体" w:eastAsia="宋体" w:cs="Times New Roman"/>
          <w:color w:val="auto"/>
          <w:kern w:val="0"/>
          <w:szCs w:val="21"/>
          <w:highlight w:val="none"/>
          <w:u w:val="single"/>
          <w:lang w:val="en-US" w:eastAsia="zh-CN"/>
        </w:rPr>
        <w:t xml:space="preserve">    </w:t>
      </w:r>
      <w:r>
        <w:rPr>
          <w:rFonts w:hint="eastAsia" w:ascii="宋体" w:hAnsi="宋体" w:eastAsia="宋体" w:cs="Times New Roman"/>
          <w:color w:val="auto"/>
          <w:kern w:val="0"/>
          <w:szCs w:val="21"/>
          <w:highlight w:val="none"/>
          <w:u w:val="single"/>
        </w:rPr>
        <w:t>元</w:t>
      </w:r>
      <w:r>
        <w:rPr>
          <w:rFonts w:hint="eastAsia" w:ascii="宋体" w:hAnsi="宋体" w:eastAsia="宋体" w:cs="Times New Roman"/>
          <w:color w:val="auto"/>
          <w:kern w:val="0"/>
          <w:szCs w:val="21"/>
          <w:highlight w:val="none"/>
          <w:u w:val="single"/>
          <w:lang w:eastAsia="zh-CN"/>
        </w:rPr>
        <w:t>）</w:t>
      </w:r>
      <w:r>
        <w:rPr>
          <w:rFonts w:hint="eastAsia" w:ascii="宋体" w:hAnsi="宋体" w:eastAsia="宋体" w:cs="Times New Roman"/>
          <w:color w:val="auto"/>
          <w:kern w:val="0"/>
          <w:szCs w:val="21"/>
          <w:highlight w:val="none"/>
        </w:rPr>
        <w:t>。</w:t>
      </w:r>
    </w:p>
    <w:p w14:paraId="1BD9BD8A">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w:t>
      </w:r>
      <w:r>
        <w:rPr>
          <w:rFonts w:hint="eastAsia" w:ascii="宋体" w:hAnsi="宋体" w:eastAsia="宋体" w:cs="宋体"/>
          <w:color w:val="auto"/>
          <w:sz w:val="21"/>
          <w:szCs w:val="21"/>
          <w:highlight w:val="none"/>
        </w:rPr>
        <w:t>本项目的费用为总价包干，已包含所列货物、零配件、原材料及生产制造、检验、包装、利润、关税、保险、管理、运输（包括退货运输费）、装卸费、人工费、安装调试、人员培训、技术服务（包括技术资料、图纸的提供）、车辆入户登记费用、上牌服务费、车辆购置税、首年车船税、增值税、首年交强险、首年商业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机动车损失保险、第三者责任保险</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00万元保额、车上人员（驾驶员和乘客，核定座位数*</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0万元/</w:t>
      </w:r>
      <w:r>
        <w:rPr>
          <w:rFonts w:hint="eastAsia" w:ascii="宋体" w:hAnsi="宋体" w:eastAsia="宋体" w:cs="宋体"/>
          <w:color w:val="auto"/>
          <w:sz w:val="21"/>
          <w:szCs w:val="21"/>
          <w:highlight w:val="none"/>
          <w:lang w:val="en-US" w:eastAsia="zh-CN"/>
        </w:rPr>
        <w:t>座</w:t>
      </w:r>
      <w:r>
        <w:rPr>
          <w:rFonts w:hint="eastAsia" w:ascii="宋体" w:hAnsi="宋体" w:eastAsia="宋体" w:cs="宋体"/>
          <w:color w:val="auto"/>
          <w:sz w:val="21"/>
          <w:szCs w:val="21"/>
          <w:highlight w:val="none"/>
        </w:rPr>
        <w:t>保额）责任保险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防撞包单元碰撞险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、车身喷涂（按</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要求）、检测及验收合格之前及质保期内维修维护、售后服务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拖车费</w:t>
      </w:r>
      <w:r>
        <w:rPr>
          <w:rFonts w:hint="eastAsia" w:ascii="宋体" w:hAnsi="宋体" w:eastAsia="宋体" w:cs="宋体"/>
          <w:color w:val="auto"/>
          <w:sz w:val="21"/>
          <w:szCs w:val="21"/>
          <w:highlight w:val="none"/>
        </w:rPr>
        <w:t>等全部费用。</w:t>
      </w:r>
      <w:r>
        <w:rPr>
          <w:rFonts w:hint="eastAsia" w:ascii="宋体" w:hAnsi="宋体" w:eastAsia="宋体" w:cs="Times New Roman"/>
          <w:color w:val="auto"/>
          <w:kern w:val="0"/>
          <w:szCs w:val="21"/>
          <w:highlight w:val="none"/>
        </w:rPr>
        <w:t>未经甲方书面同意，乙方不得向甲方主张前述费用以外的任何其它费用或补偿。</w:t>
      </w:r>
    </w:p>
    <w:p w14:paraId="1D0064C5">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3、本合同</w:t>
      </w:r>
      <w:r>
        <w:rPr>
          <w:rFonts w:hint="eastAsia" w:ascii="宋体" w:hAnsi="宋体" w:eastAsia="宋体" w:cs="Times New Roman"/>
          <w:color w:val="auto"/>
          <w:kern w:val="0"/>
          <w:szCs w:val="21"/>
          <w:highlight w:val="none"/>
          <w:lang w:val="en-US" w:eastAsia="zh-CN"/>
        </w:rPr>
        <w:t>含税</w:t>
      </w:r>
      <w:r>
        <w:rPr>
          <w:rFonts w:hint="eastAsia" w:ascii="宋体" w:hAnsi="宋体" w:eastAsia="宋体" w:cs="Times New Roman"/>
          <w:color w:val="auto"/>
          <w:kern w:val="0"/>
          <w:szCs w:val="21"/>
          <w:highlight w:val="none"/>
        </w:rPr>
        <w:t>总价为固定价格，在本合同有效期内固定不变，不因材料、劳务成本、运输成本、安装成本、货物的行业标准或国家标准的变动或其他任何理由予以变更。</w:t>
      </w:r>
    </w:p>
    <w:p w14:paraId="5A633874">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三、货物产地及标准</w:t>
      </w:r>
    </w:p>
    <w:p w14:paraId="23A9C0B4">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1、货物必须是原厂生产的、全新的、未使用过的产品(含零部件、配件、随</w:t>
      </w:r>
      <w:r>
        <w:rPr>
          <w:rFonts w:hint="eastAsia" w:ascii="宋体" w:hAnsi="宋体" w:eastAsia="宋体" w:cs="Times New Roman"/>
          <w:color w:val="auto"/>
          <w:kern w:val="0"/>
          <w:szCs w:val="21"/>
          <w:highlight w:val="none"/>
          <w:lang w:val="en-US" w:eastAsia="zh-CN"/>
        </w:rPr>
        <w:t>车</w:t>
      </w:r>
      <w:r>
        <w:rPr>
          <w:rFonts w:hint="eastAsia" w:ascii="宋体" w:hAnsi="宋体" w:eastAsia="宋体" w:cs="Times New Roman"/>
          <w:color w:val="auto"/>
          <w:kern w:val="0"/>
          <w:szCs w:val="21"/>
          <w:highlight w:val="none"/>
        </w:rPr>
        <w:t>工具等)，表面无划伤、无碰撞的痕迹。</w:t>
      </w:r>
    </w:p>
    <w:p w14:paraId="4C07EB2B">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本合同所指的货物及服务应符合合同约定的技术规格所述的标准，如果没有提及适用标准，则应符合中华人民共和国国家标准或行业标准；如无前述标准的，则采用货物来源适用的且经甲方认可的官方标准。这些标准必须是有关机构发布的最新版本的标准。乙方保证所供应的本合同货物符合质量标准，不存在任何缺陷。</w:t>
      </w:r>
    </w:p>
    <w:p w14:paraId="5AE51D93">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3、进口产品必须具备原产地证明和商检局的检验证明及合法进货渠道证明。</w:t>
      </w:r>
    </w:p>
    <w:p w14:paraId="3D786D8B">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4、国内产品或合资厂的产品必须具备出厂合格证。</w:t>
      </w:r>
    </w:p>
    <w:p w14:paraId="4E6EF92F">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5、乙方应将所供货物的原厂售后服务承诺书或证明、用户手册、保修手册、有关资料及配件、随</w:t>
      </w:r>
      <w:r>
        <w:rPr>
          <w:rFonts w:hint="eastAsia" w:ascii="宋体" w:hAnsi="宋体" w:eastAsia="宋体" w:cs="Times New Roman"/>
          <w:color w:val="auto"/>
          <w:kern w:val="0"/>
          <w:szCs w:val="21"/>
          <w:highlight w:val="none"/>
          <w:lang w:val="en-US" w:eastAsia="zh-CN"/>
        </w:rPr>
        <w:t>车</w:t>
      </w:r>
      <w:r>
        <w:rPr>
          <w:rFonts w:hint="eastAsia" w:ascii="宋体" w:hAnsi="宋体" w:eastAsia="宋体" w:cs="Times New Roman"/>
          <w:color w:val="auto"/>
          <w:kern w:val="0"/>
          <w:szCs w:val="21"/>
          <w:highlight w:val="none"/>
        </w:rPr>
        <w:t>工具等交付给甲方。</w:t>
      </w:r>
    </w:p>
    <w:p w14:paraId="3C7CCDEC">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6、乙方应当保证具有履行本合同所必需的条件及资质。</w:t>
      </w:r>
    </w:p>
    <w:p w14:paraId="5186A559">
      <w:pPr>
        <w:autoSpaceDE w:val="0"/>
        <w:autoSpaceDN w:val="0"/>
        <w:adjustRightInd w:val="0"/>
        <w:spacing w:line="360" w:lineRule="auto"/>
        <w:ind w:firstLine="420" w:firstLineChars="200"/>
        <w:jc w:val="left"/>
        <w:rPr>
          <w:rFonts w:hint="eastAsia" w:ascii="宋体" w:hAnsi="宋体" w:eastAsia="宋体" w:cs="Times New Roman"/>
          <w:bCs/>
          <w:color w:val="auto"/>
          <w:kern w:val="0"/>
          <w:szCs w:val="21"/>
          <w:highlight w:val="none"/>
        </w:rPr>
      </w:pPr>
      <w:r>
        <w:rPr>
          <w:rFonts w:hint="eastAsia" w:ascii="宋体" w:hAnsi="宋体" w:eastAsia="宋体" w:cs="Times New Roman"/>
          <w:bCs w:val="0"/>
          <w:color w:val="auto"/>
          <w:kern w:val="0"/>
          <w:szCs w:val="21"/>
          <w:highlight w:val="none"/>
        </w:rPr>
        <w:t>7、货物具体技术参数</w:t>
      </w:r>
      <w:r>
        <w:rPr>
          <w:rFonts w:hint="eastAsia" w:ascii="宋体" w:hAnsi="宋体" w:eastAsia="宋体" w:cs="Times New Roman"/>
          <w:bCs w:val="0"/>
          <w:color w:val="auto"/>
          <w:kern w:val="0"/>
          <w:szCs w:val="21"/>
          <w:highlight w:val="none"/>
          <w:lang w:eastAsia="zh-CN"/>
        </w:rPr>
        <w:t>以</w:t>
      </w:r>
      <w:r>
        <w:rPr>
          <w:rFonts w:hint="eastAsia" w:ascii="宋体" w:hAnsi="宋体" w:eastAsia="宋体" w:cs="Times New Roman"/>
          <w:color w:val="auto"/>
          <w:kern w:val="0"/>
          <w:szCs w:val="21"/>
          <w:highlight w:val="none"/>
          <w:lang w:val="en-US" w:eastAsia="zh-CN"/>
        </w:rPr>
        <w:t>投标文件的产品参数为准</w:t>
      </w:r>
      <w:r>
        <w:rPr>
          <w:rFonts w:hint="eastAsia" w:ascii="宋体" w:hAnsi="宋体" w:eastAsia="宋体" w:cs="Times New Roman"/>
          <w:bCs/>
          <w:color w:val="auto"/>
          <w:kern w:val="0"/>
          <w:szCs w:val="21"/>
          <w:highlight w:val="none"/>
        </w:rPr>
        <w:t>。</w:t>
      </w:r>
    </w:p>
    <w:p w14:paraId="243C625F">
      <w:pPr>
        <w:spacing w:line="360" w:lineRule="auto"/>
        <w:ind w:firstLine="420" w:firstLineChars="200"/>
        <w:jc w:val="left"/>
        <w:rPr>
          <w:rFonts w:hint="eastAsia" w:ascii="宋体" w:hAnsi="宋体" w:eastAsia="宋体" w:cs="Times New Roman"/>
          <w:color w:val="auto"/>
          <w:kern w:val="0"/>
          <w:szCs w:val="21"/>
          <w:highlight w:val="none"/>
          <w:lang w:val="en-US" w:eastAsia="zh-CN"/>
        </w:rPr>
      </w:pPr>
      <w:r>
        <w:rPr>
          <w:rFonts w:hint="eastAsia" w:ascii="宋体" w:hAnsi="宋体" w:eastAsia="宋体" w:cs="Times New Roman"/>
          <w:b w:val="0"/>
          <w:bCs w:val="0"/>
          <w:color w:val="auto"/>
          <w:kern w:val="0"/>
          <w:szCs w:val="21"/>
          <w:highlight w:val="none"/>
          <w:lang w:eastAsia="zh-CN"/>
        </w:rPr>
        <w:t>8</w:t>
      </w:r>
      <w:r>
        <w:rPr>
          <w:rFonts w:hint="eastAsia" w:ascii="宋体" w:hAnsi="宋体" w:eastAsia="宋体" w:cs="Times New Roman"/>
          <w:b w:val="0"/>
          <w:bCs w:val="0"/>
          <w:color w:val="auto"/>
          <w:kern w:val="0"/>
          <w:szCs w:val="21"/>
          <w:highlight w:val="none"/>
        </w:rPr>
        <w:t>、乙方保证其对交付</w:t>
      </w:r>
      <w:r>
        <w:rPr>
          <w:rFonts w:hint="eastAsia" w:ascii="宋体" w:hAnsi="宋体" w:eastAsia="宋体" w:cs="Times New Roman"/>
          <w:b w:val="0"/>
          <w:bCs w:val="0"/>
          <w:color w:val="auto"/>
          <w:kern w:val="0"/>
          <w:szCs w:val="21"/>
          <w:highlight w:val="none"/>
          <w:lang w:val="en-US" w:eastAsia="zh-CN"/>
        </w:rPr>
        <w:t>车辆和</w:t>
      </w:r>
      <w:r>
        <w:rPr>
          <w:rFonts w:hint="eastAsia" w:ascii="宋体" w:hAnsi="宋体" w:eastAsia="宋体" w:cs="Times New Roman"/>
          <w:b w:val="0"/>
          <w:bCs w:val="0"/>
          <w:color w:val="auto"/>
          <w:kern w:val="0"/>
          <w:szCs w:val="21"/>
          <w:highlight w:val="none"/>
        </w:rPr>
        <w:t>货物享有完整、合法的处分权，</w:t>
      </w:r>
      <w:r>
        <w:rPr>
          <w:rFonts w:hint="eastAsia" w:ascii="宋体" w:hAnsi="宋体" w:eastAsia="宋体" w:cs="Times New Roman"/>
          <w:bCs w:val="0"/>
          <w:color w:val="auto"/>
          <w:kern w:val="0"/>
          <w:szCs w:val="21"/>
          <w:highlight w:val="none"/>
        </w:rPr>
        <w:t>车辆和货物</w:t>
      </w:r>
      <w:r>
        <w:rPr>
          <w:rFonts w:hint="eastAsia" w:ascii="宋体" w:hAnsi="宋体" w:eastAsia="宋体" w:cs="Times New Roman"/>
          <w:b w:val="0"/>
          <w:bCs w:val="0"/>
          <w:color w:val="auto"/>
          <w:kern w:val="0"/>
          <w:szCs w:val="21"/>
          <w:highlight w:val="none"/>
        </w:rPr>
        <w:t>不存在抵押、质押、留置、所有权保留等第三人权利或纠纷，并保证第三人对标的物不享有任何权利</w:t>
      </w:r>
      <w:r>
        <w:rPr>
          <w:rFonts w:hint="eastAsia" w:ascii="宋体" w:hAnsi="宋体" w:eastAsia="宋体" w:cs="Times New Roman"/>
          <w:b w:val="0"/>
          <w:bCs w:val="0"/>
          <w:color w:val="auto"/>
          <w:kern w:val="0"/>
          <w:szCs w:val="21"/>
          <w:highlight w:val="none"/>
          <w:lang w:eastAsia="zh-CN"/>
        </w:rPr>
        <w:t>；</w:t>
      </w:r>
      <w:r>
        <w:rPr>
          <w:rFonts w:hint="eastAsia" w:ascii="宋体" w:hAnsi="宋体" w:eastAsia="宋体" w:cs="Times New Roman"/>
          <w:b w:val="0"/>
          <w:bCs w:val="0"/>
          <w:color w:val="auto"/>
          <w:kern w:val="0"/>
          <w:szCs w:val="21"/>
          <w:highlight w:val="none"/>
        </w:rPr>
        <w:t>若第三人主张权利，乙方应在接到通知后【3】</w:t>
      </w:r>
      <w:r>
        <w:rPr>
          <w:rFonts w:hint="eastAsia" w:ascii="宋体" w:hAnsi="宋体" w:eastAsia="宋体" w:cs="Times New Roman"/>
          <w:b w:val="0"/>
          <w:bCs w:val="0"/>
          <w:color w:val="auto"/>
          <w:kern w:val="0"/>
          <w:szCs w:val="21"/>
          <w:highlight w:val="none"/>
          <w:lang w:val="en-US" w:eastAsia="zh-CN"/>
        </w:rPr>
        <w:t>个自然</w:t>
      </w:r>
      <w:r>
        <w:rPr>
          <w:rFonts w:hint="eastAsia" w:ascii="宋体" w:hAnsi="宋体" w:eastAsia="宋体" w:cs="Times New Roman"/>
          <w:b w:val="0"/>
          <w:bCs w:val="0"/>
          <w:color w:val="auto"/>
          <w:kern w:val="0"/>
          <w:szCs w:val="21"/>
          <w:highlight w:val="none"/>
        </w:rPr>
        <w:t>日内予以排除并承担全部费用与责任，造成甲方损失的，乙方应赔偿全部损失。</w:t>
      </w:r>
    </w:p>
    <w:p w14:paraId="53AFEC0C">
      <w:pPr>
        <w:autoSpaceDE w:val="0"/>
        <w:autoSpaceDN w:val="0"/>
        <w:adjustRightInd w:val="0"/>
        <w:spacing w:line="360" w:lineRule="auto"/>
        <w:ind w:firstLine="413" w:firstLineChars="196"/>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四、货物运输、包装、保险</w:t>
      </w:r>
    </w:p>
    <w:p w14:paraId="46CB052B">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1、乙方应负责货物的运输和启运地及目的地的装卸。</w:t>
      </w:r>
    </w:p>
    <w:p w14:paraId="4DE0B3F2">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2、乙方起运货物</w:t>
      </w:r>
      <w:r>
        <w:rPr>
          <w:rFonts w:hint="eastAsia" w:ascii="宋体" w:hAnsi="宋体" w:eastAsia="宋体" w:cs="Times New Roman"/>
          <w:bCs/>
          <w:color w:val="auto"/>
          <w:kern w:val="0"/>
          <w:szCs w:val="21"/>
          <w:highlight w:val="none"/>
        </w:rPr>
        <w:t>【</w:t>
      </w:r>
      <w:r>
        <w:rPr>
          <w:rFonts w:hint="eastAsia" w:ascii="宋体" w:hAnsi="宋体" w:eastAsia="宋体" w:cs="Times New Roman"/>
          <w:bCs/>
          <w:color w:val="auto"/>
          <w:kern w:val="0"/>
          <w:szCs w:val="21"/>
          <w:highlight w:val="none"/>
          <w:u w:val="single"/>
        </w:rPr>
        <w:t xml:space="preserve"> </w:t>
      </w:r>
      <w:r>
        <w:rPr>
          <w:rFonts w:ascii="宋体" w:hAnsi="宋体" w:eastAsia="宋体" w:cs="Times New Roman"/>
          <w:bCs/>
          <w:color w:val="auto"/>
          <w:kern w:val="0"/>
          <w:szCs w:val="21"/>
          <w:highlight w:val="none"/>
          <w:u w:val="single"/>
        </w:rPr>
        <w:t>5</w:t>
      </w:r>
      <w:r>
        <w:rPr>
          <w:rFonts w:hint="eastAsia" w:ascii="宋体" w:hAnsi="宋体" w:eastAsia="宋体" w:cs="Times New Roman"/>
          <w:bCs/>
          <w:color w:val="auto"/>
          <w:kern w:val="0"/>
          <w:szCs w:val="21"/>
          <w:highlight w:val="none"/>
          <w:u w:val="single"/>
        </w:rPr>
        <w:t xml:space="preserve"> </w:t>
      </w:r>
      <w:r>
        <w:rPr>
          <w:rFonts w:hint="eastAsia" w:ascii="宋体" w:hAnsi="宋体" w:eastAsia="宋体" w:cs="Times New Roman"/>
          <w:bCs/>
          <w:color w:val="auto"/>
          <w:kern w:val="0"/>
          <w:szCs w:val="21"/>
          <w:highlight w:val="none"/>
        </w:rPr>
        <w:t>】</w:t>
      </w:r>
      <w:r>
        <w:rPr>
          <w:rFonts w:hint="eastAsia" w:ascii="宋体" w:hAnsi="宋体" w:eastAsia="宋体" w:cs="Times New Roman"/>
          <w:bCs/>
          <w:color w:val="auto"/>
          <w:kern w:val="0"/>
          <w:szCs w:val="21"/>
          <w:highlight w:val="none"/>
          <w:lang w:val="en-US" w:eastAsia="zh-CN"/>
        </w:rPr>
        <w:t>个自然</w:t>
      </w:r>
      <w:r>
        <w:rPr>
          <w:rFonts w:hint="eastAsia" w:ascii="宋体" w:hAnsi="宋体" w:eastAsia="宋体" w:cs="Times New Roman"/>
          <w:color w:val="auto"/>
          <w:kern w:val="0"/>
          <w:szCs w:val="21"/>
          <w:highlight w:val="none"/>
        </w:rPr>
        <w:t>日前应通知甲方预计到达时间和货物的装运情况。</w:t>
      </w:r>
    </w:p>
    <w:p w14:paraId="49C4B2BD">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3、除合同另有规定外，乙方提供的全部货物均应按标准保护措施进行包装。该包装应适应于远距离运输、防潮、防震、防锈和防野蛮装卸，以确保货物安全无损运抵指定地点。由于包装</w:t>
      </w:r>
      <w:r>
        <w:rPr>
          <w:rFonts w:hint="eastAsia" w:ascii="宋体" w:hAnsi="宋体" w:eastAsia="宋体" w:cs="Times New Roman"/>
          <w:color w:val="auto"/>
          <w:kern w:val="0"/>
          <w:szCs w:val="21"/>
          <w:highlight w:val="none"/>
          <w:lang w:val="en-US" w:eastAsia="zh-CN"/>
        </w:rPr>
        <w:t>或运输</w:t>
      </w:r>
      <w:r>
        <w:rPr>
          <w:rFonts w:hint="eastAsia" w:ascii="宋体" w:hAnsi="宋体" w:eastAsia="宋体" w:cs="Times New Roman"/>
          <w:color w:val="auto"/>
          <w:kern w:val="0"/>
          <w:szCs w:val="21"/>
          <w:highlight w:val="none"/>
        </w:rPr>
        <w:t>不善所引起的货物毁损灭失风险均由乙方承担。</w:t>
      </w:r>
    </w:p>
    <w:p w14:paraId="2C29708F">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4、乙方在发货之前应对设备的有关内在和外观质量、规格、性能、数量和重量进行准确和全面的检验。</w:t>
      </w:r>
    </w:p>
    <w:p w14:paraId="61F8F20F">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5、乙方应当根据运输实际情况购买保险（含货物保险及交运人员人身保险），并承担货物送达甲方指定地点安装调试并经甲方</w:t>
      </w:r>
      <w:r>
        <w:rPr>
          <w:rFonts w:hint="eastAsia" w:ascii="宋体" w:hAnsi="宋体" w:eastAsia="宋体" w:cs="Times New Roman"/>
          <w:color w:val="auto"/>
          <w:kern w:val="0"/>
          <w:szCs w:val="21"/>
          <w:highlight w:val="none"/>
          <w:lang w:val="en-US" w:eastAsia="zh-CN"/>
        </w:rPr>
        <w:t>最终</w:t>
      </w:r>
      <w:r>
        <w:rPr>
          <w:rFonts w:hint="eastAsia" w:ascii="宋体" w:hAnsi="宋体" w:eastAsia="宋体" w:cs="Times New Roman"/>
          <w:color w:val="auto"/>
          <w:kern w:val="0"/>
          <w:szCs w:val="21"/>
          <w:highlight w:val="none"/>
        </w:rPr>
        <w:t>验收合格之前所产生的所有</w:t>
      </w:r>
      <w:r>
        <w:rPr>
          <w:rFonts w:hint="eastAsia" w:ascii="宋体" w:hAnsi="宋体" w:eastAsia="宋体" w:cs="Times New Roman"/>
          <w:color w:val="auto"/>
          <w:kern w:val="0"/>
          <w:szCs w:val="21"/>
          <w:highlight w:val="none"/>
          <w:lang w:val="en-US" w:eastAsia="zh-CN"/>
        </w:rPr>
        <w:t>费用、</w:t>
      </w:r>
      <w:r>
        <w:rPr>
          <w:rFonts w:hint="eastAsia" w:ascii="宋体" w:hAnsi="宋体" w:eastAsia="宋体" w:cs="Times New Roman"/>
          <w:color w:val="auto"/>
          <w:kern w:val="0"/>
          <w:szCs w:val="21"/>
          <w:highlight w:val="none"/>
        </w:rPr>
        <w:t>风险和责任。</w:t>
      </w:r>
    </w:p>
    <w:p w14:paraId="4741B13C">
      <w:pPr>
        <w:autoSpaceDE w:val="0"/>
        <w:autoSpaceDN w:val="0"/>
        <w:adjustRightInd w:val="0"/>
        <w:spacing w:line="360" w:lineRule="auto"/>
        <w:ind w:firstLine="420" w:firstLineChars="200"/>
        <w:jc w:val="left"/>
        <w:rPr>
          <w:rFonts w:ascii="宋体" w:hAnsi="宋体" w:eastAsia="宋体" w:cs="Times New Roman"/>
          <w:b/>
          <w:color w:val="auto"/>
          <w:kern w:val="0"/>
          <w:szCs w:val="21"/>
          <w:highlight w:val="none"/>
        </w:rPr>
      </w:pPr>
      <w:r>
        <w:rPr>
          <w:rFonts w:hint="eastAsia" w:ascii="宋体" w:hAnsi="宋体" w:eastAsia="宋体" w:cs="Times New Roman"/>
          <w:color w:val="auto"/>
          <w:kern w:val="0"/>
          <w:szCs w:val="21"/>
          <w:highlight w:val="none"/>
        </w:rPr>
        <w:t>6、货物运输、保险和包装相关费用已包含在合同总价中，甲方不另行支付或给予乙方补偿。</w:t>
      </w:r>
    </w:p>
    <w:p w14:paraId="05389C54">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五、交货</w:t>
      </w:r>
    </w:p>
    <w:p w14:paraId="489A7CF0">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b w:val="0"/>
          <w:bCs w:val="0"/>
          <w:color w:val="auto"/>
          <w:kern w:val="0"/>
          <w:sz w:val="21"/>
          <w:szCs w:val="21"/>
          <w:highlight w:val="none"/>
          <w:lang w:bidi="ar"/>
        </w:rPr>
      </w:pPr>
      <w:r>
        <w:rPr>
          <w:rFonts w:hint="eastAsia" w:ascii="宋体" w:hAnsi="宋体" w:eastAsia="宋体" w:cs="Times New Roman"/>
          <w:color w:val="auto"/>
          <w:kern w:val="0"/>
          <w:szCs w:val="21"/>
          <w:highlight w:val="none"/>
        </w:rPr>
        <w:t>1、</w:t>
      </w:r>
      <w:r>
        <w:rPr>
          <w:rFonts w:hint="eastAsia" w:ascii="宋体" w:hAnsi="宋体" w:eastAsia="宋体" w:cs="宋体"/>
          <w:color w:val="auto"/>
          <w:kern w:val="0"/>
          <w:szCs w:val="21"/>
          <w:highlight w:val="none"/>
          <w:lang w:bidi="ar"/>
        </w:rPr>
        <w:t>供货期：</w:t>
      </w:r>
      <w:r>
        <w:rPr>
          <w:rFonts w:hint="eastAsia" w:ascii="宋体" w:hAnsi="宋体" w:eastAsia="宋体" w:cs="宋体"/>
          <w:b w:val="0"/>
          <w:bCs w:val="0"/>
          <w:color w:val="auto"/>
          <w:kern w:val="0"/>
          <w:sz w:val="21"/>
          <w:szCs w:val="21"/>
          <w:highlight w:val="none"/>
          <w:lang w:bidi="ar"/>
        </w:rPr>
        <w:t>合同签订之日起</w:t>
      </w:r>
      <w:r>
        <w:rPr>
          <w:rFonts w:hint="eastAsia" w:ascii="宋体" w:hAnsi="宋体" w:eastAsia="宋体" w:cs="宋体"/>
          <w:b w:val="0"/>
          <w:bCs w:val="0"/>
          <w:color w:val="auto"/>
          <w:kern w:val="0"/>
          <w:sz w:val="21"/>
          <w:szCs w:val="21"/>
          <w:highlight w:val="none"/>
          <w:u w:val="single"/>
          <w:lang w:val="en-US" w:eastAsia="zh-CN" w:bidi="ar"/>
        </w:rPr>
        <w:t xml:space="preserve">    </w:t>
      </w:r>
      <w:r>
        <w:rPr>
          <w:rFonts w:hint="eastAsia" w:ascii="宋体" w:hAnsi="宋体" w:eastAsia="宋体" w:cs="宋体"/>
          <w:b w:val="0"/>
          <w:bCs w:val="0"/>
          <w:color w:val="auto"/>
          <w:kern w:val="0"/>
          <w:sz w:val="21"/>
          <w:szCs w:val="21"/>
          <w:highlight w:val="none"/>
          <w:lang w:bidi="ar"/>
        </w:rPr>
        <w:t>个</w:t>
      </w:r>
      <w:r>
        <w:rPr>
          <w:rFonts w:hint="eastAsia" w:ascii="宋体" w:hAnsi="宋体" w:eastAsia="宋体" w:cs="宋体"/>
          <w:b w:val="0"/>
          <w:bCs w:val="0"/>
          <w:color w:val="auto"/>
          <w:kern w:val="0"/>
          <w:sz w:val="21"/>
          <w:szCs w:val="21"/>
          <w:highlight w:val="none"/>
          <w:lang w:eastAsia="zh-CN" w:bidi="ar"/>
        </w:rPr>
        <w:t>自然日</w:t>
      </w:r>
      <w:r>
        <w:rPr>
          <w:rFonts w:hint="eastAsia" w:ascii="宋体" w:hAnsi="宋体" w:eastAsia="宋体" w:cs="宋体"/>
          <w:b w:val="0"/>
          <w:bCs w:val="0"/>
          <w:color w:val="auto"/>
          <w:kern w:val="0"/>
          <w:sz w:val="21"/>
          <w:szCs w:val="21"/>
          <w:highlight w:val="none"/>
          <w:lang w:bidi="ar"/>
        </w:rPr>
        <w:t>内完成供货及查验车辆（不得超过中标通知书发出之日起</w:t>
      </w:r>
      <w:r>
        <w:rPr>
          <w:rFonts w:hint="eastAsia" w:ascii="宋体" w:hAnsi="宋体" w:eastAsia="宋体" w:cs="宋体"/>
          <w:b w:val="0"/>
          <w:bCs w:val="0"/>
          <w:color w:val="auto"/>
          <w:kern w:val="0"/>
          <w:sz w:val="21"/>
          <w:szCs w:val="21"/>
          <w:highlight w:val="none"/>
          <w:u w:val="single"/>
          <w:lang w:val="en-US" w:eastAsia="zh-CN" w:bidi="ar"/>
        </w:rPr>
        <w:t xml:space="preserve">    </w:t>
      </w:r>
      <w:r>
        <w:rPr>
          <w:rFonts w:hint="eastAsia" w:ascii="宋体" w:hAnsi="宋体" w:eastAsia="宋体" w:cs="宋体"/>
          <w:b w:val="0"/>
          <w:bCs w:val="0"/>
          <w:color w:val="auto"/>
          <w:kern w:val="0"/>
          <w:sz w:val="21"/>
          <w:szCs w:val="21"/>
          <w:highlight w:val="none"/>
          <w:lang w:bidi="ar"/>
        </w:rPr>
        <w:t>个</w:t>
      </w:r>
      <w:r>
        <w:rPr>
          <w:rFonts w:hint="eastAsia" w:ascii="宋体" w:hAnsi="宋体" w:eastAsia="宋体" w:cs="宋体"/>
          <w:b w:val="0"/>
          <w:bCs w:val="0"/>
          <w:color w:val="auto"/>
          <w:kern w:val="0"/>
          <w:sz w:val="21"/>
          <w:szCs w:val="21"/>
          <w:highlight w:val="none"/>
          <w:lang w:eastAsia="zh-CN" w:bidi="ar"/>
        </w:rPr>
        <w:t>自然日</w:t>
      </w:r>
      <w:r>
        <w:rPr>
          <w:rFonts w:hint="eastAsia" w:ascii="宋体" w:hAnsi="宋体" w:eastAsia="宋体" w:cs="宋体"/>
          <w:b w:val="0"/>
          <w:bCs w:val="0"/>
          <w:color w:val="auto"/>
          <w:kern w:val="0"/>
          <w:sz w:val="21"/>
          <w:szCs w:val="21"/>
          <w:highlight w:val="none"/>
          <w:lang w:bidi="ar"/>
        </w:rPr>
        <w:t>）。车辆</w:t>
      </w:r>
      <w:r>
        <w:rPr>
          <w:rFonts w:hint="eastAsia" w:ascii="宋体" w:hAnsi="宋体" w:eastAsia="宋体" w:cs="宋体"/>
          <w:b w:val="0"/>
          <w:bCs w:val="0"/>
          <w:color w:val="auto"/>
          <w:kern w:val="0"/>
          <w:sz w:val="21"/>
          <w:szCs w:val="21"/>
          <w:highlight w:val="none"/>
          <w:lang w:eastAsia="zh-Hans" w:bidi="ar"/>
        </w:rPr>
        <w:t>经</w:t>
      </w:r>
      <w:r>
        <w:rPr>
          <w:rFonts w:hint="eastAsia" w:ascii="宋体" w:hAnsi="宋体" w:eastAsia="宋体" w:cs="宋体"/>
          <w:b w:val="0"/>
          <w:bCs w:val="0"/>
          <w:color w:val="auto"/>
          <w:kern w:val="0"/>
          <w:sz w:val="21"/>
          <w:szCs w:val="21"/>
          <w:highlight w:val="none"/>
          <w:lang w:eastAsia="zh-CN" w:bidi="ar"/>
        </w:rPr>
        <w:t>甲方</w:t>
      </w:r>
      <w:r>
        <w:rPr>
          <w:rFonts w:hint="eastAsia" w:ascii="宋体" w:hAnsi="宋体" w:eastAsia="宋体" w:cs="宋体"/>
          <w:b w:val="0"/>
          <w:bCs w:val="0"/>
          <w:color w:val="auto"/>
          <w:kern w:val="0"/>
          <w:sz w:val="21"/>
          <w:szCs w:val="21"/>
          <w:highlight w:val="none"/>
          <w:lang w:bidi="ar"/>
        </w:rPr>
        <w:t>查验合格后</w:t>
      </w:r>
      <w:r>
        <w:rPr>
          <w:rFonts w:hint="eastAsia" w:ascii="宋体" w:hAnsi="宋体" w:eastAsia="宋体" w:cs="宋体"/>
          <w:b w:val="0"/>
          <w:bCs w:val="0"/>
          <w:color w:val="auto"/>
          <w:kern w:val="0"/>
          <w:sz w:val="21"/>
          <w:szCs w:val="21"/>
          <w:highlight w:val="none"/>
          <w:u w:val="single"/>
          <w:lang w:val="en-US" w:eastAsia="zh-CN" w:bidi="ar"/>
        </w:rPr>
        <w:t xml:space="preserve">    </w:t>
      </w:r>
      <w:r>
        <w:rPr>
          <w:rFonts w:hint="eastAsia" w:ascii="宋体" w:hAnsi="宋体" w:eastAsia="宋体" w:cs="宋体"/>
          <w:b w:val="0"/>
          <w:bCs w:val="0"/>
          <w:color w:val="auto"/>
          <w:kern w:val="0"/>
          <w:sz w:val="21"/>
          <w:szCs w:val="21"/>
          <w:highlight w:val="none"/>
          <w:lang w:bidi="ar"/>
        </w:rPr>
        <w:t>个</w:t>
      </w:r>
      <w:r>
        <w:rPr>
          <w:rFonts w:hint="eastAsia" w:ascii="宋体" w:hAnsi="宋体" w:eastAsia="宋体" w:cs="宋体"/>
          <w:b w:val="0"/>
          <w:bCs w:val="0"/>
          <w:color w:val="auto"/>
          <w:kern w:val="0"/>
          <w:sz w:val="21"/>
          <w:szCs w:val="21"/>
          <w:highlight w:val="none"/>
          <w:lang w:eastAsia="zh-CN" w:bidi="ar"/>
        </w:rPr>
        <w:t>自然日</w:t>
      </w:r>
      <w:r>
        <w:rPr>
          <w:rFonts w:hint="eastAsia" w:ascii="宋体" w:hAnsi="宋体" w:eastAsia="宋体" w:cs="宋体"/>
          <w:b w:val="0"/>
          <w:bCs w:val="0"/>
          <w:color w:val="auto"/>
          <w:kern w:val="0"/>
          <w:sz w:val="21"/>
          <w:szCs w:val="21"/>
          <w:highlight w:val="none"/>
          <w:lang w:bidi="ar"/>
        </w:rPr>
        <w:t>内完成车辆的</w:t>
      </w:r>
      <w:r>
        <w:rPr>
          <w:rFonts w:hint="eastAsia" w:ascii="宋体" w:hAnsi="宋体" w:eastAsia="宋体" w:cs="宋体"/>
          <w:b w:val="0"/>
          <w:bCs w:val="0"/>
          <w:color w:val="auto"/>
          <w:kern w:val="0"/>
          <w:sz w:val="21"/>
          <w:szCs w:val="21"/>
          <w:highlight w:val="none"/>
          <w:lang w:eastAsia="zh-CN" w:bidi="ar"/>
        </w:rPr>
        <w:t>喷涂</w:t>
      </w:r>
      <w:r>
        <w:rPr>
          <w:rFonts w:hint="eastAsia" w:ascii="宋体" w:hAnsi="宋体" w:eastAsia="宋体" w:cs="宋体"/>
          <w:b w:val="0"/>
          <w:bCs w:val="0"/>
          <w:color w:val="auto"/>
          <w:kern w:val="0"/>
          <w:sz w:val="21"/>
          <w:szCs w:val="21"/>
          <w:highlight w:val="none"/>
          <w:lang w:bidi="ar"/>
        </w:rPr>
        <w:t>、上牌（必须为东莞市车牌）、配件安装（包括安装行车记录仪、贴膜等）和验收交付。</w:t>
      </w:r>
    </w:p>
    <w:p w14:paraId="33C91F7E">
      <w:pPr>
        <w:pStyle w:val="2"/>
        <w:ind w:firstLine="420" w:firstLineChars="200"/>
        <w:rPr>
          <w:rFonts w:hint="eastAsia" w:ascii="宋体" w:hAnsi="宋体" w:eastAsia="宋体" w:cs="Times New Roman"/>
          <w:snapToGrid/>
          <w:color w:val="auto"/>
          <w:szCs w:val="21"/>
          <w:highlight w:val="none"/>
          <w:lang w:eastAsia="zh-CN"/>
        </w:rPr>
      </w:pPr>
      <w:r>
        <w:rPr>
          <w:rFonts w:hint="eastAsia" w:ascii="宋体" w:hAnsi="宋体" w:eastAsia="宋体" w:cs="Times New Roman"/>
          <w:snapToGrid/>
          <w:color w:val="auto"/>
          <w:szCs w:val="21"/>
          <w:highlight w:val="none"/>
          <w:lang w:val="en-US" w:eastAsia="zh-CN"/>
        </w:rPr>
        <w:t>2、</w:t>
      </w:r>
      <w:r>
        <w:rPr>
          <w:rFonts w:hint="eastAsia" w:ascii="宋体" w:hAnsi="宋体" w:eastAsia="宋体" w:cs="Times New Roman"/>
          <w:snapToGrid/>
          <w:color w:val="auto"/>
          <w:szCs w:val="21"/>
          <w:highlight w:val="none"/>
          <w:lang w:eastAsia="zh-CN"/>
        </w:rPr>
        <w:t>乙</w:t>
      </w:r>
      <w:r>
        <w:rPr>
          <w:rFonts w:hint="eastAsia" w:ascii="宋体" w:hAnsi="宋体" w:eastAsia="宋体" w:cs="Times New Roman"/>
          <w:snapToGrid/>
          <w:color w:val="auto"/>
          <w:szCs w:val="21"/>
          <w:highlight w:val="none"/>
          <w:lang w:val="en-US" w:eastAsia="zh-CN"/>
        </w:rPr>
        <w:t>方</w:t>
      </w:r>
      <w:r>
        <w:rPr>
          <w:rFonts w:hint="eastAsia" w:ascii="宋体" w:hAnsi="宋体" w:eastAsia="宋体" w:cs="Times New Roman"/>
          <w:snapToGrid/>
          <w:color w:val="auto"/>
          <w:szCs w:val="21"/>
          <w:highlight w:val="none"/>
        </w:rPr>
        <w:t>应在合同签订之日起5个工作日内向</w:t>
      </w:r>
      <w:r>
        <w:rPr>
          <w:rFonts w:hint="eastAsia" w:ascii="宋体" w:hAnsi="宋体" w:eastAsia="宋体" w:cs="Times New Roman"/>
          <w:snapToGrid/>
          <w:color w:val="auto"/>
          <w:szCs w:val="21"/>
          <w:highlight w:val="none"/>
          <w:lang w:val="en-US" w:eastAsia="zh-CN"/>
        </w:rPr>
        <w:t>甲方</w:t>
      </w:r>
      <w:r>
        <w:rPr>
          <w:rFonts w:hint="eastAsia" w:ascii="宋体" w:hAnsi="宋体" w:eastAsia="宋体" w:cs="Times New Roman"/>
          <w:snapToGrid/>
          <w:color w:val="auto"/>
          <w:szCs w:val="21"/>
          <w:highlight w:val="none"/>
        </w:rPr>
        <w:t>以书面形式报备车辆生产计划（含生产地址准确定位、生产时间节点等）</w:t>
      </w:r>
      <w:r>
        <w:rPr>
          <w:rFonts w:hint="eastAsia" w:ascii="宋体" w:hAnsi="宋体" w:eastAsia="宋体" w:cs="Times New Roman"/>
          <w:snapToGrid/>
          <w:color w:val="auto"/>
          <w:szCs w:val="21"/>
          <w:highlight w:val="none"/>
          <w:lang w:eastAsia="zh-CN"/>
        </w:rPr>
        <w:t>。</w:t>
      </w:r>
    </w:p>
    <w:p w14:paraId="1F762255">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en-US" w:eastAsia="zh-CN"/>
        </w:rPr>
        <w:t>3</w:t>
      </w:r>
      <w:r>
        <w:rPr>
          <w:rFonts w:hint="eastAsia" w:ascii="宋体" w:hAnsi="宋体" w:eastAsia="宋体" w:cs="Times New Roman"/>
          <w:color w:val="auto"/>
          <w:kern w:val="0"/>
          <w:szCs w:val="21"/>
          <w:highlight w:val="none"/>
        </w:rPr>
        <w:t>、未经</w:t>
      </w:r>
      <w:r>
        <w:rPr>
          <w:rFonts w:hint="eastAsia" w:ascii="宋体" w:hAnsi="宋体" w:eastAsia="宋体" w:cs="Times New Roman"/>
          <w:color w:val="auto"/>
          <w:kern w:val="0"/>
          <w:szCs w:val="21"/>
          <w:highlight w:val="none"/>
          <w:lang w:val="en-US" w:eastAsia="zh-CN"/>
        </w:rPr>
        <w:t>过</w:t>
      </w:r>
      <w:r>
        <w:rPr>
          <w:rFonts w:hint="eastAsia" w:ascii="宋体" w:hAnsi="宋体" w:eastAsia="宋体" w:cs="Times New Roman"/>
          <w:color w:val="auto"/>
          <w:kern w:val="0"/>
          <w:szCs w:val="21"/>
          <w:highlight w:val="none"/>
        </w:rPr>
        <w:t>甲方同意即送货或</w:t>
      </w:r>
      <w:r>
        <w:rPr>
          <w:rFonts w:hint="eastAsia" w:ascii="宋体" w:hAnsi="宋体" w:eastAsia="宋体" w:cs="Times New Roman"/>
          <w:color w:val="auto"/>
          <w:kern w:val="0"/>
          <w:szCs w:val="21"/>
          <w:highlight w:val="none"/>
          <w:lang w:val="en-US" w:eastAsia="zh-CN"/>
        </w:rPr>
        <w:t>未将</w:t>
      </w:r>
      <w:r>
        <w:rPr>
          <w:rFonts w:hint="eastAsia" w:ascii="宋体" w:hAnsi="宋体" w:eastAsia="宋体" w:cs="Times New Roman"/>
          <w:color w:val="auto"/>
          <w:kern w:val="0"/>
          <w:szCs w:val="21"/>
          <w:highlight w:val="none"/>
        </w:rPr>
        <w:t>货</w:t>
      </w:r>
      <w:r>
        <w:rPr>
          <w:rFonts w:hint="eastAsia" w:ascii="宋体" w:hAnsi="宋体" w:eastAsia="宋体" w:cs="Times New Roman"/>
          <w:color w:val="auto"/>
          <w:kern w:val="0"/>
          <w:szCs w:val="21"/>
          <w:highlight w:val="none"/>
          <w:lang w:val="en-US" w:eastAsia="zh-CN"/>
        </w:rPr>
        <w:t>物</w:t>
      </w:r>
      <w:r>
        <w:rPr>
          <w:rFonts w:hint="eastAsia" w:ascii="宋体" w:hAnsi="宋体" w:eastAsia="宋体" w:cs="Times New Roman"/>
          <w:color w:val="auto"/>
          <w:kern w:val="0"/>
          <w:szCs w:val="21"/>
          <w:highlight w:val="none"/>
        </w:rPr>
        <w:t>送至甲方指定的地点的，视为乙方未履行送货义务，甲方有权拒绝接收货物且不予支付货款。上述情况下甲方不负保管责任，货物未按照甲方要求放置而造成的损毁、灭失风险概由乙方承担</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甲方如要求变更交货地点或接货方的，可在本合同规定的交货期限前【</w:t>
      </w:r>
      <w:r>
        <w:rPr>
          <w:rFonts w:hint="eastAsia" w:ascii="宋体" w:hAnsi="宋体" w:eastAsia="宋体" w:cs="Times New Roman"/>
          <w:color w:val="auto"/>
          <w:kern w:val="0"/>
          <w:szCs w:val="21"/>
          <w:highlight w:val="none"/>
          <w:u w:val="single"/>
        </w:rPr>
        <w:t xml:space="preserve"> </w:t>
      </w:r>
      <w:r>
        <w:rPr>
          <w:rFonts w:ascii="宋体" w:hAnsi="宋体" w:eastAsia="宋体" w:cs="Times New Roman"/>
          <w:color w:val="auto"/>
          <w:kern w:val="0"/>
          <w:szCs w:val="21"/>
          <w:highlight w:val="none"/>
          <w:u w:val="single"/>
        </w:rPr>
        <w:t>5</w:t>
      </w:r>
      <w:r>
        <w:rPr>
          <w:rFonts w:hint="eastAsia" w:ascii="宋体" w:hAnsi="宋体" w:eastAsia="宋体" w:cs="Times New Roman"/>
          <w:color w:val="auto"/>
          <w:kern w:val="0"/>
          <w:szCs w:val="21"/>
          <w:highlight w:val="none"/>
          <w:u w:val="single"/>
        </w:rPr>
        <w:t xml:space="preserve"> </w:t>
      </w:r>
      <w:r>
        <w:rPr>
          <w:rFonts w:hint="eastAsia" w:ascii="宋体" w:hAnsi="宋体" w:eastAsia="宋体" w:cs="Times New Roman"/>
          <w:color w:val="auto"/>
          <w:kern w:val="0"/>
          <w:szCs w:val="21"/>
          <w:highlight w:val="none"/>
        </w:rPr>
        <w:t>】</w:t>
      </w:r>
      <w:r>
        <w:rPr>
          <w:rFonts w:hint="eastAsia" w:ascii="宋体" w:hAnsi="宋体" w:eastAsia="宋体" w:cs="宋体"/>
          <w:b w:val="0"/>
          <w:bCs w:val="0"/>
          <w:color w:val="auto"/>
          <w:kern w:val="0"/>
          <w:sz w:val="21"/>
          <w:szCs w:val="21"/>
          <w:highlight w:val="none"/>
          <w:lang w:bidi="ar"/>
        </w:rPr>
        <w:t>个</w:t>
      </w:r>
      <w:r>
        <w:rPr>
          <w:rFonts w:hint="eastAsia" w:ascii="宋体" w:hAnsi="宋体" w:eastAsia="宋体" w:cs="宋体"/>
          <w:b w:val="0"/>
          <w:bCs w:val="0"/>
          <w:color w:val="auto"/>
          <w:kern w:val="0"/>
          <w:sz w:val="21"/>
          <w:szCs w:val="21"/>
          <w:highlight w:val="none"/>
          <w:lang w:eastAsia="zh-CN" w:bidi="ar"/>
        </w:rPr>
        <w:t>自然</w:t>
      </w:r>
      <w:r>
        <w:rPr>
          <w:rFonts w:hint="eastAsia" w:ascii="宋体" w:hAnsi="宋体" w:eastAsia="宋体" w:cs="Times New Roman"/>
          <w:color w:val="auto"/>
          <w:kern w:val="0"/>
          <w:szCs w:val="21"/>
          <w:highlight w:val="none"/>
        </w:rPr>
        <w:t>日通知乙方，方便乙方变更运输计划，乙方需予以配合，相关费用由乙方负责。</w:t>
      </w:r>
    </w:p>
    <w:p w14:paraId="0C187F27">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en-US" w:eastAsia="zh-CN"/>
        </w:rPr>
        <w:t>4</w:t>
      </w:r>
      <w:r>
        <w:rPr>
          <w:rFonts w:hint="eastAsia" w:ascii="宋体" w:hAnsi="宋体" w:eastAsia="宋体" w:cs="Times New Roman"/>
          <w:color w:val="auto"/>
          <w:kern w:val="0"/>
          <w:szCs w:val="21"/>
          <w:highlight w:val="none"/>
        </w:rPr>
        <w:t>、乙方应协助和指导甲方进行货物的储存，对甲方的储存方式、方法、储存数量、仓库的安全设施设备、安全生产规章制度等是否符合国家标准或者国家有关规定，提出合理的建议并进行技术指导。</w:t>
      </w:r>
    </w:p>
    <w:p w14:paraId="4E4D93C5">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val="en-US" w:eastAsia="zh-CN"/>
        </w:rPr>
        <w:t>5</w:t>
      </w:r>
      <w:r>
        <w:rPr>
          <w:rFonts w:hint="eastAsia" w:ascii="宋体" w:hAnsi="宋体" w:eastAsia="宋体" w:cs="Times New Roman"/>
          <w:bCs/>
          <w:color w:val="auto"/>
          <w:kern w:val="0"/>
          <w:szCs w:val="21"/>
          <w:highlight w:val="none"/>
        </w:rPr>
        <w:t>、喷涂要求：</w:t>
      </w:r>
      <w:r>
        <w:rPr>
          <w:rFonts w:hint="eastAsia" w:ascii="宋体" w:hAnsi="宋体" w:eastAsia="宋体" w:cs="宋体"/>
          <w:color w:val="auto"/>
          <w:kern w:val="0"/>
          <w:szCs w:val="21"/>
          <w:highlight w:val="none"/>
          <w:lang w:bidi="ar"/>
        </w:rPr>
        <w:t>车辆</w:t>
      </w:r>
      <w:r>
        <w:rPr>
          <w:rFonts w:hint="eastAsia" w:ascii="宋体" w:hAnsi="宋体" w:eastAsia="宋体" w:cs="宋体"/>
          <w:color w:val="auto"/>
          <w:kern w:val="0"/>
          <w:szCs w:val="21"/>
          <w:highlight w:val="none"/>
          <w:lang w:val="en-US" w:eastAsia="zh-CN" w:bidi="ar"/>
        </w:rPr>
        <w:t>供货</w:t>
      </w:r>
      <w:r>
        <w:rPr>
          <w:rFonts w:hint="eastAsia" w:ascii="宋体" w:hAnsi="宋体" w:eastAsia="宋体" w:cs="宋体"/>
          <w:color w:val="auto"/>
          <w:kern w:val="0"/>
          <w:szCs w:val="21"/>
          <w:highlight w:val="none"/>
          <w:lang w:bidi="ar"/>
        </w:rPr>
        <w:t>时车身颜色为工程黄</w:t>
      </w:r>
      <w:r>
        <w:rPr>
          <w:rFonts w:hint="eastAsia" w:ascii="宋体" w:hAnsi="宋体" w:eastAsia="宋体" w:cs="宋体"/>
          <w:color w:val="auto"/>
          <w:kern w:val="0"/>
          <w:szCs w:val="21"/>
          <w:highlight w:val="none"/>
          <w:lang w:eastAsia="zh-CN" w:bidi="ar"/>
        </w:rPr>
        <w:t>。</w:t>
      </w:r>
      <w:r>
        <w:rPr>
          <w:rFonts w:hint="eastAsia" w:ascii="宋体" w:hAnsi="宋体" w:eastAsia="宋体" w:cs="Times New Roman"/>
          <w:color w:val="auto"/>
          <w:kern w:val="0"/>
          <w:szCs w:val="21"/>
          <w:highlight w:val="none"/>
        </w:rPr>
        <w:t>乙方</w:t>
      </w:r>
      <w:r>
        <w:rPr>
          <w:rFonts w:hint="eastAsia" w:ascii="宋体" w:hAnsi="宋体" w:eastAsia="宋体" w:cs="宋体"/>
          <w:color w:val="auto"/>
          <w:kern w:val="0"/>
          <w:szCs w:val="21"/>
          <w:highlight w:val="none"/>
          <w:lang w:bidi="ar"/>
        </w:rPr>
        <w:t>应根据</w:t>
      </w:r>
      <w:r>
        <w:rPr>
          <w:rFonts w:hint="eastAsia" w:ascii="宋体" w:hAnsi="宋体" w:eastAsia="宋体" w:cs="Times New Roman"/>
          <w:color w:val="auto"/>
          <w:kern w:val="0"/>
          <w:szCs w:val="21"/>
          <w:highlight w:val="none"/>
        </w:rPr>
        <w:t>甲方</w:t>
      </w:r>
      <w:r>
        <w:rPr>
          <w:rFonts w:hint="eastAsia" w:ascii="宋体" w:hAnsi="宋体" w:eastAsia="宋体" w:cs="宋体"/>
          <w:color w:val="auto"/>
          <w:kern w:val="0"/>
          <w:szCs w:val="21"/>
          <w:highlight w:val="none"/>
          <w:lang w:bidi="ar"/>
        </w:rPr>
        <w:t>提供的企业LOGO,企业名称等相关内容要求设计车辆</w:t>
      </w:r>
      <w:r>
        <w:rPr>
          <w:rFonts w:hint="eastAsia" w:ascii="宋体" w:hAnsi="宋体" w:eastAsia="宋体" w:cs="宋体"/>
          <w:color w:val="auto"/>
          <w:kern w:val="0"/>
          <w:szCs w:val="21"/>
          <w:highlight w:val="none"/>
          <w:lang w:val="en-US" w:eastAsia="zh-CN" w:bidi="ar"/>
        </w:rPr>
        <w:t>外观喷涂方案及图纸报</w:t>
      </w:r>
      <w:r>
        <w:rPr>
          <w:rFonts w:hint="eastAsia" w:ascii="宋体" w:hAnsi="宋体" w:eastAsia="宋体" w:cs="Times New Roman"/>
          <w:color w:val="auto"/>
          <w:kern w:val="0"/>
          <w:szCs w:val="21"/>
          <w:highlight w:val="none"/>
        </w:rPr>
        <w:t>甲方</w:t>
      </w:r>
      <w:r>
        <w:rPr>
          <w:rFonts w:hint="eastAsia" w:ascii="宋体" w:hAnsi="宋体" w:eastAsia="宋体" w:cs="宋体"/>
          <w:color w:val="auto"/>
          <w:kern w:val="0"/>
          <w:szCs w:val="21"/>
          <w:highlight w:val="none"/>
          <w:lang w:bidi="ar"/>
        </w:rPr>
        <w:t>审核同意</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Cs w:val="21"/>
          <w:highlight w:val="none"/>
          <w:lang w:val="en-US" w:eastAsia="zh-CN" w:bidi="ar"/>
        </w:rPr>
        <w:t>在车辆查验合格后由乙方</w:t>
      </w:r>
      <w:r>
        <w:rPr>
          <w:rFonts w:hint="eastAsia" w:ascii="宋体" w:hAnsi="宋体" w:eastAsia="宋体" w:cs="宋体"/>
          <w:color w:val="auto"/>
          <w:kern w:val="0"/>
          <w:szCs w:val="21"/>
          <w:highlight w:val="none"/>
          <w:lang w:bidi="ar"/>
        </w:rPr>
        <w:t>依据图纸对车辆</w:t>
      </w:r>
      <w:r>
        <w:rPr>
          <w:rFonts w:hint="eastAsia" w:ascii="宋体" w:hAnsi="宋体" w:eastAsia="宋体" w:cs="宋体"/>
          <w:color w:val="auto"/>
          <w:kern w:val="0"/>
          <w:szCs w:val="21"/>
          <w:highlight w:val="none"/>
          <w:lang w:val="en-US" w:eastAsia="zh-CN" w:bidi="ar"/>
        </w:rPr>
        <w:t>外观</w:t>
      </w:r>
      <w:r>
        <w:rPr>
          <w:rFonts w:hint="eastAsia" w:ascii="宋体" w:hAnsi="宋体" w:eastAsia="宋体" w:cs="宋体"/>
          <w:color w:val="auto"/>
          <w:kern w:val="0"/>
          <w:szCs w:val="21"/>
          <w:highlight w:val="none"/>
          <w:lang w:bidi="ar"/>
        </w:rPr>
        <w:t>进行喷涂。</w:t>
      </w:r>
    </w:p>
    <w:p w14:paraId="4D522904">
      <w:pPr>
        <w:autoSpaceDE w:val="0"/>
        <w:autoSpaceDN w:val="0"/>
        <w:adjustRightInd w:val="0"/>
        <w:spacing w:line="360" w:lineRule="auto"/>
        <w:ind w:firstLine="420" w:firstLineChars="200"/>
        <w:jc w:val="left"/>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val="en-US" w:eastAsia="zh-CN"/>
        </w:rPr>
        <w:t>6</w:t>
      </w:r>
      <w:r>
        <w:rPr>
          <w:rFonts w:hint="eastAsia" w:ascii="宋体" w:hAnsi="宋体" w:eastAsia="宋体" w:cs="Times New Roman"/>
          <w:bCs/>
          <w:color w:val="auto"/>
          <w:kern w:val="0"/>
          <w:szCs w:val="21"/>
          <w:highlight w:val="none"/>
        </w:rPr>
        <w:t>、质量标准:乙方保证合同车辆是全新、未曾使用过的，其质量、规格及技术特征符合国家标准、规范及用户需求书及合同的要求。</w:t>
      </w:r>
    </w:p>
    <w:p w14:paraId="42588304">
      <w:pPr>
        <w:pStyle w:val="2"/>
        <w:ind w:firstLine="420" w:firstLineChars="200"/>
        <w:rPr>
          <w:color w:val="auto"/>
          <w:highlight w:val="none"/>
        </w:rPr>
      </w:pPr>
      <w:r>
        <w:rPr>
          <w:rFonts w:hint="eastAsia"/>
          <w:color w:val="auto"/>
          <w:highlight w:val="none"/>
          <w:lang w:val="en-US" w:eastAsia="zh-CN"/>
        </w:rPr>
        <w:t>7</w:t>
      </w:r>
      <w:r>
        <w:rPr>
          <w:rFonts w:hint="eastAsia"/>
          <w:color w:val="auto"/>
          <w:highlight w:val="none"/>
        </w:rPr>
        <w:t>、</w:t>
      </w:r>
      <w:r>
        <w:rPr>
          <w:rFonts w:hint="eastAsia" w:ascii="宋体" w:hAnsi="宋体" w:eastAsia="宋体" w:cs="宋体"/>
          <w:color w:val="auto"/>
          <w:szCs w:val="21"/>
          <w:highlight w:val="none"/>
        </w:rPr>
        <w:t>本项目采购文件中如有出现的品牌规格等，仅为方便描述参考，不具有任何指定性及唯一性，乙方原则上应提供不低于该品牌档次的产品。</w:t>
      </w:r>
    </w:p>
    <w:p w14:paraId="193282A2">
      <w:pPr>
        <w:pStyle w:val="2"/>
        <w:ind w:firstLine="420" w:firstLineChars="200"/>
        <w:rPr>
          <w:color w:val="auto"/>
          <w:highlight w:val="none"/>
        </w:rPr>
      </w:pPr>
      <w:r>
        <w:rPr>
          <w:rFonts w:hint="eastAsia"/>
          <w:color w:val="auto"/>
          <w:highlight w:val="none"/>
          <w:lang w:val="en-US" w:eastAsia="zh-CN"/>
        </w:rPr>
        <w:t>8</w:t>
      </w:r>
      <w:r>
        <w:rPr>
          <w:rFonts w:hint="eastAsia"/>
          <w:color w:val="auto"/>
          <w:highlight w:val="none"/>
        </w:rPr>
        <w:t>、</w:t>
      </w:r>
      <w:r>
        <w:rPr>
          <w:rFonts w:hint="eastAsia" w:ascii="宋体" w:hAnsi="宋体" w:eastAsia="宋体" w:cs="宋体"/>
          <w:color w:val="auto"/>
          <w:szCs w:val="21"/>
          <w:highlight w:val="none"/>
        </w:rPr>
        <w:t>乙方须配合甲方办理车辆通行证等相关手续。</w:t>
      </w:r>
    </w:p>
    <w:p w14:paraId="5224E1B5">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六、货物验收</w:t>
      </w:r>
    </w:p>
    <w:p w14:paraId="55883267">
      <w:pPr>
        <w:spacing w:line="360" w:lineRule="auto"/>
        <w:ind w:firstLine="422" w:firstLineChars="200"/>
        <w:contextualSpacing/>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车辆查验：</w:t>
      </w:r>
    </w:p>
    <w:p w14:paraId="087A074C">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车辆在</w:t>
      </w:r>
      <w:r>
        <w:rPr>
          <w:rFonts w:hint="eastAsia" w:ascii="宋体" w:hAnsi="宋体" w:eastAsia="宋体" w:cs="宋体"/>
          <w:color w:val="auto"/>
          <w:sz w:val="21"/>
          <w:szCs w:val="21"/>
          <w:highlight w:val="none"/>
          <w:lang w:val="en-US" w:eastAsia="zh-CN"/>
        </w:rPr>
        <w:t>供货后</w:t>
      </w:r>
      <w:r>
        <w:rPr>
          <w:rFonts w:hint="eastAsia" w:ascii="宋体" w:hAnsi="宋体" w:eastAsia="宋体" w:cs="宋体"/>
          <w:color w:val="auto"/>
          <w:sz w:val="21"/>
          <w:szCs w:val="21"/>
          <w:highlight w:val="none"/>
        </w:rPr>
        <w:t>上牌前需进行第一次查验，查验车辆应当在</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指定地点（东莞市内）进行，</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应提供完整的产品技术资料（包括车辆合格证原件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产品说明书、用户手册、制造厂质量合格证书及其他相关文件资料），与合同的各项技术规格、指标和性能要求对比开展查验工作。</w:t>
      </w:r>
    </w:p>
    <w:p w14:paraId="132F79F3">
      <w:pPr>
        <w:spacing w:line="360" w:lineRule="auto"/>
        <w:ind w:firstLine="420" w:firstLineChars="200"/>
        <w:contextualSpacing/>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应派遣有经验有能力的工程师或委托第三方配合</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检验其所供应的货物的外观性能和各项参数指标是否符合采购要求，同时</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有权自行委托第三方机构对车辆设备进行车辆查验，</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不得持有异议。查验不合格时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甲方自行委托的</w:t>
      </w:r>
      <w:r>
        <w:rPr>
          <w:rFonts w:hint="eastAsia" w:ascii="宋体" w:hAnsi="宋体" w:eastAsia="宋体" w:cs="宋体"/>
          <w:color w:val="auto"/>
          <w:sz w:val="21"/>
          <w:szCs w:val="21"/>
          <w:highlight w:val="none"/>
          <w:lang w:eastAsia="zh-CN"/>
        </w:rPr>
        <w:t>第三方机构的查验服务费由乙方承担。</w:t>
      </w:r>
    </w:p>
    <w:p w14:paraId="2FA0882A">
      <w:pPr>
        <w:pStyle w:val="18"/>
        <w:spacing w:line="360" w:lineRule="auto"/>
        <w:ind w:firstLine="420" w:firstLineChars="200"/>
        <w:jc w:val="left"/>
        <w:rPr>
          <w:rFonts w:hint="eastAsia" w:ascii="宋体" w:hAnsi="宋体" w:eastAsia="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rPr>
        <w:t>车辆的查验、试驾完成后，若查验合格，各方在查验证明上签字；若查验不合格，</w:t>
      </w:r>
      <w:r>
        <w:rPr>
          <w:rFonts w:hint="eastAsia" w:ascii="宋体" w:hAnsi="宋体" w:eastAsia="宋体" w:cs="宋体"/>
          <w:b w:val="0"/>
          <w:bCs w:val="0"/>
          <w:color w:val="auto"/>
          <w:sz w:val="21"/>
          <w:szCs w:val="21"/>
          <w:highlight w:val="none"/>
          <w:lang w:val="en-US" w:eastAsia="zh-CN"/>
        </w:rPr>
        <w:t>甲方</w:t>
      </w:r>
      <w:r>
        <w:rPr>
          <w:rFonts w:hint="eastAsia" w:ascii="宋体" w:hAnsi="宋体" w:eastAsia="宋体" w:cs="宋体"/>
          <w:b w:val="0"/>
          <w:bCs w:val="0"/>
          <w:color w:val="auto"/>
          <w:sz w:val="21"/>
          <w:szCs w:val="21"/>
          <w:highlight w:val="none"/>
          <w:lang w:val="en-US"/>
        </w:rPr>
        <w:t>需在查验证明上写明不合格内容及整改时限要求，因查验不合格</w:t>
      </w:r>
      <w:r>
        <w:rPr>
          <w:rFonts w:hint="eastAsia" w:ascii="宋体" w:hAnsi="宋体" w:eastAsia="宋体" w:cs="宋体"/>
          <w:b w:val="0"/>
          <w:bCs w:val="0"/>
          <w:color w:val="auto"/>
          <w:sz w:val="21"/>
          <w:szCs w:val="21"/>
          <w:highlight w:val="none"/>
          <w:lang w:val="en-US" w:eastAsia="zh-CN"/>
        </w:rPr>
        <w:t>或未在整改时限内整改完成</w:t>
      </w:r>
      <w:r>
        <w:rPr>
          <w:rFonts w:hint="eastAsia" w:ascii="宋体" w:hAnsi="宋体" w:eastAsia="宋体" w:cs="宋体"/>
          <w:b w:val="0"/>
          <w:bCs w:val="0"/>
          <w:color w:val="auto"/>
          <w:sz w:val="21"/>
          <w:szCs w:val="21"/>
          <w:highlight w:val="none"/>
          <w:lang w:val="en-US"/>
        </w:rPr>
        <w:t>导致逾期供货的，按</w:t>
      </w:r>
      <w:r>
        <w:rPr>
          <w:rFonts w:hint="eastAsia" w:ascii="宋体" w:hAnsi="宋体" w:eastAsia="宋体" w:cs="宋体"/>
          <w:b w:val="0"/>
          <w:bCs w:val="0"/>
          <w:color w:val="auto"/>
          <w:sz w:val="21"/>
          <w:szCs w:val="21"/>
          <w:highlight w:val="none"/>
          <w:lang w:val="en-US" w:eastAsia="zh-CN"/>
        </w:rPr>
        <w:t>本合同“十二、违约责任第1</w:t>
      </w:r>
      <w:r>
        <w:rPr>
          <w:rFonts w:hint="eastAsia" w:hAnsi="宋体" w:cs="宋体"/>
          <w:b w:val="0"/>
          <w:bCs w:val="0"/>
          <w:color w:val="auto"/>
          <w:sz w:val="21"/>
          <w:szCs w:val="21"/>
          <w:highlight w:val="none"/>
          <w:lang w:val="en-US" w:eastAsia="zh-CN"/>
        </w:rPr>
        <w:t>款</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rPr>
        <w:t>逾期供货条款执行。</w:t>
      </w:r>
    </w:p>
    <w:p w14:paraId="04F5717A">
      <w:pPr>
        <w:spacing w:line="360" w:lineRule="auto"/>
        <w:ind w:firstLine="420" w:firstLineChars="200"/>
        <w:contextualSpacing/>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（4）查验过程中，甲方有权根据需要开展现场操作试验，如试验发现技术参数不符合投标文件的，乙方不得以车辆已试验为由拒绝退货、换货或整改，不得以此为由向甲方索取任何赔偿或费用。</w:t>
      </w:r>
    </w:p>
    <w:p w14:paraId="317C3D73">
      <w:pPr>
        <w:spacing w:line="360" w:lineRule="auto"/>
        <w:ind w:firstLine="422" w:firstLineChars="200"/>
        <w:contextualSpacing/>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车辆验收：</w:t>
      </w:r>
    </w:p>
    <w:p w14:paraId="1A06CEB5">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车辆查验合格后，</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需完成车辆上牌及配件安装（包括</w:t>
      </w:r>
      <w:r>
        <w:rPr>
          <w:rFonts w:hint="eastAsia" w:ascii="宋体" w:hAnsi="宋体" w:eastAsia="宋体" w:cs="宋体"/>
          <w:color w:val="auto"/>
          <w:sz w:val="21"/>
          <w:szCs w:val="21"/>
          <w:highlight w:val="none"/>
          <w:lang w:eastAsia="zh-CN"/>
        </w:rPr>
        <w:t>喷涂</w:t>
      </w:r>
      <w:r>
        <w:rPr>
          <w:rFonts w:hint="eastAsia" w:ascii="宋体" w:hAnsi="宋体" w:eastAsia="宋体" w:cs="宋体"/>
          <w:color w:val="auto"/>
          <w:sz w:val="21"/>
          <w:szCs w:val="21"/>
          <w:highlight w:val="none"/>
        </w:rPr>
        <w:t>、安装行车记录仪、贴膜等）相关工作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并将车辆移交至</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指定地点（东莞市内，以</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通知为准）后开展验收工作，检查确认货物、配件是否齐全（若发现车辆部件丢失、损坏，均由</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承担责任）。若验收合格，各方于验收证明上签字并进行车辆交付；若</w:t>
      </w:r>
      <w:r>
        <w:rPr>
          <w:rFonts w:hint="eastAsia" w:ascii="宋体" w:hAnsi="宋体" w:eastAsia="宋体" w:cs="宋体"/>
          <w:color w:val="auto"/>
          <w:sz w:val="21"/>
          <w:szCs w:val="21"/>
          <w:highlight w:val="none"/>
          <w:lang w:val="en-US" w:eastAsia="zh-CN"/>
        </w:rPr>
        <w:t>验收</w:t>
      </w:r>
      <w:r>
        <w:rPr>
          <w:rFonts w:hint="eastAsia" w:ascii="宋体" w:hAnsi="宋体" w:eastAsia="宋体" w:cs="宋体"/>
          <w:color w:val="auto"/>
          <w:sz w:val="21"/>
          <w:szCs w:val="21"/>
          <w:highlight w:val="none"/>
        </w:rPr>
        <w:t>不合格，</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需在验收证明上写明不合格内容及整改时限要求，因验收不合格</w:t>
      </w:r>
      <w:r>
        <w:rPr>
          <w:rFonts w:hint="eastAsia" w:ascii="宋体" w:hAnsi="宋体" w:eastAsia="宋体" w:cs="宋体"/>
          <w:b w:val="0"/>
          <w:bCs w:val="0"/>
          <w:color w:val="auto"/>
          <w:sz w:val="21"/>
          <w:szCs w:val="21"/>
          <w:highlight w:val="none"/>
          <w:lang w:val="en-US" w:eastAsia="zh-CN"/>
        </w:rPr>
        <w:t>或未在整改时限内整改完成</w:t>
      </w:r>
      <w:r>
        <w:rPr>
          <w:rFonts w:hint="eastAsia" w:ascii="宋体" w:hAnsi="宋体" w:eastAsia="宋体" w:cs="宋体"/>
          <w:b w:val="0"/>
          <w:bCs w:val="0"/>
          <w:color w:val="auto"/>
          <w:sz w:val="21"/>
          <w:szCs w:val="21"/>
          <w:highlight w:val="none"/>
          <w:lang w:val="en-US"/>
        </w:rPr>
        <w:t>导致逾期供货的，按</w:t>
      </w:r>
      <w:r>
        <w:rPr>
          <w:rFonts w:hint="eastAsia" w:ascii="宋体" w:hAnsi="宋体" w:eastAsia="宋体" w:cs="宋体"/>
          <w:color w:val="auto"/>
          <w:sz w:val="21"/>
          <w:szCs w:val="21"/>
          <w:highlight w:val="none"/>
          <w:lang w:val="en-US" w:eastAsia="zh-CN"/>
        </w:rPr>
        <w:t>本合同“十二、</w:t>
      </w:r>
      <w:r>
        <w:rPr>
          <w:rFonts w:hint="eastAsia" w:ascii="宋体" w:hAnsi="宋体" w:eastAsia="宋体" w:cs="宋体"/>
          <w:b w:val="0"/>
          <w:bCs w:val="0"/>
          <w:color w:val="auto"/>
          <w:sz w:val="21"/>
          <w:szCs w:val="21"/>
          <w:highlight w:val="none"/>
          <w:lang w:val="en-US" w:eastAsia="zh-CN"/>
        </w:rPr>
        <w:t>违约责任第1款”</w:t>
      </w:r>
      <w:r>
        <w:rPr>
          <w:rFonts w:hint="eastAsia" w:ascii="宋体" w:hAnsi="宋体" w:eastAsia="宋体" w:cs="宋体"/>
          <w:b w:val="0"/>
          <w:bCs w:val="0"/>
          <w:color w:val="auto"/>
          <w:sz w:val="21"/>
          <w:szCs w:val="21"/>
          <w:highlight w:val="none"/>
          <w:lang w:val="en-US"/>
        </w:rPr>
        <w:t>逾期供货条款执行</w:t>
      </w:r>
      <w:r>
        <w:rPr>
          <w:rFonts w:hint="eastAsia" w:ascii="宋体" w:hAnsi="宋体" w:eastAsia="宋体" w:cs="宋体"/>
          <w:color w:val="auto"/>
          <w:sz w:val="21"/>
          <w:szCs w:val="21"/>
          <w:highlight w:val="none"/>
        </w:rPr>
        <w:t>。</w:t>
      </w:r>
    </w:p>
    <w:p w14:paraId="50C23DD3">
      <w:pPr>
        <w:spacing w:line="360" w:lineRule="auto"/>
        <w:ind w:firstLine="422" w:firstLineChars="200"/>
        <w:contextualSpacing/>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车辆交付：</w:t>
      </w:r>
    </w:p>
    <w:p w14:paraId="22301891">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车辆验收合格后进行车辆交付，交付时应确保所有车辆油表显示在一半或一半以上，以确保车辆验收后</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的正常使用，同时</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将车辆相关证件及资料（包括电子档扫描件）移交至</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，包括但不限于以下资料：</w:t>
      </w:r>
    </w:p>
    <w:p w14:paraId="6BDD5778">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车辆合格证复印件；</w:t>
      </w:r>
    </w:p>
    <w:p w14:paraId="5A363E0B">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质量服务卡或保修手册；</w:t>
      </w:r>
    </w:p>
    <w:p w14:paraId="5B614800">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车辆使用说明书或用户使用手册（中文）；</w:t>
      </w:r>
    </w:p>
    <w:p w14:paraId="4FCF9D68">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随车工具及备件清单；</w:t>
      </w:r>
    </w:p>
    <w:p w14:paraId="19E5B7C0">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三包凭证；</w:t>
      </w:r>
    </w:p>
    <w:p w14:paraId="67F2353B">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发票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按甲方要求开具）</w:t>
      </w:r>
      <w:r>
        <w:rPr>
          <w:rFonts w:hint="eastAsia" w:ascii="宋体" w:hAnsi="宋体" w:eastAsia="宋体" w:cs="宋体"/>
          <w:color w:val="auto"/>
          <w:sz w:val="21"/>
          <w:szCs w:val="21"/>
          <w:highlight w:val="none"/>
        </w:rPr>
        <w:t>；</w:t>
      </w:r>
    </w:p>
    <w:p w14:paraId="231541AB">
      <w:pPr>
        <w:spacing w:line="360" w:lineRule="auto"/>
        <w:ind w:firstLine="630" w:firstLineChars="300"/>
        <w:contextualSpacing/>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（7）保险单；</w:t>
      </w:r>
    </w:p>
    <w:p w14:paraId="278CEF59">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车辆一致性证书；</w:t>
      </w:r>
    </w:p>
    <w:p w14:paraId="0ECF2662">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机动车登记证书；</w:t>
      </w:r>
    </w:p>
    <w:p w14:paraId="5C4BC39B">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新车交付确认表；</w:t>
      </w:r>
    </w:p>
    <w:p w14:paraId="71E6E974">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完税证明</w:t>
      </w:r>
      <w:r>
        <w:rPr>
          <w:rFonts w:hint="eastAsia" w:ascii="宋体" w:hAnsi="宋体" w:eastAsia="宋体" w:cs="宋体"/>
          <w:color w:val="auto"/>
          <w:sz w:val="21"/>
          <w:szCs w:val="21"/>
          <w:highlight w:val="none"/>
          <w:lang w:val="en-US" w:eastAsia="zh-CN"/>
        </w:rPr>
        <w:t>复印件</w:t>
      </w:r>
      <w:r>
        <w:rPr>
          <w:rFonts w:hint="eastAsia" w:ascii="宋体" w:hAnsi="宋体" w:eastAsia="宋体" w:cs="宋体"/>
          <w:color w:val="auto"/>
          <w:sz w:val="21"/>
          <w:szCs w:val="21"/>
          <w:highlight w:val="none"/>
        </w:rPr>
        <w:t>；</w:t>
      </w:r>
    </w:p>
    <w:p w14:paraId="7F7E30B5">
      <w:pPr>
        <w:spacing w:line="360" w:lineRule="auto"/>
        <w:ind w:firstLine="630" w:firstLineChars="3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其他</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如有）</w:t>
      </w:r>
      <w:r>
        <w:rPr>
          <w:rFonts w:hint="eastAsia" w:ascii="宋体" w:hAnsi="宋体" w:eastAsia="宋体" w:cs="宋体"/>
          <w:color w:val="auto"/>
          <w:sz w:val="21"/>
          <w:szCs w:val="21"/>
          <w:highlight w:val="none"/>
        </w:rPr>
        <w:t>。</w:t>
      </w:r>
    </w:p>
    <w:p w14:paraId="0724A4FF">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车辆验收合格不代表对产品质量的最终认定，不可免除</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对产品的瑕疵和缺陷承担相应责任；</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在使用过程中发现车辆不符合合同要求的，</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应承担相应的退、换责任。因车辆质量问题发生争议，由广东省或东莞市质量技术监督部门进行质量鉴定。鉴定费用由</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先行垫付。如车辆符合质量标准的，鉴定费由</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承担；车辆不符合质量标准的，鉴定费用由</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承担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相关费用从结算款中扣除</w:t>
      </w:r>
      <w:r>
        <w:rPr>
          <w:rFonts w:hint="eastAsia" w:ascii="宋体" w:hAnsi="宋体" w:eastAsia="宋体" w:cs="宋体"/>
          <w:color w:val="auto"/>
          <w:sz w:val="21"/>
          <w:szCs w:val="21"/>
          <w:highlight w:val="none"/>
        </w:rPr>
        <w:t>。</w:t>
      </w:r>
    </w:p>
    <w:p w14:paraId="7452758B">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七、付款</w:t>
      </w:r>
    </w:p>
    <w:p w14:paraId="35C58B8C">
      <w:pPr>
        <w:tabs>
          <w:tab w:val="left" w:pos="1080"/>
        </w:tabs>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1、预付款：合同签订且乙方提交履约担保后，乙方提交符合甲方要求的请款报告并出具等额有效的收款收据后甲方支付合同总价的10%作为预付款</w:t>
      </w:r>
      <w:r>
        <w:rPr>
          <w:rFonts w:hint="eastAsia" w:ascii="宋体" w:hAnsi="宋体" w:eastAsia="宋体" w:cs="Times New Roman"/>
          <w:bCs/>
          <w:color w:val="auto"/>
          <w:kern w:val="0"/>
          <w:sz w:val="21"/>
          <w:szCs w:val="21"/>
          <w:highlight w:val="none"/>
        </w:rPr>
        <w:t>（</w:t>
      </w:r>
      <w:r>
        <w:rPr>
          <w:rFonts w:hint="eastAsia" w:ascii="宋体" w:hAnsi="宋体" w:eastAsia="宋体" w:cs="Times New Roman"/>
          <w:bCs/>
          <w:color w:val="auto"/>
          <w:kern w:val="0"/>
          <w:szCs w:val="21"/>
          <w:highlight w:val="none"/>
        </w:rPr>
        <w:t>乙方</w:t>
      </w:r>
      <w:r>
        <w:rPr>
          <w:rFonts w:hint="eastAsia" w:ascii="宋体" w:hAnsi="宋体" w:eastAsia="宋体" w:cs="Times New Roman"/>
          <w:bCs/>
          <w:color w:val="auto"/>
          <w:kern w:val="0"/>
          <w:sz w:val="21"/>
          <w:szCs w:val="21"/>
          <w:highlight w:val="none"/>
        </w:rPr>
        <w:t>需配合提供符合</w:t>
      </w:r>
      <w:r>
        <w:rPr>
          <w:rFonts w:hint="eastAsia" w:ascii="宋体" w:hAnsi="宋体" w:eastAsia="宋体" w:cs="Times New Roman"/>
          <w:bCs/>
          <w:color w:val="auto"/>
          <w:kern w:val="0"/>
          <w:szCs w:val="21"/>
          <w:highlight w:val="none"/>
        </w:rPr>
        <w:t>甲方</w:t>
      </w:r>
      <w:r>
        <w:rPr>
          <w:rFonts w:hint="eastAsia" w:ascii="宋体" w:hAnsi="宋体" w:eastAsia="宋体" w:cs="Times New Roman"/>
          <w:bCs/>
          <w:color w:val="auto"/>
          <w:kern w:val="0"/>
          <w:sz w:val="21"/>
          <w:szCs w:val="21"/>
          <w:highlight w:val="none"/>
        </w:rPr>
        <w:t>要求的请款资料及等额有效的收款收据）</w:t>
      </w:r>
      <w:r>
        <w:rPr>
          <w:rFonts w:hint="eastAsia" w:ascii="宋体" w:hAnsi="宋体" w:eastAsia="宋体" w:cs="Times New Roman"/>
          <w:bCs/>
          <w:color w:val="auto"/>
          <w:kern w:val="0"/>
          <w:szCs w:val="21"/>
          <w:highlight w:val="none"/>
        </w:rPr>
        <w:t>；</w:t>
      </w:r>
    </w:p>
    <w:p w14:paraId="4B6C0E90">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ascii="宋体" w:hAnsi="宋体" w:eastAsia="宋体" w:cs="Times New Roman"/>
          <w:bCs/>
          <w:color w:val="auto"/>
          <w:kern w:val="0"/>
          <w:szCs w:val="21"/>
          <w:highlight w:val="none"/>
        </w:rPr>
        <w:t>2</w:t>
      </w:r>
      <w:r>
        <w:rPr>
          <w:rFonts w:hint="eastAsia" w:ascii="宋体" w:hAnsi="宋体" w:eastAsia="宋体" w:cs="Times New Roman"/>
          <w:bCs/>
          <w:color w:val="auto"/>
          <w:kern w:val="0"/>
          <w:szCs w:val="21"/>
          <w:highlight w:val="none"/>
        </w:rPr>
        <w:t>、验收款：</w:t>
      </w:r>
      <w:r>
        <w:rPr>
          <w:rFonts w:hint="eastAsia" w:ascii="宋体" w:hAnsi="宋体" w:eastAsia="宋体" w:cs="Times New Roman"/>
          <w:b/>
          <w:color w:val="auto"/>
          <w:kern w:val="0"/>
          <w:szCs w:val="21"/>
          <w:highlight w:val="none"/>
        </w:rPr>
        <w:sym w:font="Wingdings 2" w:char="00A3"/>
      </w:r>
      <w:r>
        <w:rPr>
          <w:rFonts w:hint="eastAsia" w:ascii="宋体" w:hAnsi="宋体" w:eastAsia="宋体" w:cs="Times New Roman"/>
          <w:b/>
          <w:color w:val="auto"/>
          <w:kern w:val="0"/>
          <w:szCs w:val="21"/>
          <w:highlight w:val="none"/>
        </w:rPr>
        <w:t xml:space="preserve"> 采取预留质保金方式：</w:t>
      </w:r>
      <w:r>
        <w:rPr>
          <w:rFonts w:hint="eastAsia" w:ascii="宋体" w:hAnsi="宋体" w:eastAsia="宋体" w:cs="Times New Roman"/>
          <w:bCs/>
          <w:color w:val="auto"/>
          <w:kern w:val="0"/>
          <w:szCs w:val="21"/>
          <w:highlight w:val="none"/>
        </w:rPr>
        <w:t>到货并安装调试完毕、验收合格后并上牌交付后，乙方提交符合甲方要求的请款报告并出具100%结算价的等额有效的增值税专用发票原件，甲方在收到发票后二十个工作日内支付至结算价的9</w:t>
      </w:r>
      <w:r>
        <w:rPr>
          <w:rFonts w:hint="eastAsia" w:ascii="宋体" w:hAnsi="宋体" w:eastAsia="宋体" w:cs="Times New Roman"/>
          <w:bCs/>
          <w:color w:val="auto"/>
          <w:kern w:val="0"/>
          <w:szCs w:val="21"/>
          <w:highlight w:val="none"/>
          <w:lang w:val="en-US" w:eastAsia="zh-CN"/>
        </w:rPr>
        <w:t>7</w:t>
      </w:r>
      <w:r>
        <w:rPr>
          <w:rFonts w:hint="eastAsia" w:ascii="宋体" w:hAnsi="宋体" w:eastAsia="宋体" w:cs="Times New Roman"/>
          <w:bCs/>
          <w:color w:val="auto"/>
          <w:kern w:val="0"/>
          <w:szCs w:val="21"/>
          <w:highlight w:val="none"/>
        </w:rPr>
        <w:t>％，剩余结算价的</w:t>
      </w:r>
      <w:r>
        <w:rPr>
          <w:rFonts w:hint="eastAsia" w:ascii="宋体" w:hAnsi="宋体" w:eastAsia="宋体" w:cs="Times New Roman"/>
          <w:bCs/>
          <w:color w:val="auto"/>
          <w:kern w:val="0"/>
          <w:szCs w:val="21"/>
          <w:highlight w:val="none"/>
          <w:lang w:val="en-US" w:eastAsia="zh-CN"/>
        </w:rPr>
        <w:t>3</w:t>
      </w:r>
      <w:r>
        <w:rPr>
          <w:rFonts w:hint="eastAsia" w:ascii="宋体" w:hAnsi="宋体" w:eastAsia="宋体" w:cs="Times New Roman"/>
          <w:bCs/>
          <w:color w:val="auto"/>
          <w:kern w:val="0"/>
          <w:szCs w:val="21"/>
          <w:highlight w:val="none"/>
        </w:rPr>
        <w:t>％用作质保金。</w:t>
      </w:r>
    </w:p>
    <w:p w14:paraId="263DCF05">
      <w:pPr>
        <w:autoSpaceDE w:val="0"/>
        <w:autoSpaceDN w:val="0"/>
        <w:adjustRightInd w:val="0"/>
        <w:spacing w:line="360" w:lineRule="auto"/>
        <w:ind w:firstLine="422" w:firstLineChars="200"/>
        <w:jc w:val="left"/>
        <w:rPr>
          <w:rFonts w:ascii="宋体" w:hAnsi="宋体" w:eastAsia="宋体" w:cs="Times New Roman"/>
          <w:bCs/>
          <w:color w:val="auto"/>
          <w:kern w:val="0"/>
          <w:szCs w:val="21"/>
          <w:highlight w:val="none"/>
          <w:lang w:val="zh-CN"/>
        </w:rPr>
      </w:pPr>
      <w:r>
        <w:rPr>
          <w:rFonts w:hint="eastAsia" w:ascii="宋体" w:hAnsi="宋体" w:eastAsia="宋体" w:cs="Times New Roman"/>
          <w:b/>
          <w:color w:val="auto"/>
          <w:kern w:val="0"/>
          <w:szCs w:val="21"/>
          <w:highlight w:val="none"/>
        </w:rPr>
        <w:sym w:font="Wingdings 2" w:char="00A3"/>
      </w:r>
      <w:r>
        <w:rPr>
          <w:rFonts w:hint="eastAsia" w:ascii="宋体" w:hAnsi="宋体" w:eastAsia="宋体" w:cs="Times New Roman"/>
          <w:b/>
          <w:color w:val="auto"/>
          <w:kern w:val="0"/>
          <w:szCs w:val="21"/>
          <w:highlight w:val="none"/>
        </w:rPr>
        <w:t xml:space="preserve"> 采取不可撤销质量保函方式：</w:t>
      </w:r>
      <w:r>
        <w:rPr>
          <w:rFonts w:hint="eastAsia" w:ascii="宋体" w:hAnsi="宋体" w:eastAsia="宋体" w:cs="Times New Roman"/>
          <w:bCs/>
          <w:color w:val="auto"/>
          <w:kern w:val="0"/>
          <w:szCs w:val="21"/>
          <w:highlight w:val="none"/>
        </w:rPr>
        <w:t>到货并安装调试完毕、验收合格并上牌交付后，乙方提交符合甲方要求的请款报告并出具100%结算价等额的增值税专用发票原件，并提供结算价</w:t>
      </w:r>
      <w:r>
        <w:rPr>
          <w:rFonts w:hint="eastAsia" w:ascii="宋体" w:hAnsi="宋体" w:eastAsia="宋体" w:cs="Times New Roman"/>
          <w:bCs/>
          <w:color w:val="auto"/>
          <w:kern w:val="0"/>
          <w:szCs w:val="21"/>
          <w:highlight w:val="none"/>
          <w:lang w:val="en-US" w:eastAsia="zh-CN"/>
        </w:rPr>
        <w:t>3</w:t>
      </w:r>
      <w:r>
        <w:rPr>
          <w:rFonts w:hint="eastAsia" w:ascii="宋体" w:hAnsi="宋体" w:eastAsia="宋体" w:cs="Times New Roman"/>
          <w:bCs/>
          <w:color w:val="auto"/>
          <w:kern w:val="0"/>
          <w:szCs w:val="21"/>
          <w:highlight w:val="none"/>
        </w:rPr>
        <w:t>%且有效期至质保期满的质</w:t>
      </w:r>
      <w:r>
        <w:rPr>
          <w:rFonts w:hint="eastAsia" w:ascii="宋体" w:hAnsi="宋体" w:eastAsia="宋体" w:cs="Times New Roman"/>
          <w:bCs/>
          <w:color w:val="auto"/>
          <w:kern w:val="0"/>
          <w:szCs w:val="21"/>
          <w:highlight w:val="none"/>
          <w:lang w:val="en-US" w:eastAsia="zh-CN"/>
        </w:rPr>
        <w:t>量</w:t>
      </w:r>
      <w:r>
        <w:rPr>
          <w:rFonts w:hint="eastAsia" w:ascii="宋体" w:hAnsi="宋体" w:eastAsia="宋体" w:cs="Times New Roman"/>
          <w:bCs/>
          <w:color w:val="auto"/>
          <w:kern w:val="0"/>
          <w:szCs w:val="21"/>
          <w:highlight w:val="none"/>
        </w:rPr>
        <w:t>保函后</w:t>
      </w:r>
      <w:r>
        <w:rPr>
          <w:rFonts w:hint="eastAsia" w:ascii="宋体" w:hAnsi="宋体" w:eastAsia="宋体" w:cs="宋体"/>
          <w:color w:val="auto"/>
          <w:sz w:val="21"/>
          <w:szCs w:val="21"/>
          <w:highlight w:val="none"/>
        </w:rPr>
        <w:t>二十个</w:t>
      </w:r>
      <w:r>
        <w:rPr>
          <w:rFonts w:hint="eastAsia" w:ascii="宋体" w:hAnsi="宋体" w:eastAsia="宋体" w:cs="Times New Roman"/>
          <w:bCs/>
          <w:color w:val="auto"/>
          <w:kern w:val="0"/>
          <w:szCs w:val="21"/>
          <w:highlight w:val="none"/>
        </w:rPr>
        <w:t>工作日内，甲方向乙方支付至结算价的100％价款。</w:t>
      </w:r>
    </w:p>
    <w:p w14:paraId="12DB3798">
      <w:pPr>
        <w:numPr>
          <w:ilvl w:val="0"/>
          <w:numId w:val="2"/>
        </w:numPr>
        <w:tabs>
          <w:tab w:val="left" w:pos="1080"/>
        </w:tabs>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质保款：</w:t>
      </w:r>
      <w:r>
        <w:rPr>
          <w:rFonts w:hint="eastAsia" w:ascii="宋体" w:hAnsi="宋体" w:eastAsia="宋体" w:cs="Times New Roman"/>
          <w:b/>
          <w:color w:val="auto"/>
          <w:kern w:val="0"/>
          <w:szCs w:val="21"/>
          <w:highlight w:val="none"/>
        </w:rPr>
        <w:sym w:font="Wingdings 2" w:char="00A3"/>
      </w:r>
      <w:r>
        <w:rPr>
          <w:rFonts w:hint="eastAsia" w:ascii="宋体" w:hAnsi="宋体" w:eastAsia="宋体" w:cs="Times New Roman"/>
          <w:b/>
          <w:color w:val="auto"/>
          <w:kern w:val="0"/>
          <w:szCs w:val="21"/>
          <w:highlight w:val="none"/>
        </w:rPr>
        <w:t xml:space="preserve"> 采取预留质保金方式：</w:t>
      </w:r>
      <w:r>
        <w:rPr>
          <w:rFonts w:hint="eastAsia" w:ascii="宋体" w:hAnsi="宋体" w:eastAsia="宋体" w:cs="Times New Roman"/>
          <w:bCs/>
          <w:color w:val="auto"/>
          <w:kern w:val="0"/>
          <w:szCs w:val="21"/>
          <w:highlight w:val="none"/>
        </w:rPr>
        <w:t>所有车辆质保期满后，经甲方审核确认乙方提供的货物无质量问题且乙方无违约行为，乙方提交请款报告并出具前述100%结算价款金额的等额有效的增值税专用发票复印件后二十个工作日内，甲方向乙方支付合同结算价剩余款项。</w:t>
      </w:r>
    </w:p>
    <w:p w14:paraId="6053DCA7">
      <w:pPr>
        <w:tabs>
          <w:tab w:val="left" w:pos="1080"/>
        </w:tabs>
        <w:autoSpaceDE w:val="0"/>
        <w:autoSpaceDN w:val="0"/>
        <w:adjustRightInd w:val="0"/>
        <w:spacing w:line="360" w:lineRule="auto"/>
        <w:ind w:firstLine="422" w:firstLineChars="200"/>
        <w:jc w:val="left"/>
        <w:rPr>
          <w:rFonts w:ascii="宋体" w:hAnsi="宋体" w:eastAsia="宋体" w:cs="Times New Roman"/>
          <w:bCs/>
          <w:color w:val="auto"/>
          <w:kern w:val="0"/>
          <w:szCs w:val="21"/>
          <w:highlight w:val="none"/>
        </w:rPr>
      </w:pPr>
      <w:r>
        <w:rPr>
          <w:rFonts w:hint="eastAsia" w:ascii="宋体" w:hAnsi="宋体" w:eastAsia="宋体" w:cs="Times New Roman"/>
          <w:b/>
          <w:color w:val="auto"/>
          <w:kern w:val="0"/>
          <w:szCs w:val="21"/>
          <w:highlight w:val="none"/>
        </w:rPr>
        <w:sym w:font="Wingdings 2" w:char="00A3"/>
      </w:r>
      <w:r>
        <w:rPr>
          <w:rFonts w:hint="eastAsia" w:ascii="宋体" w:hAnsi="宋体" w:eastAsia="宋体" w:cs="Times New Roman"/>
          <w:b/>
          <w:color w:val="auto"/>
          <w:kern w:val="0"/>
          <w:szCs w:val="21"/>
          <w:highlight w:val="none"/>
        </w:rPr>
        <w:t xml:space="preserve"> 采取不可撤销质量保函方式：</w:t>
      </w:r>
      <w:r>
        <w:rPr>
          <w:rFonts w:hint="eastAsia" w:ascii="宋体" w:hAnsi="宋体" w:eastAsia="宋体" w:cs="Times New Roman"/>
          <w:bCs/>
          <w:color w:val="auto"/>
          <w:kern w:val="0"/>
          <w:szCs w:val="21"/>
          <w:highlight w:val="none"/>
        </w:rPr>
        <w:t>车辆质保期满后</w:t>
      </w:r>
      <w:r>
        <w:rPr>
          <w:rFonts w:hint="eastAsia" w:ascii="宋体" w:hAnsi="宋体" w:eastAsia="宋体" w:cs="Times New Roman"/>
          <w:bCs/>
          <w:color w:val="auto"/>
          <w:kern w:val="0"/>
          <w:szCs w:val="21"/>
          <w:highlight w:val="none"/>
          <w:lang w:val="en-US" w:eastAsia="zh-CN"/>
        </w:rPr>
        <w:t>一个月内</w:t>
      </w:r>
      <w:r>
        <w:rPr>
          <w:rFonts w:hint="eastAsia" w:ascii="宋体" w:hAnsi="宋体" w:eastAsia="宋体" w:cs="Times New Roman"/>
          <w:color w:val="auto"/>
          <w:kern w:val="0"/>
          <w:szCs w:val="21"/>
          <w:highlight w:val="none"/>
        </w:rPr>
        <w:t>，</w:t>
      </w:r>
      <w:r>
        <w:rPr>
          <w:rFonts w:hint="eastAsia" w:ascii="宋体" w:hAnsi="宋体" w:eastAsia="宋体" w:cs="Times New Roman"/>
          <w:bCs/>
          <w:color w:val="auto"/>
          <w:kern w:val="0"/>
          <w:szCs w:val="21"/>
          <w:highlight w:val="none"/>
        </w:rPr>
        <w:t>由</w:t>
      </w:r>
      <w:r>
        <w:rPr>
          <w:rFonts w:hint="eastAsia" w:ascii="宋体" w:hAnsi="宋体" w:eastAsia="宋体" w:cs="Times New Roman"/>
          <w:color w:val="auto"/>
          <w:kern w:val="0"/>
          <w:szCs w:val="21"/>
          <w:highlight w:val="none"/>
        </w:rPr>
        <w:t>乙方提出退回</w:t>
      </w:r>
      <w:r>
        <w:rPr>
          <w:rFonts w:hint="eastAsia" w:ascii="宋体" w:hAnsi="宋体" w:eastAsia="宋体" w:cs="宋体"/>
          <w:color w:val="auto"/>
          <w:sz w:val="21"/>
          <w:szCs w:val="21"/>
          <w:highlight w:val="none"/>
        </w:rPr>
        <w:t>不可撤销质量保函</w:t>
      </w:r>
      <w:r>
        <w:rPr>
          <w:rFonts w:hint="eastAsia" w:ascii="宋体" w:hAnsi="宋体" w:eastAsia="宋体" w:cs="Times New Roman"/>
          <w:color w:val="auto"/>
          <w:kern w:val="0"/>
          <w:szCs w:val="21"/>
          <w:highlight w:val="none"/>
        </w:rPr>
        <w:t>申请，经甲方审核确认乙方车辆无质量问题且乙方无违约行为，</w:t>
      </w:r>
      <w:r>
        <w:rPr>
          <w:rFonts w:hint="eastAsia" w:ascii="宋体" w:hAnsi="宋体" w:eastAsia="宋体" w:cs="Times New Roman"/>
          <w:bCs/>
          <w:color w:val="auto"/>
          <w:kern w:val="0"/>
          <w:szCs w:val="21"/>
          <w:highlight w:val="none"/>
        </w:rPr>
        <w:t>由甲方</w:t>
      </w:r>
      <w:r>
        <w:rPr>
          <w:rFonts w:hint="eastAsia" w:ascii="宋体" w:hAnsi="宋体" w:eastAsia="宋体" w:cs="Times New Roman"/>
          <w:color w:val="auto"/>
          <w:kern w:val="0"/>
          <w:szCs w:val="21"/>
          <w:highlight w:val="none"/>
        </w:rPr>
        <w:t>退回质量保函</w:t>
      </w:r>
      <w:r>
        <w:rPr>
          <w:rFonts w:hint="eastAsia" w:ascii="宋体" w:hAnsi="宋体" w:eastAsia="宋体" w:cs="Times New Roman"/>
          <w:bCs/>
          <w:color w:val="auto"/>
          <w:kern w:val="0"/>
          <w:szCs w:val="21"/>
          <w:highlight w:val="none"/>
        </w:rPr>
        <w:t>。</w:t>
      </w:r>
    </w:p>
    <w:p w14:paraId="0F3B4AF0">
      <w:pPr>
        <w:numPr>
          <w:ilvl w:val="255"/>
          <w:numId w:val="0"/>
        </w:numPr>
        <w:tabs>
          <w:tab w:val="left" w:pos="1080"/>
        </w:tabs>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bidi="ar"/>
        </w:rPr>
        <w:t>无论何种原因导致质保金/保函数额不符合要求的，</w:t>
      </w:r>
      <w:r>
        <w:rPr>
          <w:rFonts w:hint="eastAsia" w:ascii="宋体" w:hAnsi="宋体" w:eastAsia="宋体" w:cs="Times New Roman"/>
          <w:bCs/>
          <w:color w:val="auto"/>
          <w:kern w:val="0"/>
          <w:szCs w:val="21"/>
          <w:highlight w:val="none"/>
        </w:rPr>
        <w:t>乙方</w:t>
      </w:r>
      <w:r>
        <w:rPr>
          <w:rFonts w:hint="eastAsia" w:ascii="宋体" w:hAnsi="宋体" w:eastAsia="宋体" w:cs="Times New Roman"/>
          <w:bCs/>
          <w:color w:val="auto"/>
          <w:kern w:val="0"/>
          <w:szCs w:val="21"/>
          <w:highlight w:val="none"/>
          <w:lang w:bidi="ar"/>
        </w:rPr>
        <w:t>应当在5个工作日内予以补足。逾期不予补足的，</w:t>
      </w:r>
      <w:r>
        <w:rPr>
          <w:rFonts w:hint="eastAsia" w:ascii="宋体" w:hAnsi="宋体" w:eastAsia="宋体" w:cs="Times New Roman"/>
          <w:bCs/>
          <w:color w:val="auto"/>
          <w:kern w:val="0"/>
          <w:szCs w:val="21"/>
          <w:highlight w:val="none"/>
        </w:rPr>
        <w:t>甲方</w:t>
      </w:r>
      <w:r>
        <w:rPr>
          <w:rFonts w:hint="eastAsia" w:ascii="宋体" w:hAnsi="宋体" w:eastAsia="宋体" w:cs="Times New Roman"/>
          <w:bCs/>
          <w:color w:val="auto"/>
          <w:kern w:val="0"/>
          <w:szCs w:val="21"/>
          <w:highlight w:val="none"/>
          <w:lang w:bidi="ar"/>
        </w:rPr>
        <w:t>有权按需补足的金额要求</w:t>
      </w:r>
      <w:r>
        <w:rPr>
          <w:rFonts w:hint="eastAsia" w:ascii="宋体" w:hAnsi="宋体" w:eastAsia="宋体" w:cs="Times New Roman"/>
          <w:bCs/>
          <w:color w:val="auto"/>
          <w:kern w:val="0"/>
          <w:szCs w:val="21"/>
          <w:highlight w:val="none"/>
        </w:rPr>
        <w:t>乙方</w:t>
      </w:r>
      <w:r>
        <w:rPr>
          <w:rFonts w:hint="eastAsia" w:ascii="宋体" w:hAnsi="宋体" w:eastAsia="宋体" w:cs="Times New Roman"/>
          <w:bCs/>
          <w:color w:val="auto"/>
          <w:kern w:val="0"/>
          <w:szCs w:val="21"/>
          <w:highlight w:val="none"/>
          <w:lang w:bidi="ar"/>
        </w:rPr>
        <w:t>承担违约金，并要求限期补足。如</w:t>
      </w:r>
      <w:r>
        <w:rPr>
          <w:rFonts w:hint="eastAsia" w:ascii="宋体" w:hAnsi="宋体" w:eastAsia="宋体" w:cs="Times New Roman"/>
          <w:bCs/>
          <w:color w:val="auto"/>
          <w:kern w:val="0"/>
          <w:szCs w:val="21"/>
          <w:highlight w:val="none"/>
        </w:rPr>
        <w:t>乙方</w:t>
      </w:r>
      <w:r>
        <w:rPr>
          <w:rFonts w:hint="eastAsia" w:ascii="宋体" w:hAnsi="宋体" w:eastAsia="宋体" w:cs="Times New Roman"/>
          <w:bCs/>
          <w:color w:val="auto"/>
          <w:kern w:val="0"/>
          <w:szCs w:val="21"/>
          <w:highlight w:val="none"/>
          <w:lang w:bidi="ar"/>
        </w:rPr>
        <w:t>仍不补足的，</w:t>
      </w:r>
      <w:r>
        <w:rPr>
          <w:rFonts w:hint="eastAsia" w:ascii="宋体" w:hAnsi="宋体" w:eastAsia="宋体" w:cs="Times New Roman"/>
          <w:bCs/>
          <w:color w:val="auto"/>
          <w:kern w:val="0"/>
          <w:szCs w:val="21"/>
          <w:highlight w:val="none"/>
        </w:rPr>
        <w:t>甲方</w:t>
      </w:r>
      <w:r>
        <w:rPr>
          <w:rFonts w:hint="eastAsia" w:ascii="宋体" w:hAnsi="宋体" w:eastAsia="宋体" w:cs="Times New Roman"/>
          <w:bCs/>
          <w:color w:val="auto"/>
          <w:kern w:val="0"/>
          <w:szCs w:val="21"/>
          <w:highlight w:val="none"/>
          <w:lang w:bidi="ar"/>
        </w:rPr>
        <w:t>有权</w:t>
      </w:r>
      <w:r>
        <w:rPr>
          <w:rFonts w:hint="eastAsia" w:ascii="宋体" w:hAnsi="宋体" w:eastAsia="宋体" w:cs="Times New Roman"/>
          <w:b w:val="0"/>
          <w:bCs/>
          <w:color w:val="auto"/>
          <w:kern w:val="0"/>
          <w:sz w:val="21"/>
          <w:szCs w:val="21"/>
          <w:highlight w:val="none"/>
          <w:lang w:val="en-US" w:bidi="ar"/>
        </w:rPr>
        <w:t>按照合同约定追究违约责任</w:t>
      </w:r>
      <w:r>
        <w:rPr>
          <w:rFonts w:hint="eastAsia" w:ascii="宋体" w:hAnsi="宋体" w:eastAsia="宋体" w:cs="Times New Roman"/>
          <w:bCs/>
          <w:color w:val="auto"/>
          <w:kern w:val="0"/>
          <w:szCs w:val="21"/>
          <w:highlight w:val="none"/>
          <w:lang w:val="en-US" w:eastAsia="zh-CN" w:bidi="ar"/>
        </w:rPr>
        <w:t>，要求乙方按照合同总价20%承担违约金。</w:t>
      </w:r>
    </w:p>
    <w:p w14:paraId="7E1681DF">
      <w:pPr>
        <w:tabs>
          <w:tab w:val="left" w:pos="1080"/>
        </w:tabs>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ascii="宋体" w:hAnsi="宋体" w:eastAsia="宋体" w:cs="Times New Roman"/>
          <w:bCs/>
          <w:color w:val="auto"/>
          <w:kern w:val="0"/>
          <w:szCs w:val="21"/>
          <w:highlight w:val="none"/>
        </w:rPr>
        <w:t>4</w:t>
      </w:r>
      <w:r>
        <w:rPr>
          <w:rFonts w:hint="eastAsia" w:ascii="宋体" w:hAnsi="宋体" w:eastAsia="宋体" w:cs="Times New Roman"/>
          <w:bCs/>
          <w:color w:val="auto"/>
          <w:kern w:val="0"/>
          <w:szCs w:val="21"/>
          <w:highlight w:val="none"/>
        </w:rPr>
        <w:t>、甲方付款前，乙方应当按照上述约定向甲方提供符合甲方要求的等额有效的收据或增值税专用发票（以下简称为“票据”），</w:t>
      </w:r>
      <w:r>
        <w:rPr>
          <w:rFonts w:hint="eastAsia" w:ascii="宋体" w:hAnsi="宋体" w:eastAsia="宋体" w:cs="Times New Roman"/>
          <w:color w:val="auto"/>
          <w:kern w:val="0"/>
          <w:szCs w:val="21"/>
          <w:highlight w:val="none"/>
        </w:rPr>
        <w:t>并提交其他甲方要求的请款资料</w:t>
      </w:r>
      <w:r>
        <w:rPr>
          <w:rFonts w:hint="eastAsia" w:ascii="宋体" w:hAnsi="宋体" w:eastAsia="宋体" w:cs="Times New Roman"/>
          <w:bCs/>
          <w:color w:val="auto"/>
          <w:kern w:val="0"/>
          <w:szCs w:val="21"/>
          <w:highlight w:val="none"/>
        </w:rPr>
        <w:t>。</w:t>
      </w:r>
      <w:r>
        <w:rPr>
          <w:rFonts w:hint="eastAsia" w:ascii="宋体" w:hAnsi="宋体" w:eastAsia="宋体" w:cs="Times New Roman"/>
          <w:color w:val="auto"/>
          <w:kern w:val="0"/>
          <w:szCs w:val="21"/>
          <w:highlight w:val="none"/>
        </w:rPr>
        <w:t>若乙方迟延向甲方</w:t>
      </w:r>
      <w:r>
        <w:rPr>
          <w:rFonts w:hint="eastAsia" w:ascii="宋体" w:hAnsi="宋体" w:eastAsia="宋体" w:cs="Times New Roman"/>
          <w:color w:val="auto"/>
          <w:kern w:val="0"/>
          <w:szCs w:val="21"/>
          <w:highlight w:val="none"/>
          <w:lang w:val="en-US" w:eastAsia="zh-CN"/>
        </w:rPr>
        <w:t>提交</w:t>
      </w:r>
      <w:r>
        <w:rPr>
          <w:rFonts w:hint="eastAsia" w:ascii="宋体" w:hAnsi="宋体" w:eastAsia="宋体" w:cs="Times New Roman"/>
          <w:color w:val="auto"/>
          <w:kern w:val="0"/>
          <w:szCs w:val="21"/>
          <w:highlight w:val="none"/>
        </w:rPr>
        <w:t>前述票据以及请款材料或票据和请款材料不符合</w:t>
      </w:r>
      <w:r>
        <w:rPr>
          <w:rFonts w:hint="eastAsia" w:ascii="宋体" w:hAnsi="宋体" w:eastAsia="宋体" w:cs="Times New Roman"/>
          <w:color w:val="auto"/>
          <w:kern w:val="0"/>
          <w:szCs w:val="21"/>
          <w:highlight w:val="none"/>
          <w:lang w:val="en-US" w:eastAsia="zh-CN"/>
        </w:rPr>
        <w:t>甲方</w:t>
      </w:r>
      <w:r>
        <w:rPr>
          <w:rFonts w:hint="eastAsia" w:ascii="宋体" w:hAnsi="宋体" w:eastAsia="宋体" w:cs="Times New Roman"/>
          <w:color w:val="auto"/>
          <w:kern w:val="0"/>
          <w:szCs w:val="21"/>
          <w:highlight w:val="none"/>
        </w:rPr>
        <w:t>要求的，甲方有权顺延支付时间而无须承担任何违约责任，且乙方不得以此为由迟延履行或拒绝履行合同义务。</w:t>
      </w:r>
    </w:p>
    <w:p w14:paraId="3150B1B6">
      <w:pPr>
        <w:tabs>
          <w:tab w:val="left" w:pos="1080"/>
        </w:tabs>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宋体"/>
          <w:color w:val="auto"/>
          <w:kern w:val="0"/>
          <w:szCs w:val="21"/>
          <w:highlight w:val="none"/>
        </w:rPr>
        <w:t>5、合同履约过程中，乙方根据本合同约定需向甲方支付违约金、赔偿金或其他应付费用等款项的，乙方必须</w:t>
      </w:r>
      <w:r>
        <w:rPr>
          <w:rFonts w:hint="eastAsia" w:ascii="宋体" w:hAnsi="宋体" w:eastAsia="宋体" w:cs="宋体"/>
          <w:color w:val="auto"/>
          <w:kern w:val="0"/>
          <w:szCs w:val="21"/>
          <w:highlight w:val="none"/>
          <w:lang w:val="en-US" w:eastAsia="zh-CN"/>
        </w:rPr>
        <w:t>先</w:t>
      </w:r>
      <w:r>
        <w:rPr>
          <w:rFonts w:hint="eastAsia" w:ascii="宋体" w:hAnsi="宋体" w:eastAsia="宋体" w:cs="宋体"/>
          <w:color w:val="auto"/>
          <w:kern w:val="0"/>
          <w:szCs w:val="21"/>
          <w:highlight w:val="none"/>
        </w:rPr>
        <w:t>向甲方支付完相关款项后，甲方才根据本合同约定向乙方支付价款。若乙方未能支付前述相关款项的，甲方有权启用履约担保或直接从未付价款中扣除，且乙方必须按照扣除前述费用前的价款开具增值税专用发票，保证增值税税额符合法律规定。</w:t>
      </w:r>
    </w:p>
    <w:p w14:paraId="76C3C871">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color w:val="auto"/>
          <w:kern w:val="0"/>
          <w:szCs w:val="21"/>
          <w:highlight w:val="none"/>
        </w:rPr>
        <w:t>6、甲方开票信息及甲乙双方银行账户</w:t>
      </w:r>
    </w:p>
    <w:p w14:paraId="44AD33E1">
      <w:pPr>
        <w:autoSpaceDE w:val="0"/>
        <w:autoSpaceDN w:val="0"/>
        <w:adjustRightInd w:val="0"/>
        <w:spacing w:line="360" w:lineRule="auto"/>
        <w:ind w:firstLine="420" w:firstLineChars="200"/>
        <w:jc w:val="left"/>
        <w:rPr>
          <w:rFonts w:hint="eastAsia" w:ascii="宋体" w:hAnsi="宋体" w:eastAsia="宋体" w:cs="Times New Roman"/>
          <w:bCs w:val="0"/>
          <w:color w:val="auto"/>
          <w:kern w:val="0"/>
          <w:szCs w:val="21"/>
          <w:highlight w:val="none"/>
        </w:rPr>
      </w:pPr>
      <w:r>
        <w:rPr>
          <w:rFonts w:hint="eastAsia" w:ascii="宋体" w:hAnsi="宋体" w:eastAsia="宋体" w:cs="Times New Roman"/>
          <w:bCs w:val="0"/>
          <w:color w:val="auto"/>
          <w:kern w:val="0"/>
          <w:szCs w:val="21"/>
          <w:highlight w:val="none"/>
          <w:lang w:eastAsia="zh-CN"/>
        </w:rPr>
        <w:t>（</w:t>
      </w:r>
      <w:r>
        <w:rPr>
          <w:rFonts w:hint="eastAsia" w:ascii="宋体" w:hAnsi="宋体" w:eastAsia="宋体" w:cs="Times New Roman"/>
          <w:bCs w:val="0"/>
          <w:color w:val="auto"/>
          <w:kern w:val="0"/>
          <w:szCs w:val="21"/>
          <w:highlight w:val="none"/>
          <w:lang w:val="en-US" w:eastAsia="zh-CN"/>
        </w:rPr>
        <w:t>1）</w:t>
      </w:r>
      <w:r>
        <w:rPr>
          <w:rFonts w:hint="eastAsia" w:ascii="宋体" w:hAnsi="宋体" w:eastAsia="宋体" w:cs="Times New Roman"/>
          <w:bCs w:val="0"/>
          <w:color w:val="auto"/>
          <w:kern w:val="0"/>
          <w:szCs w:val="21"/>
          <w:highlight w:val="none"/>
        </w:rPr>
        <w:t>甲方开票信息及银行账户</w:t>
      </w:r>
    </w:p>
    <w:p w14:paraId="38544021">
      <w:pPr>
        <w:spacing w:line="360" w:lineRule="auto"/>
        <w:ind w:firstLine="630" w:firstLineChars="300"/>
        <w:rPr>
          <w:rFonts w:ascii="宋体" w:hAnsi="宋体" w:eastAsia="宋体" w:cs="宋体"/>
          <w:bCs/>
          <w:color w:val="auto"/>
          <w:szCs w:val="21"/>
          <w:highlight w:val="none"/>
        </w:rPr>
      </w:pPr>
      <w:r>
        <w:rPr>
          <w:rFonts w:hint="eastAsia" w:ascii="宋体" w:hAnsi="宋体" w:eastAsia="宋体" w:cs="宋体"/>
          <w:bCs/>
          <w:color w:val="auto"/>
          <w:szCs w:val="21"/>
          <w:highlight w:val="none"/>
        </w:rPr>
        <w:t>开户名称：</w:t>
      </w:r>
      <w:r>
        <w:rPr>
          <w:rFonts w:hint="eastAsia" w:ascii="宋体" w:hAnsi="宋体" w:eastAsia="宋体" w:cs="宋体"/>
          <w:bCs/>
          <w:color w:val="auto"/>
          <w:szCs w:val="21"/>
          <w:highlight w:val="none"/>
          <w:lang w:val="en-US" w:eastAsia="zh-CN"/>
        </w:rPr>
        <w:t>东莞市水务环境投资控股集团管网有限公司</w:t>
      </w:r>
    </w:p>
    <w:p w14:paraId="5BCD107C">
      <w:pPr>
        <w:spacing w:line="360" w:lineRule="auto"/>
        <w:ind w:firstLine="630" w:firstLineChars="300"/>
        <w:rPr>
          <w:rFonts w:ascii="宋体" w:hAnsi="宋体" w:eastAsia="宋体" w:cs="宋体"/>
          <w:bCs/>
          <w:color w:val="auto"/>
          <w:szCs w:val="21"/>
          <w:highlight w:val="none"/>
        </w:rPr>
      </w:pPr>
      <w:r>
        <w:rPr>
          <w:rFonts w:hint="eastAsia" w:ascii="宋体" w:hAnsi="宋体" w:eastAsia="宋体" w:cs="宋体"/>
          <w:bCs/>
          <w:color w:val="auto"/>
          <w:szCs w:val="21"/>
          <w:highlight w:val="none"/>
        </w:rPr>
        <w:t>银行账号：</w:t>
      </w:r>
      <w:r>
        <w:rPr>
          <w:rFonts w:hint="eastAsia" w:ascii="宋体" w:hAnsi="宋体" w:eastAsia="宋体" w:cs="宋体"/>
          <w:bCs/>
          <w:color w:val="auto"/>
          <w:szCs w:val="21"/>
          <w:highlight w:val="none"/>
          <w:lang w:val="en-US" w:eastAsia="zh-CN"/>
        </w:rPr>
        <w:t>2010021309900059537</w:t>
      </w:r>
    </w:p>
    <w:p w14:paraId="18958807">
      <w:pPr>
        <w:spacing w:line="360" w:lineRule="auto"/>
        <w:ind w:firstLine="630" w:firstLineChars="300"/>
        <w:rPr>
          <w:rFonts w:ascii="宋体" w:hAnsi="宋体" w:eastAsia="宋体" w:cs="宋体"/>
          <w:bCs/>
          <w:color w:val="auto"/>
          <w:szCs w:val="21"/>
          <w:highlight w:val="none"/>
        </w:rPr>
      </w:pPr>
      <w:r>
        <w:rPr>
          <w:rFonts w:hint="eastAsia" w:ascii="宋体" w:hAnsi="宋体" w:eastAsia="宋体" w:cs="宋体"/>
          <w:bCs/>
          <w:color w:val="auto"/>
          <w:szCs w:val="21"/>
          <w:highlight w:val="none"/>
        </w:rPr>
        <w:t>开户银行：</w:t>
      </w:r>
      <w:r>
        <w:rPr>
          <w:rFonts w:hint="eastAsia" w:ascii="宋体" w:hAnsi="宋体" w:eastAsia="宋体" w:cs="宋体"/>
          <w:bCs/>
          <w:color w:val="auto"/>
          <w:szCs w:val="21"/>
          <w:highlight w:val="none"/>
          <w:lang w:val="en-US" w:eastAsia="zh-CN"/>
        </w:rPr>
        <w:t>中国工商银行东莞分行</w:t>
      </w:r>
    </w:p>
    <w:p w14:paraId="45D9049B">
      <w:pPr>
        <w:autoSpaceDE w:val="0"/>
        <w:autoSpaceDN w:val="0"/>
        <w:adjustRightInd w:val="0"/>
        <w:spacing w:line="360" w:lineRule="auto"/>
        <w:ind w:firstLine="420" w:firstLineChars="200"/>
        <w:jc w:val="left"/>
        <w:rPr>
          <w:rFonts w:hint="eastAsia" w:ascii="宋体" w:hAnsi="宋体" w:eastAsia="宋体" w:cs="Times New Roman"/>
          <w:bCs w:val="0"/>
          <w:color w:val="auto"/>
          <w:kern w:val="0"/>
          <w:szCs w:val="21"/>
          <w:highlight w:val="none"/>
        </w:rPr>
      </w:pPr>
      <w:r>
        <w:rPr>
          <w:rFonts w:hint="eastAsia" w:ascii="宋体" w:hAnsi="宋体" w:eastAsia="宋体" w:cs="Times New Roman"/>
          <w:bCs w:val="0"/>
          <w:color w:val="auto"/>
          <w:kern w:val="0"/>
          <w:szCs w:val="21"/>
          <w:highlight w:val="none"/>
          <w:lang w:eastAsia="zh-CN"/>
        </w:rPr>
        <w:t>（</w:t>
      </w:r>
      <w:r>
        <w:rPr>
          <w:rFonts w:hint="eastAsia" w:ascii="宋体" w:hAnsi="宋体" w:eastAsia="宋体" w:cs="Times New Roman"/>
          <w:bCs w:val="0"/>
          <w:color w:val="auto"/>
          <w:kern w:val="0"/>
          <w:szCs w:val="21"/>
          <w:highlight w:val="none"/>
          <w:lang w:val="en-US" w:eastAsia="zh-CN"/>
        </w:rPr>
        <w:t>2）</w:t>
      </w:r>
      <w:r>
        <w:rPr>
          <w:rFonts w:hint="eastAsia" w:ascii="宋体" w:hAnsi="宋体" w:eastAsia="宋体" w:cs="Times New Roman"/>
          <w:bCs w:val="0"/>
          <w:color w:val="auto"/>
          <w:kern w:val="0"/>
          <w:szCs w:val="21"/>
          <w:highlight w:val="none"/>
        </w:rPr>
        <w:t>乙方确认的银行账户</w:t>
      </w:r>
    </w:p>
    <w:p w14:paraId="16342471">
      <w:pPr>
        <w:autoSpaceDE w:val="0"/>
        <w:autoSpaceDN w:val="0"/>
        <w:adjustRightInd w:val="0"/>
        <w:snapToGrid/>
        <w:spacing w:line="360" w:lineRule="auto"/>
        <w:ind w:firstLine="420" w:firstLineChars="200"/>
        <w:jc w:val="left"/>
        <w:rPr>
          <w:rFonts w:hint="eastAsia" w:ascii="宋体" w:hAnsi="宋体" w:eastAsia="宋体" w:cs="Times New Roman"/>
          <w:bCs w:val="0"/>
          <w:color w:val="auto"/>
          <w:kern w:val="0"/>
          <w:szCs w:val="21"/>
          <w:highlight w:val="none"/>
          <w:lang w:val="en-US" w:eastAsia="zh-CN"/>
        </w:rPr>
      </w:pPr>
      <w:r>
        <w:rPr>
          <w:rFonts w:hint="eastAsia" w:ascii="宋体" w:hAnsi="宋体" w:eastAsia="宋体" w:cs="Times New Roman"/>
          <w:bCs w:val="0"/>
          <w:color w:val="auto"/>
          <w:kern w:val="0"/>
          <w:szCs w:val="21"/>
          <w:highlight w:val="none"/>
          <w:lang w:val="en-US" w:eastAsia="zh-CN"/>
        </w:rPr>
        <w:t>①预付款：（如需设置监管账户，则填写监管账户信息）</w:t>
      </w:r>
    </w:p>
    <w:p w14:paraId="20F5B31E">
      <w:pPr>
        <w:autoSpaceDE w:val="0"/>
        <w:autoSpaceDN w:val="0"/>
        <w:adjustRightInd w:val="0"/>
        <w:snapToGrid w:val="0"/>
        <w:spacing w:line="360" w:lineRule="auto"/>
        <w:ind w:firstLine="630" w:firstLineChars="300"/>
        <w:jc w:val="left"/>
        <w:rPr>
          <w:rFonts w:hint="eastAsia" w:ascii="Times New Roman" w:hAnsi="宋体" w:eastAsia="宋体" w:cs="Times New Roman"/>
          <w:bCs/>
          <w:color w:val="auto"/>
          <w:kern w:val="0"/>
          <w:szCs w:val="21"/>
          <w:highlight w:val="none"/>
        </w:rPr>
      </w:pPr>
      <w:r>
        <w:rPr>
          <w:rFonts w:hint="eastAsia" w:ascii="Times New Roman" w:hAnsi="宋体" w:eastAsia="宋体" w:cs="Times New Roman"/>
          <w:bCs/>
          <w:color w:val="auto"/>
          <w:kern w:val="0"/>
          <w:szCs w:val="21"/>
          <w:highlight w:val="none"/>
        </w:rPr>
        <w:t>开户名称：</w:t>
      </w:r>
    </w:p>
    <w:p w14:paraId="0307BAE6">
      <w:pPr>
        <w:autoSpaceDE w:val="0"/>
        <w:autoSpaceDN w:val="0"/>
        <w:adjustRightInd w:val="0"/>
        <w:snapToGrid w:val="0"/>
        <w:spacing w:line="360" w:lineRule="auto"/>
        <w:ind w:firstLine="630" w:firstLineChars="300"/>
        <w:jc w:val="left"/>
        <w:rPr>
          <w:rFonts w:ascii="Times New Roman" w:hAnsi="宋体" w:eastAsia="宋体" w:cs="Times New Roman"/>
          <w:bCs/>
          <w:color w:val="auto"/>
          <w:kern w:val="0"/>
          <w:szCs w:val="21"/>
          <w:highlight w:val="none"/>
        </w:rPr>
      </w:pPr>
      <w:r>
        <w:rPr>
          <w:rFonts w:hint="eastAsia" w:ascii="Times New Roman" w:hAnsi="宋体" w:eastAsia="宋体" w:cs="Times New Roman"/>
          <w:bCs/>
          <w:color w:val="auto"/>
          <w:kern w:val="0"/>
          <w:szCs w:val="21"/>
          <w:highlight w:val="none"/>
        </w:rPr>
        <w:t>银行账号：</w:t>
      </w:r>
    </w:p>
    <w:p w14:paraId="0C02A1D9">
      <w:pPr>
        <w:autoSpaceDE w:val="0"/>
        <w:autoSpaceDN w:val="0"/>
        <w:adjustRightInd w:val="0"/>
        <w:snapToGrid w:val="0"/>
        <w:spacing w:line="360" w:lineRule="auto"/>
        <w:ind w:firstLine="630" w:firstLineChars="300"/>
        <w:jc w:val="left"/>
        <w:rPr>
          <w:rFonts w:ascii="Times New Roman" w:hAnsi="宋体" w:eastAsia="宋体" w:cs="Times New Roman"/>
          <w:bCs/>
          <w:color w:val="auto"/>
          <w:kern w:val="0"/>
          <w:szCs w:val="21"/>
          <w:highlight w:val="none"/>
        </w:rPr>
      </w:pPr>
      <w:r>
        <w:rPr>
          <w:rFonts w:hint="eastAsia" w:ascii="Times New Roman" w:hAnsi="宋体" w:eastAsia="宋体" w:cs="Times New Roman"/>
          <w:bCs/>
          <w:color w:val="auto"/>
          <w:kern w:val="0"/>
          <w:szCs w:val="21"/>
          <w:highlight w:val="none"/>
        </w:rPr>
        <w:t>开户银行：</w:t>
      </w:r>
    </w:p>
    <w:p w14:paraId="2CA25936">
      <w:pPr>
        <w:autoSpaceDE w:val="0"/>
        <w:autoSpaceDN w:val="0"/>
        <w:adjustRightInd w:val="0"/>
        <w:spacing w:line="360" w:lineRule="auto"/>
        <w:ind w:firstLine="420" w:firstLineChars="200"/>
        <w:jc w:val="left"/>
        <w:rPr>
          <w:rFonts w:hint="eastAsia" w:ascii="宋体" w:hAnsi="宋体" w:eastAsia="宋体" w:cs="Times New Roman"/>
          <w:b w:val="0"/>
          <w:bCs w:val="0"/>
          <w:color w:val="auto"/>
          <w:kern w:val="0"/>
          <w:szCs w:val="21"/>
          <w:highlight w:val="none"/>
          <w:lang w:val="en-US" w:eastAsia="zh-CN"/>
        </w:rPr>
      </w:pPr>
      <w:r>
        <w:rPr>
          <w:rFonts w:hint="eastAsia" w:ascii="宋体" w:hAnsi="宋体" w:eastAsia="宋体" w:cs="Times New Roman"/>
          <w:b w:val="0"/>
          <w:bCs w:val="0"/>
          <w:color w:val="auto"/>
          <w:kern w:val="0"/>
          <w:szCs w:val="21"/>
          <w:highlight w:val="none"/>
          <w:lang w:val="en-US" w:eastAsia="zh-CN"/>
        </w:rPr>
        <w:t>②验收款及质保款（如与预付款账户不一致，则补充）：</w:t>
      </w:r>
    </w:p>
    <w:p w14:paraId="440B81D3">
      <w:pPr>
        <w:autoSpaceDE w:val="0"/>
        <w:autoSpaceDN w:val="0"/>
        <w:adjustRightInd w:val="0"/>
        <w:snapToGrid w:val="0"/>
        <w:spacing w:line="360" w:lineRule="auto"/>
        <w:ind w:firstLine="630" w:firstLineChars="300"/>
        <w:jc w:val="left"/>
        <w:rPr>
          <w:rFonts w:hint="eastAsia" w:ascii="Times New Roman" w:hAnsi="宋体" w:eastAsia="宋体" w:cs="Times New Roman"/>
          <w:bCs/>
          <w:color w:val="auto"/>
          <w:kern w:val="0"/>
          <w:szCs w:val="21"/>
          <w:highlight w:val="none"/>
        </w:rPr>
      </w:pPr>
      <w:r>
        <w:rPr>
          <w:rFonts w:hint="eastAsia" w:ascii="Times New Roman" w:hAnsi="宋体" w:eastAsia="宋体" w:cs="Times New Roman"/>
          <w:bCs/>
          <w:color w:val="auto"/>
          <w:kern w:val="0"/>
          <w:szCs w:val="21"/>
          <w:highlight w:val="none"/>
        </w:rPr>
        <w:t>开户名称：</w:t>
      </w:r>
    </w:p>
    <w:p w14:paraId="44BC3FAD">
      <w:pPr>
        <w:autoSpaceDE w:val="0"/>
        <w:autoSpaceDN w:val="0"/>
        <w:adjustRightInd w:val="0"/>
        <w:snapToGrid w:val="0"/>
        <w:spacing w:line="360" w:lineRule="auto"/>
        <w:ind w:firstLine="630" w:firstLineChars="300"/>
        <w:jc w:val="left"/>
        <w:rPr>
          <w:rFonts w:ascii="Times New Roman" w:hAnsi="宋体" w:eastAsia="宋体" w:cs="Times New Roman"/>
          <w:bCs/>
          <w:color w:val="auto"/>
          <w:kern w:val="0"/>
          <w:szCs w:val="21"/>
          <w:highlight w:val="none"/>
        </w:rPr>
      </w:pPr>
      <w:r>
        <w:rPr>
          <w:rFonts w:hint="eastAsia" w:ascii="Times New Roman" w:hAnsi="宋体" w:eastAsia="宋体" w:cs="Times New Roman"/>
          <w:bCs/>
          <w:color w:val="auto"/>
          <w:kern w:val="0"/>
          <w:szCs w:val="21"/>
          <w:highlight w:val="none"/>
        </w:rPr>
        <w:t>银行账号：</w:t>
      </w:r>
    </w:p>
    <w:p w14:paraId="74558B44">
      <w:pPr>
        <w:autoSpaceDE w:val="0"/>
        <w:autoSpaceDN w:val="0"/>
        <w:adjustRightInd w:val="0"/>
        <w:snapToGrid w:val="0"/>
        <w:spacing w:line="360" w:lineRule="auto"/>
        <w:ind w:firstLine="630" w:firstLineChars="300"/>
        <w:jc w:val="left"/>
        <w:rPr>
          <w:rFonts w:ascii="Times New Roman" w:hAnsi="宋体" w:eastAsia="宋体" w:cs="Times New Roman"/>
          <w:bCs/>
          <w:color w:val="auto"/>
          <w:kern w:val="0"/>
          <w:szCs w:val="21"/>
          <w:highlight w:val="none"/>
        </w:rPr>
      </w:pPr>
      <w:r>
        <w:rPr>
          <w:rFonts w:hint="eastAsia" w:ascii="Times New Roman" w:hAnsi="宋体" w:eastAsia="宋体" w:cs="Times New Roman"/>
          <w:bCs/>
          <w:color w:val="auto"/>
          <w:kern w:val="0"/>
          <w:szCs w:val="21"/>
          <w:highlight w:val="none"/>
        </w:rPr>
        <w:t>开户银行：</w:t>
      </w:r>
    </w:p>
    <w:p w14:paraId="22E4D734">
      <w:pPr>
        <w:autoSpaceDE w:val="0"/>
        <w:autoSpaceDN w:val="0"/>
        <w:adjustRightInd w:val="0"/>
        <w:spacing w:line="360" w:lineRule="auto"/>
        <w:ind w:firstLine="420" w:firstLineChars="200"/>
        <w:jc w:val="left"/>
        <w:rPr>
          <w:rFonts w:hint="eastAsia" w:ascii="宋体" w:hAnsi="宋体" w:eastAsia="宋体" w:cs="Times New Roman"/>
          <w:b w:val="0"/>
          <w:bCs/>
          <w:color w:val="auto"/>
          <w:kern w:val="0"/>
          <w:szCs w:val="21"/>
          <w:highlight w:val="none"/>
        </w:rPr>
      </w:pPr>
      <w:r>
        <w:rPr>
          <w:rFonts w:hint="eastAsia" w:ascii="宋体" w:hAnsi="宋体" w:eastAsia="宋体" w:cs="Times New Roman"/>
          <w:b w:val="0"/>
          <w:bCs/>
          <w:color w:val="auto"/>
          <w:kern w:val="0"/>
          <w:szCs w:val="21"/>
          <w:highlight w:val="none"/>
        </w:rPr>
        <w:t>乙方确认本合同项下的款项均支付至上述银行账户，甲方将款项支付至乙方指定账户即完成支付义务。如乙方收款账户发生任何变更，乙方应书面通知甲方，若乙方已经开具了发票，应按变更后的收款账户信息重新开具发票。乙方因重新开具发票所产生的费用由乙方自行承担，乙方不得以此为由向甲方追偿。因未及时通知或因上述银行账户被查封、冻结或发生其他非因甲方原因导致款项未能及时到账的，因此导致的后果由乙方自行承担，与甲方无关。</w:t>
      </w:r>
    </w:p>
    <w:p w14:paraId="1A083CBA">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八、培训及质保、售后服务</w:t>
      </w:r>
    </w:p>
    <w:p w14:paraId="5F71277C">
      <w:pPr>
        <w:spacing w:line="360" w:lineRule="auto"/>
        <w:ind w:firstLine="420" w:firstLineChars="200"/>
        <w:contextualSpacing/>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w:t>
      </w:r>
      <w:r>
        <w:rPr>
          <w:rFonts w:hint="eastAsia" w:ascii="宋体" w:hAnsi="宋体" w:eastAsia="宋体" w:cs="宋体"/>
          <w:color w:val="auto"/>
          <w:sz w:val="21"/>
          <w:szCs w:val="21"/>
          <w:highlight w:val="none"/>
          <w:lang w:val="en-US" w:eastAsia="zh-CN"/>
        </w:rPr>
        <w:t>培训服务</w:t>
      </w:r>
    </w:p>
    <w:p w14:paraId="5C4FF86D">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kern w:val="2"/>
          <w:sz w:val="21"/>
          <w:szCs w:val="21"/>
          <w:highlight w:val="none"/>
          <w:lang w:eastAsia="zh-CN" w:bidi="ar"/>
        </w:rPr>
        <w:t>乙方</w:t>
      </w:r>
      <w:r>
        <w:rPr>
          <w:rFonts w:hint="eastAsia" w:ascii="宋体" w:hAnsi="宋体" w:eastAsia="宋体" w:cs="宋体"/>
          <w:color w:val="auto"/>
          <w:kern w:val="2"/>
          <w:sz w:val="21"/>
          <w:szCs w:val="21"/>
          <w:highlight w:val="none"/>
          <w:lang w:bidi="ar"/>
        </w:rPr>
        <w:t>在验收合格后提供一次免费专业知识和设备实操培训服务，就货物的功能对</w:t>
      </w:r>
      <w:r>
        <w:rPr>
          <w:rFonts w:hint="eastAsia" w:ascii="宋体" w:hAnsi="宋体" w:eastAsia="宋体" w:cs="宋体"/>
          <w:color w:val="auto"/>
          <w:kern w:val="2"/>
          <w:sz w:val="21"/>
          <w:szCs w:val="21"/>
          <w:highlight w:val="none"/>
          <w:lang w:eastAsia="zh-CN" w:bidi="ar"/>
        </w:rPr>
        <w:t>甲方</w:t>
      </w:r>
      <w:r>
        <w:rPr>
          <w:rFonts w:hint="eastAsia" w:ascii="宋体" w:hAnsi="宋体" w:eastAsia="宋体" w:cs="宋体"/>
          <w:color w:val="auto"/>
          <w:kern w:val="2"/>
          <w:sz w:val="21"/>
          <w:szCs w:val="21"/>
          <w:highlight w:val="none"/>
          <w:lang w:bidi="ar"/>
        </w:rPr>
        <w:t>进行相应的维护保养培训和安全操作规范培训，培训地点主要在车辆交付现场或由双方约定。</w:t>
      </w:r>
      <w:r>
        <w:rPr>
          <w:rFonts w:hint="eastAsia" w:ascii="宋体" w:hAnsi="宋体" w:eastAsia="宋体" w:cs="宋体"/>
          <w:color w:val="auto"/>
          <w:sz w:val="21"/>
          <w:szCs w:val="21"/>
          <w:highlight w:val="none"/>
        </w:rPr>
        <w:t>技术培训费用已包含</w:t>
      </w:r>
      <w:r>
        <w:rPr>
          <w:rFonts w:hint="eastAsia" w:ascii="宋体" w:hAnsi="宋体" w:eastAsia="宋体" w:cs="宋体"/>
          <w:color w:val="auto"/>
          <w:sz w:val="21"/>
          <w:szCs w:val="21"/>
          <w:highlight w:val="none"/>
          <w:lang w:val="en-US" w:eastAsia="zh-CN"/>
        </w:rPr>
        <w:t>在</w:t>
      </w:r>
      <w:r>
        <w:rPr>
          <w:rFonts w:hint="eastAsia" w:ascii="宋体" w:hAnsi="宋体" w:eastAsia="宋体" w:cs="宋体"/>
          <w:color w:val="auto"/>
          <w:sz w:val="21"/>
          <w:szCs w:val="21"/>
          <w:highlight w:val="none"/>
        </w:rPr>
        <w:t>合同价中，</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不另行支付或给予</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补偿。</w:t>
      </w:r>
    </w:p>
    <w:p w14:paraId="44954EAC">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培训内容要求：</w:t>
      </w:r>
    </w:p>
    <w:p w14:paraId="206ECA09">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开展培训前，</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需将培训内容计划及培训资料（培训资料需整理成册，包括纸质版电子版）提前移交至</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，经</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确认无误后共同商议培训时间、培训人员数量及地点（培训地点为东莞市行政辖区内，具体以</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通知为准），培训包括但不限于以下两种：</w:t>
      </w:r>
    </w:p>
    <w:p w14:paraId="4B043CDE">
      <w:pPr>
        <w:spacing w:line="360" w:lineRule="auto"/>
        <w:ind w:firstLine="630" w:firstLineChars="300"/>
        <w:contextualSpacing/>
        <w:jc w:val="both"/>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（1）技术理论培训：车辆验收合格后，</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派专人对</w:t>
      </w:r>
      <w:r>
        <w:rPr>
          <w:rFonts w:hint="eastAsia" w:ascii="宋体" w:hAnsi="宋体" w:eastAsia="宋体" w:cs="宋体"/>
          <w:color w:val="auto"/>
          <w:sz w:val="21"/>
          <w:szCs w:val="21"/>
          <w:highlight w:val="none"/>
          <w:lang w:val="en-US" w:eastAsia="zh-CN"/>
        </w:rPr>
        <w:t>每台车辆进行跟班培训</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培训时间由甲方决定，跟班总时长每车不少于</w:t>
      </w:r>
      <w:r>
        <w:rPr>
          <w:rFonts w:hint="eastAsia" w:ascii="宋体" w:hAnsi="宋体" w:eastAsia="宋体" w:cs="宋体"/>
          <w:color w:val="auto"/>
          <w:sz w:val="21"/>
          <w:szCs w:val="21"/>
          <w:highlight w:val="none"/>
          <w:u w:val="single"/>
          <w:lang w:val="en-US" w:eastAsia="zh-CN"/>
        </w:rPr>
        <w:t xml:space="preserve"> 5 </w:t>
      </w:r>
      <w:r>
        <w:rPr>
          <w:rFonts w:hint="eastAsia" w:ascii="宋体" w:hAnsi="宋体" w:eastAsia="宋体" w:cs="宋体"/>
          <w:color w:val="auto"/>
          <w:sz w:val="21"/>
          <w:szCs w:val="21"/>
          <w:highlight w:val="none"/>
          <w:lang w:val="en-US" w:eastAsia="zh-CN"/>
        </w:rPr>
        <w:t>个工作日，每日跟班时长不少于</w:t>
      </w:r>
      <w:r>
        <w:rPr>
          <w:rFonts w:hint="eastAsia" w:ascii="宋体" w:hAnsi="宋体" w:eastAsia="宋体" w:cs="宋体"/>
          <w:color w:val="auto"/>
          <w:sz w:val="21"/>
          <w:szCs w:val="21"/>
          <w:highlight w:val="none"/>
          <w:u w:val="single"/>
          <w:lang w:val="en-US" w:eastAsia="zh-CN"/>
        </w:rPr>
        <w:t xml:space="preserve"> 6 </w:t>
      </w:r>
      <w:r>
        <w:rPr>
          <w:rFonts w:hint="eastAsia" w:ascii="宋体" w:hAnsi="宋体" w:eastAsia="宋体" w:cs="宋体"/>
          <w:color w:val="auto"/>
          <w:sz w:val="21"/>
          <w:szCs w:val="21"/>
          <w:highlight w:val="none"/>
          <w:lang w:val="en-US" w:eastAsia="zh-CN"/>
        </w:rPr>
        <w:t>小时，</w:t>
      </w:r>
      <w:r>
        <w:rPr>
          <w:rFonts w:hint="eastAsia" w:ascii="宋体" w:hAnsi="宋体" w:eastAsia="宋体" w:cs="宋体"/>
          <w:color w:val="auto"/>
          <w:sz w:val="21"/>
          <w:szCs w:val="21"/>
          <w:highlight w:val="none"/>
        </w:rPr>
        <w:t>直至受训人员签名确认已充分理解受训内容，否则</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应为受训人员解难答疑直至其充分理解。</w:t>
      </w:r>
      <w:r>
        <w:rPr>
          <w:rFonts w:hint="eastAsia" w:ascii="宋体" w:hAnsi="宋体" w:eastAsia="宋体" w:cs="宋体"/>
          <w:color w:val="auto"/>
          <w:szCs w:val="21"/>
          <w:highlight w:val="none"/>
        </w:rPr>
        <w:t>主要培训内容包括但不限于：1、车辆结构及原理培训，了解车辆及车辆各部件名称用途；2、车辆操作使用培训，包括日常操作，作业前准备，停车注意事项、车辆仪表控制操作，配件不同工况选择以及车辆操作使用技巧；3、车辆操作使用注意事项；4、车辆维护与保养；5、故障分析与排除；6、专项保养指引手册，须标注易损易耗件的明细、保养注意事项等；7、列明各种专项操作完成后，针对特定零部件的保养方法。</w:t>
      </w:r>
    </w:p>
    <w:p w14:paraId="254E418C">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培训完成后，</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在使用上存在问题时，</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需及时解难答疑，提供免费的咨询服务，若需</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现场协助指导作业，</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应无条件上门指导，</w:t>
      </w:r>
      <w:r>
        <w:rPr>
          <w:rFonts w:hint="eastAsia" w:ascii="宋体" w:hAnsi="宋体" w:eastAsia="宋体" w:cs="宋体"/>
          <w:color w:val="auto"/>
          <w:sz w:val="21"/>
          <w:szCs w:val="21"/>
          <w:highlight w:val="none"/>
          <w:lang w:val="en-US" w:eastAsia="zh-CN"/>
        </w:rPr>
        <w:t>此</w:t>
      </w:r>
      <w:r>
        <w:rPr>
          <w:rFonts w:hint="eastAsia" w:ascii="宋体" w:hAnsi="宋体" w:eastAsia="宋体" w:cs="宋体"/>
          <w:color w:val="auto"/>
          <w:sz w:val="21"/>
          <w:szCs w:val="21"/>
          <w:highlight w:val="none"/>
        </w:rPr>
        <w:t>费用已包含在</w:t>
      </w:r>
      <w:r>
        <w:rPr>
          <w:rFonts w:hint="eastAsia" w:ascii="宋体" w:hAnsi="宋体" w:eastAsia="宋体" w:cs="Times New Roman"/>
          <w:color w:val="auto"/>
          <w:kern w:val="0"/>
          <w:szCs w:val="21"/>
          <w:highlight w:val="none"/>
        </w:rPr>
        <w:t>合同含税总价</w:t>
      </w:r>
      <w:r>
        <w:rPr>
          <w:rFonts w:hint="eastAsia" w:ascii="宋体" w:hAnsi="宋体" w:eastAsia="宋体" w:cs="宋体"/>
          <w:color w:val="auto"/>
          <w:sz w:val="21"/>
          <w:szCs w:val="21"/>
          <w:highlight w:val="none"/>
        </w:rPr>
        <w:t>中，甲方不另行支付或给予乙方补偿。</w:t>
      </w:r>
    </w:p>
    <w:p w14:paraId="3E5B2E52">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若</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培训服务态度恶劣、培训内容不满足要求的，</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有权要求</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整改并重新服务直至满足</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要求，若</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不落实整改工作，</w:t>
      </w:r>
      <w:r>
        <w:rPr>
          <w:rFonts w:hint="eastAsia" w:ascii="宋体" w:hAnsi="宋体" w:eastAsia="宋体" w:cs="宋体"/>
          <w:color w:val="auto"/>
          <w:sz w:val="21"/>
          <w:szCs w:val="21"/>
          <w:highlight w:val="none"/>
          <w:lang w:val="en-US" w:eastAsia="zh-CN"/>
        </w:rPr>
        <w:t>按本合同“十二、违约责任 第7款”执行</w:t>
      </w:r>
      <w:r>
        <w:rPr>
          <w:rFonts w:hint="eastAsia" w:ascii="宋体" w:hAnsi="宋体" w:eastAsia="宋体" w:cs="宋体"/>
          <w:color w:val="auto"/>
          <w:sz w:val="21"/>
          <w:szCs w:val="21"/>
          <w:highlight w:val="none"/>
        </w:rPr>
        <w:t>。</w:t>
      </w:r>
    </w:p>
    <w:p w14:paraId="5E85B92A">
      <w:pPr>
        <w:snapToGrid w:val="0"/>
        <w:spacing w:line="360" w:lineRule="auto"/>
        <w:ind w:firstLine="420" w:firstLineChars="200"/>
        <w:rPr>
          <w:rFonts w:ascii="宋体" w:hAnsi="宋体" w:eastAsia="宋体" w:cs="Times New Roman"/>
          <w:color w:val="auto"/>
          <w:kern w:val="0"/>
          <w:szCs w:val="21"/>
          <w:highlight w:val="none"/>
          <w:lang w:bidi="ar"/>
        </w:rPr>
      </w:pPr>
      <w:r>
        <w:rPr>
          <w:rFonts w:hint="eastAsia" w:ascii="宋体" w:hAnsi="宋体" w:eastAsia="宋体" w:cs="Times New Roman"/>
          <w:color w:val="auto"/>
          <w:kern w:val="0"/>
          <w:szCs w:val="21"/>
          <w:highlight w:val="none"/>
          <w:lang w:eastAsia="zh-CN" w:bidi="ar"/>
        </w:rPr>
        <w:t>（</w:t>
      </w:r>
      <w:r>
        <w:rPr>
          <w:rFonts w:hint="eastAsia" w:ascii="宋体" w:hAnsi="宋体" w:eastAsia="宋体" w:cs="Times New Roman"/>
          <w:color w:val="auto"/>
          <w:kern w:val="0"/>
          <w:szCs w:val="21"/>
          <w:highlight w:val="none"/>
          <w:lang w:val="en-US" w:eastAsia="zh-CN" w:bidi="ar"/>
        </w:rPr>
        <w:t>二</w:t>
      </w:r>
      <w:r>
        <w:rPr>
          <w:rFonts w:hint="eastAsia" w:ascii="宋体" w:hAnsi="宋体" w:eastAsia="宋体" w:cs="Times New Roman"/>
          <w:color w:val="auto"/>
          <w:kern w:val="0"/>
          <w:szCs w:val="21"/>
          <w:highlight w:val="none"/>
          <w:lang w:eastAsia="zh-CN" w:bidi="ar"/>
        </w:rPr>
        <w:t>）</w:t>
      </w:r>
      <w:r>
        <w:rPr>
          <w:rFonts w:ascii="宋体" w:hAnsi="宋体" w:eastAsia="宋体" w:cs="Times New Roman"/>
          <w:color w:val="auto"/>
          <w:kern w:val="0"/>
          <w:szCs w:val="21"/>
          <w:highlight w:val="none"/>
          <w:lang w:bidi="ar"/>
        </w:rPr>
        <w:t>质保</w:t>
      </w:r>
      <w:r>
        <w:rPr>
          <w:rFonts w:hint="eastAsia" w:ascii="宋体" w:hAnsi="宋体" w:eastAsia="宋体" w:cs="Times New Roman"/>
          <w:color w:val="auto"/>
          <w:kern w:val="0"/>
          <w:szCs w:val="21"/>
          <w:highlight w:val="none"/>
          <w:lang w:val="en-US" w:eastAsia="zh-CN" w:bidi="ar"/>
        </w:rPr>
        <w:t>服务</w:t>
      </w:r>
    </w:p>
    <w:p w14:paraId="2E318505">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质保期：</w:t>
      </w:r>
      <w:r>
        <w:rPr>
          <w:rFonts w:hint="eastAsia" w:ascii="宋体" w:hAnsi="宋体" w:eastAsia="宋体" w:cs="宋体"/>
          <w:color w:val="auto"/>
          <w:kern w:val="0"/>
          <w:szCs w:val="21"/>
          <w:highlight w:val="none"/>
          <w:lang w:bidi="ar"/>
        </w:rPr>
        <w:t>自车辆及随车设备</w:t>
      </w:r>
      <w:r>
        <w:rPr>
          <w:rFonts w:hint="eastAsia" w:ascii="宋体" w:hAnsi="宋体" w:eastAsia="宋体" w:cs="宋体"/>
          <w:color w:val="auto"/>
          <w:sz w:val="21"/>
          <w:szCs w:val="21"/>
          <w:highlight w:val="none"/>
          <w:lang w:val="en-US" w:eastAsia="zh-CN"/>
        </w:rPr>
        <w:t>经甲乙双方在</w:t>
      </w:r>
      <w:r>
        <w:rPr>
          <w:rFonts w:hint="eastAsia" w:ascii="宋体" w:hAnsi="宋体" w:eastAsia="宋体" w:cs="宋体"/>
          <w:color w:val="auto"/>
          <w:sz w:val="21"/>
          <w:szCs w:val="21"/>
          <w:highlight w:val="none"/>
        </w:rPr>
        <w:t>验收</w:t>
      </w:r>
      <w:r>
        <w:rPr>
          <w:rFonts w:hint="eastAsia" w:ascii="宋体" w:hAnsi="宋体" w:eastAsia="宋体" w:cs="宋体"/>
          <w:color w:val="auto"/>
          <w:sz w:val="21"/>
          <w:szCs w:val="21"/>
          <w:highlight w:val="none"/>
          <w:lang w:val="en-US" w:eastAsia="zh-CN"/>
        </w:rPr>
        <w:t>单</w:t>
      </w:r>
      <w:r>
        <w:rPr>
          <w:rFonts w:hint="eastAsia" w:ascii="宋体" w:hAnsi="宋体" w:eastAsia="宋体" w:cs="宋体"/>
          <w:color w:val="auto"/>
          <w:sz w:val="21"/>
          <w:szCs w:val="21"/>
          <w:highlight w:val="none"/>
        </w:rPr>
        <w:t>上签字确认验收合格之日</w:t>
      </w:r>
      <w:r>
        <w:rPr>
          <w:rFonts w:hint="eastAsia" w:ascii="宋体" w:hAnsi="宋体" w:eastAsia="宋体" w:cs="宋体"/>
          <w:color w:val="auto"/>
          <w:kern w:val="0"/>
          <w:szCs w:val="21"/>
          <w:highlight w:val="none"/>
          <w:lang w:bidi="ar"/>
        </w:rPr>
        <w:t>起</w:t>
      </w:r>
      <w:r>
        <w:rPr>
          <w:rFonts w:hint="eastAsia" w:ascii="宋体" w:hAnsi="宋体" w:eastAsia="宋体" w:cs="宋体"/>
          <w:color w:val="auto"/>
          <w:kern w:val="0"/>
          <w:szCs w:val="21"/>
          <w:highlight w:val="none"/>
          <w:u w:val="single"/>
          <w:lang w:val="en-US" w:eastAsia="zh-CN" w:bidi="ar"/>
        </w:rPr>
        <w:t xml:space="preserve">   </w:t>
      </w:r>
      <w:r>
        <w:rPr>
          <w:rFonts w:hint="eastAsia" w:ascii="宋体" w:hAnsi="宋体" w:eastAsia="宋体" w:cs="宋体"/>
          <w:color w:val="auto"/>
          <w:kern w:val="0"/>
          <w:szCs w:val="21"/>
          <w:highlight w:val="none"/>
          <w:lang w:bidi="ar"/>
        </w:rPr>
        <w:t>个月</w:t>
      </w:r>
      <w:r>
        <w:rPr>
          <w:rFonts w:hint="eastAsia" w:ascii="宋体" w:hAnsi="宋体" w:eastAsia="宋体" w:cs="Times New Roman"/>
          <w:color w:val="auto"/>
          <w:kern w:val="0"/>
          <w:szCs w:val="21"/>
          <w:highlight w:val="none"/>
        </w:rPr>
        <w:t>。</w:t>
      </w:r>
    </w:p>
    <w:p w14:paraId="75615713">
      <w:pPr>
        <w:numPr>
          <w:ilvl w:val="255"/>
          <w:numId w:val="0"/>
        </w:numPr>
        <w:snapToGrid w:val="0"/>
        <w:spacing w:line="360" w:lineRule="auto"/>
        <w:ind w:firstLine="420" w:firstLineChars="200"/>
        <w:contextualSpacing/>
        <w:jc w:val="left"/>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 w:val="21"/>
          <w:szCs w:val="21"/>
          <w:highlight w:val="none"/>
        </w:rPr>
        <w:t>质保责任：按照国家规定的要求，在质保期内免费（包括但不限于为完成质保产生的拖车费、配件购置费、测试费、人工等各项费用）解决非</w:t>
      </w:r>
      <w:r>
        <w:rPr>
          <w:rFonts w:hint="eastAsia" w:ascii="宋体" w:hAnsi="宋体" w:eastAsia="宋体" w:cs="宋体"/>
          <w:color w:val="auto"/>
          <w:kern w:val="0"/>
          <w:sz w:val="21"/>
          <w:szCs w:val="21"/>
          <w:highlight w:val="none"/>
          <w:lang w:eastAsia="zh-CN"/>
        </w:rPr>
        <w:t>甲方</w:t>
      </w:r>
      <w:r>
        <w:rPr>
          <w:rFonts w:hint="eastAsia" w:ascii="宋体" w:hAnsi="宋体" w:eastAsia="宋体" w:cs="宋体"/>
          <w:color w:val="auto"/>
          <w:kern w:val="0"/>
          <w:sz w:val="21"/>
          <w:szCs w:val="21"/>
          <w:highlight w:val="none"/>
        </w:rPr>
        <w:t>原因造成的质量问题，</w:t>
      </w:r>
      <w:r>
        <w:rPr>
          <w:rFonts w:hint="eastAsia" w:ascii="宋体" w:hAnsi="宋体" w:eastAsia="宋体" w:cs="宋体"/>
          <w:color w:val="auto"/>
          <w:kern w:val="0"/>
          <w:sz w:val="21"/>
          <w:szCs w:val="21"/>
          <w:highlight w:val="none"/>
          <w:lang w:eastAsia="zh-CN"/>
        </w:rPr>
        <w:t>乙方需参照</w:t>
      </w:r>
      <w:r>
        <w:rPr>
          <w:rFonts w:hint="eastAsia" w:ascii="宋体" w:hAnsi="宋体" w:eastAsia="宋体" w:cs="宋体"/>
          <w:color w:val="auto"/>
          <w:kern w:val="0"/>
          <w:sz w:val="21"/>
          <w:szCs w:val="21"/>
          <w:highlight w:val="none"/>
        </w:rPr>
        <w:t>国家相关法律</w:t>
      </w:r>
      <w:r>
        <w:rPr>
          <w:rFonts w:hint="eastAsia" w:ascii="宋体" w:hAnsi="宋体" w:eastAsia="宋体" w:cs="宋体"/>
          <w:color w:val="auto"/>
          <w:kern w:val="0"/>
          <w:sz w:val="21"/>
          <w:szCs w:val="21"/>
          <w:highlight w:val="none"/>
          <w:lang w:eastAsia="zh-CN"/>
        </w:rPr>
        <w:t>（包括但不限于</w:t>
      </w:r>
      <w:r>
        <w:rPr>
          <w:rFonts w:hint="eastAsia" w:ascii="宋体" w:hAnsi="宋体" w:eastAsia="宋体" w:cs="宋体"/>
          <w:color w:val="auto"/>
          <w:kern w:val="0"/>
          <w:sz w:val="21"/>
          <w:szCs w:val="21"/>
          <w:highlight w:val="none"/>
        </w:rPr>
        <w:t>家用汽车产品修理更换退货责任规定</w:t>
      </w:r>
      <w:r>
        <w:rPr>
          <w:rFonts w:hint="eastAsia" w:ascii="宋体" w:hAnsi="宋体" w:eastAsia="宋体" w:cs="宋体"/>
          <w:color w:val="auto"/>
          <w:kern w:val="0"/>
          <w:sz w:val="21"/>
          <w:szCs w:val="21"/>
          <w:highlight w:val="none"/>
          <w:lang w:eastAsia="zh-CN"/>
        </w:rPr>
        <w:t>）等规定</w:t>
      </w:r>
      <w:r>
        <w:rPr>
          <w:rFonts w:hint="eastAsia" w:ascii="宋体" w:hAnsi="宋体" w:eastAsia="宋体" w:cs="宋体"/>
          <w:color w:val="auto"/>
          <w:kern w:val="0"/>
          <w:sz w:val="21"/>
          <w:szCs w:val="21"/>
          <w:highlight w:val="none"/>
        </w:rPr>
        <w:t>承担三包责任。质保期内，对设备出现的不符合合同要求的、有问题的，</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应进行免费维修、保修或更换配件，</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免费提供维护、维修以及其它售后服务，不再收取任何费用。</w:t>
      </w:r>
    </w:p>
    <w:p w14:paraId="0F11A653">
      <w:pPr>
        <w:numPr>
          <w:ilvl w:val="255"/>
          <w:numId w:val="0"/>
        </w:numPr>
        <w:snapToGrid w:val="0"/>
        <w:spacing w:line="360" w:lineRule="auto"/>
        <w:ind w:firstLine="420" w:firstLineChars="200"/>
        <w:contextualSpacing/>
        <w:jc w:val="left"/>
        <w:rPr>
          <w:rFonts w:hint="eastAsia" w:ascii="宋体" w:hAnsi="宋体" w:eastAsia="宋体" w:cs="宋体"/>
          <w:b w:val="0"/>
          <w:bCs w:val="0"/>
          <w:color w:val="auto"/>
          <w:sz w:val="21"/>
          <w:szCs w:val="21"/>
          <w:highlight w:val="none"/>
          <w:lang w:val="en-US"/>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szCs w:val="21"/>
          <w:highlight w:val="none"/>
        </w:rPr>
        <w:t>车辆零部件清单：</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szCs w:val="21"/>
          <w:highlight w:val="none"/>
        </w:rPr>
        <w:t>须在投标文件上提供产品用户使用说明书中的零部件保修期限表，并明确各零部件的质保期限，其中部分零部件保修期限要求详见附表《部分零部件保修期限表》，</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szCs w:val="21"/>
          <w:highlight w:val="none"/>
        </w:rPr>
        <w:t>提供的产品用户使用说明书中的零部件保修期限表与附表有差异的，以附表质保期限为准。</w:t>
      </w:r>
    </w:p>
    <w:p w14:paraId="3F0DFFAB">
      <w:pPr>
        <w:pStyle w:val="16"/>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kern w:val="0"/>
          <w:szCs w:val="21"/>
          <w:highlight w:val="none"/>
          <w:lang w:val="en-US" w:eastAsia="zh-CN"/>
        </w:rPr>
        <w:t>4、</w:t>
      </w:r>
      <w:r>
        <w:rPr>
          <w:rFonts w:hint="eastAsia" w:ascii="宋体" w:hAnsi="宋体" w:eastAsia="宋体" w:cs="宋体"/>
          <w:b/>
          <w:bCs/>
          <w:color w:val="auto"/>
          <w:kern w:val="0"/>
          <w:sz w:val="21"/>
          <w:szCs w:val="21"/>
          <w:highlight w:val="none"/>
        </w:rPr>
        <w:t>其他：</w:t>
      </w:r>
      <w:r>
        <w:rPr>
          <w:rFonts w:hint="eastAsia" w:ascii="宋体" w:hAnsi="宋体" w:eastAsia="宋体" w:cs="宋体"/>
          <w:b/>
          <w:bCs/>
          <w:snapToGrid/>
          <w:color w:val="auto"/>
          <w:kern w:val="0"/>
          <w:sz w:val="21"/>
          <w:szCs w:val="21"/>
          <w:highlight w:val="none"/>
          <w:lang w:val="en-US" w:eastAsia="zh-CN" w:bidi="ar"/>
        </w:rPr>
        <w:t>甲方有权选择乙方指定的维护保养点外的汽修店进行维护保养。</w:t>
      </w:r>
      <w:r>
        <w:rPr>
          <w:rFonts w:hint="eastAsia" w:ascii="宋体" w:hAnsi="宋体" w:eastAsia="宋体" w:cs="宋体"/>
          <w:b/>
          <w:bCs/>
          <w:color w:val="auto"/>
          <w:kern w:val="0"/>
          <w:sz w:val="21"/>
          <w:szCs w:val="21"/>
          <w:highlight w:val="none"/>
          <w:lang w:eastAsia="zh-CN"/>
        </w:rPr>
        <w:t>乙方</w:t>
      </w:r>
      <w:r>
        <w:rPr>
          <w:rFonts w:hint="eastAsia" w:ascii="宋体" w:hAnsi="宋体" w:eastAsia="宋体" w:cs="宋体"/>
          <w:b/>
          <w:bCs/>
          <w:color w:val="auto"/>
          <w:kern w:val="0"/>
          <w:sz w:val="21"/>
          <w:szCs w:val="21"/>
          <w:highlight w:val="none"/>
        </w:rPr>
        <w:t>不得以车辆未在原厂实施维护保养而终止质保期或拒绝提供质保服务。</w:t>
      </w:r>
    </w:p>
    <w:p w14:paraId="3A0E86EC">
      <w:pPr>
        <w:widowControl/>
        <w:kinsoku w:val="0"/>
        <w:autoSpaceDE w:val="0"/>
        <w:autoSpaceDN w:val="0"/>
        <w:adjustRightInd w:val="0"/>
        <w:snapToGrid w:val="0"/>
        <w:spacing w:line="360" w:lineRule="auto"/>
        <w:ind w:firstLine="420" w:firstLineChars="200"/>
        <w:jc w:val="left"/>
        <w:textAlignment w:val="baseline"/>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Cs w:val="21"/>
          <w:highlight w:val="none"/>
          <w:lang w:val="en-US" w:eastAsia="zh-CN" w:bidi="ar"/>
        </w:rPr>
        <w:t>三</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Cs w:val="21"/>
          <w:highlight w:val="none"/>
          <w:lang w:bidi="ar"/>
        </w:rPr>
        <w:t>售后服务</w:t>
      </w:r>
    </w:p>
    <w:p w14:paraId="49F51C65">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kern w:val="0"/>
          <w:szCs w:val="21"/>
          <w:highlight w:val="none"/>
          <w:lang w:bidi="ar"/>
        </w:rPr>
      </w:pPr>
      <w:r>
        <w:rPr>
          <w:rFonts w:hint="eastAsia" w:ascii="宋体" w:hAnsi="宋体" w:eastAsia="宋体" w:cs="Times New Roman"/>
          <w:color w:val="auto"/>
          <w:kern w:val="0"/>
          <w:szCs w:val="21"/>
          <w:highlight w:val="none"/>
          <w:lang w:val="en-US" w:eastAsia="zh-CN" w:bidi="ar"/>
        </w:rPr>
        <w:t>1、</w:t>
      </w:r>
      <w:r>
        <w:rPr>
          <w:rFonts w:hint="eastAsia" w:ascii="宋体" w:hAnsi="宋体" w:eastAsia="宋体" w:cs="宋体"/>
          <w:b w:val="0"/>
          <w:bCs w:val="0"/>
          <w:color w:val="auto"/>
          <w:kern w:val="0"/>
          <w:sz w:val="21"/>
          <w:szCs w:val="21"/>
          <w:highlight w:val="none"/>
          <w:lang w:bidi="ar"/>
        </w:rPr>
        <w:t>质保期内，</w:t>
      </w:r>
      <w:r>
        <w:rPr>
          <w:rFonts w:hint="eastAsia" w:ascii="宋体" w:hAnsi="宋体" w:eastAsia="宋体" w:cs="宋体"/>
          <w:b w:val="0"/>
          <w:bCs w:val="0"/>
          <w:color w:val="auto"/>
          <w:kern w:val="0"/>
          <w:sz w:val="21"/>
          <w:szCs w:val="21"/>
          <w:highlight w:val="none"/>
          <w:lang w:eastAsia="zh-CN" w:bidi="ar"/>
        </w:rPr>
        <w:t>乙方</w:t>
      </w:r>
      <w:r>
        <w:rPr>
          <w:rFonts w:hint="eastAsia" w:ascii="宋体" w:hAnsi="宋体" w:eastAsia="宋体" w:cs="宋体"/>
          <w:b w:val="0"/>
          <w:bCs w:val="0"/>
          <w:color w:val="auto"/>
          <w:kern w:val="0"/>
          <w:sz w:val="21"/>
          <w:szCs w:val="21"/>
          <w:highlight w:val="none"/>
          <w:lang w:bidi="ar"/>
        </w:rPr>
        <w:t>须根据车辆使用说明书或用户使用手册（中文）要求的频率及次数提供免费的整车保养及整体检查（机油、冷却液、刹车油以及车辆上装部分的润滑油脂等耗材均免费）。</w:t>
      </w:r>
      <w:r>
        <w:rPr>
          <w:rFonts w:hint="eastAsia" w:ascii="宋体" w:hAnsi="宋体" w:eastAsia="宋体" w:cs="宋体"/>
          <w:color w:val="auto"/>
          <w:kern w:val="0"/>
          <w:szCs w:val="21"/>
          <w:highlight w:val="none"/>
          <w:lang w:bidi="ar"/>
        </w:rPr>
        <w:t>在合同的质保期外，乙方承诺增加的免费与用户需求要求同级保养的次数为</w:t>
      </w:r>
      <w:r>
        <w:rPr>
          <w:rFonts w:hint="eastAsia" w:ascii="宋体" w:hAnsi="宋体" w:eastAsia="宋体" w:cs="宋体"/>
          <w:color w:val="auto"/>
          <w:kern w:val="0"/>
          <w:szCs w:val="21"/>
          <w:highlight w:val="none"/>
          <w:u w:val="single"/>
          <w:lang w:val="en-US" w:eastAsia="zh-CN" w:bidi="ar"/>
        </w:rPr>
        <w:t xml:space="preserve">  </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次。</w:t>
      </w:r>
    </w:p>
    <w:p w14:paraId="09F2ED5A">
      <w:pPr>
        <w:pStyle w:val="2"/>
        <w:ind w:firstLine="420" w:firstLineChars="200"/>
        <w:rPr>
          <w:rFonts w:hint="eastAsia" w:ascii="宋体" w:hAnsi="宋体" w:eastAsia="宋体" w:cs="宋体"/>
          <w:snapToGrid/>
          <w:color w:val="auto"/>
          <w:szCs w:val="21"/>
          <w:highlight w:val="none"/>
        </w:rPr>
      </w:pPr>
      <w:r>
        <w:rPr>
          <w:rFonts w:hint="eastAsia" w:ascii="宋体" w:hAnsi="宋体" w:eastAsia="宋体" w:cs="宋体"/>
          <w:b w:val="0"/>
          <w:bCs w:val="0"/>
          <w:snapToGrid/>
          <w:color w:val="auto"/>
          <w:kern w:val="0"/>
          <w:sz w:val="21"/>
          <w:szCs w:val="21"/>
          <w:highlight w:val="none"/>
          <w:lang w:val="en-US" w:eastAsia="zh-CN" w:bidi="ar-SA"/>
        </w:rPr>
        <w:t>2、如甲方有需要，乙方</w:t>
      </w:r>
      <w:r>
        <w:rPr>
          <w:rFonts w:hint="eastAsia" w:ascii="宋体" w:hAnsi="宋体" w:eastAsia="宋体" w:cs="宋体"/>
          <w:b w:val="0"/>
          <w:bCs w:val="0"/>
          <w:snapToGrid/>
          <w:color w:val="auto"/>
          <w:kern w:val="0"/>
          <w:sz w:val="21"/>
          <w:szCs w:val="21"/>
          <w:highlight w:val="none"/>
          <w:lang w:bidi="ar-SA"/>
        </w:rPr>
        <w:t>须无条件为</w:t>
      </w:r>
      <w:r>
        <w:rPr>
          <w:rFonts w:hint="eastAsia" w:ascii="宋体" w:hAnsi="宋体" w:eastAsia="宋体" w:cs="宋体"/>
          <w:b w:val="0"/>
          <w:bCs w:val="0"/>
          <w:snapToGrid/>
          <w:color w:val="auto"/>
          <w:kern w:val="0"/>
          <w:sz w:val="21"/>
          <w:szCs w:val="21"/>
          <w:highlight w:val="none"/>
          <w:lang w:val="en-US" w:eastAsia="zh-CN" w:bidi="ar-SA"/>
        </w:rPr>
        <w:t>甲方</w:t>
      </w:r>
      <w:r>
        <w:rPr>
          <w:rFonts w:hint="eastAsia" w:ascii="宋体" w:hAnsi="宋体" w:eastAsia="宋体" w:cs="宋体"/>
          <w:b w:val="0"/>
          <w:bCs w:val="0"/>
          <w:snapToGrid/>
          <w:color w:val="auto"/>
          <w:kern w:val="0"/>
          <w:sz w:val="21"/>
          <w:szCs w:val="21"/>
          <w:highlight w:val="none"/>
          <w:lang w:bidi="ar-SA"/>
        </w:rPr>
        <w:t>处理防撞车事故售后全过程，并为</w:t>
      </w:r>
      <w:r>
        <w:rPr>
          <w:rFonts w:hint="eastAsia" w:ascii="宋体" w:hAnsi="宋体" w:eastAsia="宋体" w:cs="宋体"/>
          <w:b w:val="0"/>
          <w:bCs w:val="0"/>
          <w:snapToGrid/>
          <w:color w:val="auto"/>
          <w:kern w:val="0"/>
          <w:sz w:val="21"/>
          <w:szCs w:val="21"/>
          <w:highlight w:val="none"/>
          <w:lang w:val="en-US" w:eastAsia="zh-CN" w:bidi="ar-SA"/>
        </w:rPr>
        <w:t>甲方</w:t>
      </w:r>
      <w:r>
        <w:rPr>
          <w:rFonts w:hint="eastAsia" w:ascii="宋体" w:hAnsi="宋体" w:eastAsia="宋体" w:cs="宋体"/>
          <w:b w:val="0"/>
          <w:bCs w:val="0"/>
          <w:snapToGrid/>
          <w:color w:val="auto"/>
          <w:kern w:val="0"/>
          <w:sz w:val="21"/>
          <w:szCs w:val="21"/>
          <w:highlight w:val="none"/>
          <w:lang w:bidi="ar-SA"/>
        </w:rPr>
        <w:t>办理保险理赔等售后服务。</w:t>
      </w:r>
    </w:p>
    <w:p w14:paraId="688C563D">
      <w:pPr>
        <w:numPr>
          <w:ilvl w:val="255"/>
          <w:numId w:val="0"/>
        </w:numPr>
        <w:snapToGrid w:val="0"/>
        <w:spacing w:line="360" w:lineRule="auto"/>
        <w:ind w:firstLine="420" w:firstLineChars="200"/>
        <w:contextualSpacing/>
        <w:jc w:val="left"/>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质保期内须提供24小时服务热线和全天候维修服务用以处理所有售后服务，</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kern w:val="0"/>
          <w:sz w:val="21"/>
          <w:szCs w:val="21"/>
          <w:highlight w:val="none"/>
        </w:rPr>
        <w:t>维修人员自接到维修通知起</w:t>
      </w:r>
      <w:r>
        <w:rPr>
          <w:rFonts w:hint="eastAsia" w:ascii="宋体" w:hAnsi="宋体" w:eastAsia="宋体" w:cs="宋体"/>
          <w:color w:val="auto"/>
          <w:kern w:val="0"/>
          <w:szCs w:val="21"/>
          <w:highlight w:val="none"/>
          <w:u w:val="single"/>
          <w:lang w:val="en-US" w:eastAsia="zh-CN" w:bidi="ar"/>
        </w:rPr>
        <w:t xml:space="preserve">  </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 w:val="21"/>
          <w:szCs w:val="21"/>
          <w:highlight w:val="none"/>
        </w:rPr>
        <w:t>小时内响应，</w:t>
      </w:r>
      <w:r>
        <w:rPr>
          <w:rFonts w:hint="eastAsia" w:ascii="宋体" w:hAnsi="宋体" w:eastAsia="宋体" w:cs="宋体"/>
          <w:color w:val="auto"/>
          <w:kern w:val="0"/>
          <w:sz w:val="21"/>
          <w:szCs w:val="21"/>
          <w:highlight w:val="none"/>
          <w:lang w:eastAsia="zh-CN"/>
        </w:rPr>
        <w:t>甲方</w:t>
      </w:r>
      <w:r>
        <w:rPr>
          <w:rFonts w:hint="eastAsia" w:ascii="宋体" w:hAnsi="宋体" w:eastAsia="宋体" w:cs="宋体"/>
          <w:color w:val="auto"/>
          <w:kern w:val="0"/>
          <w:sz w:val="21"/>
          <w:szCs w:val="21"/>
          <w:highlight w:val="none"/>
        </w:rPr>
        <w:t>有权要求</w:t>
      </w:r>
      <w:r>
        <w:rPr>
          <w:rFonts w:hint="eastAsia" w:ascii="宋体" w:hAnsi="宋体" w:eastAsia="宋体" w:cs="宋体"/>
          <w:color w:val="auto"/>
          <w:kern w:val="0"/>
          <w:sz w:val="21"/>
          <w:szCs w:val="21"/>
          <w:highlight w:val="none"/>
          <w:lang w:eastAsia="zh-CN"/>
        </w:rPr>
        <w:t>乙方</w:t>
      </w:r>
      <w:r>
        <w:rPr>
          <w:rFonts w:hint="eastAsia" w:ascii="宋体" w:hAnsi="宋体" w:eastAsia="宋体" w:cs="宋体"/>
          <w:color w:val="auto"/>
          <w:kern w:val="0"/>
          <w:szCs w:val="21"/>
          <w:highlight w:val="none"/>
          <w:u w:val="single"/>
          <w:lang w:val="en-US" w:eastAsia="zh-CN" w:bidi="ar"/>
        </w:rPr>
        <w:t xml:space="preserve">  </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 w:val="21"/>
          <w:szCs w:val="21"/>
          <w:highlight w:val="none"/>
        </w:rPr>
        <w:t>小时内到达</w:t>
      </w:r>
      <w:r>
        <w:rPr>
          <w:rFonts w:hint="eastAsia" w:ascii="宋体" w:hAnsi="宋体" w:eastAsia="宋体" w:cs="宋体"/>
          <w:color w:val="auto"/>
          <w:kern w:val="0"/>
          <w:sz w:val="21"/>
          <w:szCs w:val="21"/>
          <w:highlight w:val="none"/>
          <w:lang w:eastAsia="zh-CN"/>
        </w:rPr>
        <w:t>甲方</w:t>
      </w:r>
      <w:r>
        <w:rPr>
          <w:rFonts w:hint="eastAsia" w:ascii="宋体" w:hAnsi="宋体" w:eastAsia="宋体" w:cs="宋体"/>
          <w:color w:val="auto"/>
          <w:kern w:val="0"/>
          <w:sz w:val="21"/>
          <w:szCs w:val="21"/>
          <w:highlight w:val="none"/>
        </w:rPr>
        <w:t>指定地点，并于到位后</w:t>
      </w:r>
      <w:r>
        <w:rPr>
          <w:rFonts w:hint="eastAsia" w:ascii="宋体" w:hAnsi="宋体" w:eastAsia="宋体" w:cs="宋体"/>
          <w:color w:val="auto"/>
          <w:kern w:val="0"/>
          <w:szCs w:val="21"/>
          <w:highlight w:val="none"/>
          <w:u w:val="single"/>
          <w:lang w:val="en-US" w:eastAsia="zh-CN" w:bidi="ar"/>
        </w:rPr>
        <w:t xml:space="preserve">  </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 w:val="21"/>
          <w:szCs w:val="21"/>
          <w:highlight w:val="none"/>
        </w:rPr>
        <w:t>小时内提供解决方案。</w:t>
      </w:r>
    </w:p>
    <w:p w14:paraId="447F8736">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如车辆因质量因素造成的损坏，均由</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负责免费维修和更换备件。如属缺陷产品，按《缺陷汽车产品召回管理规定》召回。</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有权拒绝使用带有缺陷的或与合同要求不符的设备或零件，这些设备或零件由</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修好或更换，</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不负担所增加费用。在质保期内，</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如发现产品的质量、规格、性能、数量等与招标文件要求及</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投标文件响应承诺的不符，或发现产品无论由于任何原因存在隐藏缺陷、工艺问题或使用不良的材料的，或产品出现质量问题的，</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应承担更换或退货责任。</w:t>
      </w:r>
    </w:p>
    <w:p w14:paraId="7A78FC3A">
      <w:pPr>
        <w:spacing w:line="360" w:lineRule="auto"/>
        <w:ind w:firstLine="420" w:firstLineChars="200"/>
        <w:contextualSpacing/>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质保期内</w:t>
      </w:r>
      <w:r>
        <w:rPr>
          <w:rFonts w:hint="eastAsia" w:ascii="宋体" w:hAnsi="宋体" w:eastAsia="宋体" w:cs="宋体"/>
          <w:color w:val="auto"/>
          <w:sz w:val="21"/>
          <w:szCs w:val="21"/>
          <w:highlight w:val="none"/>
          <w:lang w:val="en-US" w:eastAsia="zh-CN"/>
        </w:rPr>
        <w:t>因质保问题产生的</w:t>
      </w:r>
      <w:r>
        <w:rPr>
          <w:rFonts w:hint="eastAsia" w:ascii="宋体" w:hAnsi="宋体" w:eastAsia="宋体" w:cs="宋体"/>
          <w:color w:val="auto"/>
          <w:sz w:val="21"/>
          <w:szCs w:val="21"/>
          <w:highlight w:val="none"/>
        </w:rPr>
        <w:t>全部</w:t>
      </w:r>
      <w:r>
        <w:rPr>
          <w:rFonts w:hint="eastAsia" w:ascii="宋体" w:hAnsi="宋体" w:eastAsia="宋体" w:cs="宋体"/>
          <w:color w:val="auto"/>
          <w:sz w:val="21"/>
          <w:szCs w:val="21"/>
          <w:highlight w:val="none"/>
          <w:lang w:val="en-US" w:eastAsia="zh-CN"/>
        </w:rPr>
        <w:t>费用</w:t>
      </w:r>
      <w:r>
        <w:rPr>
          <w:rFonts w:hint="eastAsia" w:ascii="宋体" w:hAnsi="宋体" w:eastAsia="宋体" w:cs="宋体"/>
          <w:color w:val="auto"/>
          <w:sz w:val="21"/>
          <w:szCs w:val="21"/>
          <w:highlight w:val="none"/>
        </w:rPr>
        <w:t>由</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自理</w:t>
      </w:r>
      <w:r>
        <w:rPr>
          <w:rFonts w:hint="eastAsia" w:ascii="宋体" w:hAnsi="宋体" w:eastAsia="宋体" w:cs="宋体"/>
          <w:color w:val="auto"/>
          <w:sz w:val="21"/>
          <w:szCs w:val="21"/>
          <w:highlight w:val="none"/>
          <w:lang w:val="en-US" w:eastAsia="zh-CN"/>
        </w:rPr>
        <w:t>，包括但不限于</w:t>
      </w:r>
      <w:r>
        <w:rPr>
          <w:rFonts w:hint="eastAsia" w:ascii="宋体" w:hAnsi="宋体" w:eastAsia="宋体" w:cs="宋体"/>
          <w:color w:val="auto"/>
          <w:sz w:val="21"/>
          <w:szCs w:val="21"/>
          <w:highlight w:val="none"/>
        </w:rPr>
        <w:t>服务费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修理费、配件费、拖车费、</w:t>
      </w:r>
      <w:r>
        <w:rPr>
          <w:rFonts w:hint="eastAsia" w:ascii="宋体" w:hAnsi="宋体" w:eastAsia="宋体" w:cs="宋体"/>
          <w:color w:val="auto"/>
          <w:sz w:val="21"/>
          <w:szCs w:val="21"/>
          <w:highlight w:val="none"/>
        </w:rPr>
        <w:t>运费、购置费、测试费、人工等各项费用（包括进口关税和增值税等）。</w:t>
      </w:r>
    </w:p>
    <w:p w14:paraId="30B33AAB">
      <w:pPr>
        <w:spacing w:line="360" w:lineRule="auto"/>
        <w:ind w:firstLine="420" w:firstLineChars="200"/>
        <w:contextualSpacing/>
        <w:jc w:val="left"/>
        <w:rPr>
          <w:rFonts w:hint="eastAsia"/>
          <w:color w:val="auto"/>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质保期内全部服务费（含更换零部件，达到用户需求书及合同约定条件的更换货物）和维修费及</w:t>
      </w:r>
      <w:r>
        <w:rPr>
          <w:rFonts w:hint="eastAsia" w:ascii="宋体" w:hAnsi="宋体" w:eastAsia="宋体" w:cs="宋体"/>
          <w:color w:val="auto"/>
          <w:kern w:val="0"/>
          <w:sz w:val="21"/>
          <w:szCs w:val="21"/>
          <w:highlight w:val="none"/>
          <w:lang w:val="en-US" w:eastAsia="zh-CN"/>
        </w:rPr>
        <w:t>乙方</w:t>
      </w:r>
      <w:r>
        <w:rPr>
          <w:rFonts w:hint="eastAsia" w:ascii="宋体" w:hAnsi="宋体" w:eastAsia="宋体" w:cs="宋体"/>
          <w:color w:val="auto"/>
          <w:kern w:val="0"/>
          <w:sz w:val="21"/>
          <w:szCs w:val="21"/>
          <w:highlight w:val="none"/>
        </w:rPr>
        <w:t>技术服务人员的一切费用由</w:t>
      </w:r>
      <w:r>
        <w:rPr>
          <w:rFonts w:hint="eastAsia" w:ascii="宋体" w:hAnsi="宋体" w:eastAsia="宋体" w:cs="宋体"/>
          <w:color w:val="auto"/>
          <w:kern w:val="0"/>
          <w:sz w:val="21"/>
          <w:szCs w:val="21"/>
          <w:highlight w:val="none"/>
          <w:lang w:val="en-US" w:eastAsia="zh-CN"/>
        </w:rPr>
        <w:t>乙方</w:t>
      </w:r>
      <w:r>
        <w:rPr>
          <w:rFonts w:hint="eastAsia" w:ascii="宋体" w:hAnsi="宋体" w:eastAsia="宋体" w:cs="宋体"/>
          <w:color w:val="auto"/>
          <w:kern w:val="0"/>
          <w:sz w:val="21"/>
          <w:szCs w:val="21"/>
          <w:highlight w:val="none"/>
        </w:rPr>
        <w:t>自理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包括但不限于为完成质保期的工作而产生的运费、购置费、测试费、人工等各项费用（包括进口关税和增值税等）。</w:t>
      </w:r>
    </w:p>
    <w:p w14:paraId="1E65D848">
      <w:pPr>
        <w:spacing w:line="360" w:lineRule="auto"/>
        <w:ind w:firstLine="420" w:firstLineChars="200"/>
        <w:contextualSpacing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车辆下装部分，</w:t>
      </w:r>
      <w:r>
        <w:rPr>
          <w:rFonts w:hint="eastAsia" w:ascii="宋体" w:hAnsi="宋体" w:eastAsia="宋体" w:cs="宋体"/>
          <w:color w:val="auto"/>
          <w:sz w:val="21"/>
          <w:szCs w:val="21"/>
          <w:highlight w:val="none"/>
          <w:lang w:eastAsia="zh-CN"/>
        </w:rPr>
        <w:t>乙方</w:t>
      </w:r>
      <w:r>
        <w:rPr>
          <w:rFonts w:hint="eastAsia" w:ascii="宋体" w:hAnsi="宋体" w:eastAsia="宋体" w:cs="宋体"/>
          <w:color w:val="auto"/>
          <w:sz w:val="21"/>
          <w:szCs w:val="21"/>
          <w:highlight w:val="none"/>
        </w:rPr>
        <w:t>须根据</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要求，在东莞市范围内提供不少于一个售后服务点，且须满足提供全部售后服务，否则</w:t>
      </w:r>
      <w:r>
        <w:rPr>
          <w:rFonts w:hint="eastAsia" w:ascii="宋体" w:hAnsi="宋体" w:eastAsia="宋体" w:cs="宋体"/>
          <w:color w:val="auto"/>
          <w:sz w:val="21"/>
          <w:szCs w:val="21"/>
          <w:highlight w:val="none"/>
          <w:lang w:val="en-US" w:eastAsia="zh-CN"/>
        </w:rPr>
        <w:t>按本合同“</w:t>
      </w:r>
      <w:r>
        <w:rPr>
          <w:rFonts w:hint="eastAsia" w:ascii="宋体" w:hAnsi="宋体" w:eastAsia="宋体" w:cs="宋体"/>
          <w:b w:val="0"/>
          <w:color w:val="auto"/>
          <w:kern w:val="2"/>
          <w:szCs w:val="21"/>
          <w:highlight w:val="none"/>
        </w:rPr>
        <w:t>十三、虚假承诺</w:t>
      </w:r>
      <w:r>
        <w:rPr>
          <w:rFonts w:hint="eastAsia" w:ascii="宋体" w:hAnsi="宋体" w:eastAsia="宋体" w:cs="宋体"/>
          <w:color w:val="auto"/>
          <w:sz w:val="21"/>
          <w:szCs w:val="21"/>
          <w:highlight w:val="none"/>
          <w:lang w:val="en-US" w:eastAsia="zh-CN"/>
        </w:rPr>
        <w:t xml:space="preserve"> 第1款”执行</w:t>
      </w:r>
      <w:r>
        <w:rPr>
          <w:rFonts w:hint="eastAsia" w:ascii="宋体" w:hAnsi="宋体" w:eastAsia="宋体" w:cs="宋体"/>
          <w:color w:val="auto"/>
          <w:sz w:val="21"/>
          <w:szCs w:val="21"/>
          <w:highlight w:val="none"/>
        </w:rPr>
        <w:t>。</w:t>
      </w:r>
    </w:p>
    <w:p w14:paraId="68605E61">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九、履约担保</w:t>
      </w:r>
    </w:p>
    <w:p w14:paraId="511AFE00">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1、乙方应在签订合同前且中标通知书发出之日起30</w:t>
      </w:r>
      <w:r>
        <w:rPr>
          <w:rFonts w:hint="eastAsia" w:ascii="宋体" w:hAnsi="宋体" w:eastAsia="宋体" w:cs="Times New Roman"/>
          <w:bCs/>
          <w:color w:val="auto"/>
          <w:kern w:val="0"/>
          <w:szCs w:val="21"/>
          <w:highlight w:val="none"/>
          <w:lang w:val="en-US" w:eastAsia="zh-CN"/>
        </w:rPr>
        <w:t>个自然日</w:t>
      </w:r>
      <w:r>
        <w:rPr>
          <w:rFonts w:hint="eastAsia" w:ascii="宋体" w:hAnsi="宋体" w:eastAsia="宋体" w:cs="Times New Roman"/>
          <w:bCs/>
          <w:color w:val="auto"/>
          <w:kern w:val="0"/>
          <w:szCs w:val="21"/>
          <w:highlight w:val="none"/>
        </w:rPr>
        <w:t>内，按招标文件规定金额及形式要求</w:t>
      </w:r>
      <w:r>
        <w:rPr>
          <w:rFonts w:hint="eastAsia" w:ascii="宋体" w:hAnsi="宋体" w:eastAsia="宋体" w:cs="Times New Roman"/>
          <w:bCs/>
          <w:color w:val="auto"/>
          <w:kern w:val="0"/>
          <w:szCs w:val="21"/>
          <w:highlight w:val="none"/>
          <w:lang w:val="en-US" w:eastAsia="zh-CN"/>
        </w:rPr>
        <w:t>提供</w:t>
      </w:r>
      <w:r>
        <w:rPr>
          <w:rFonts w:hint="eastAsia" w:ascii="宋体" w:hAnsi="宋体" w:eastAsia="宋体" w:cs="Times New Roman"/>
          <w:bCs/>
          <w:color w:val="auto"/>
          <w:kern w:val="0"/>
          <w:szCs w:val="21"/>
          <w:highlight w:val="none"/>
        </w:rPr>
        <w:t>不可撤销银行履约保函（或履约保证金或履约保证保险或担保公司履约担保书）作为履约担保（所需费用由乙方自行承担），否则甲方可有权取消乙方的中标资格，并不予退还其投标保证金。其中，采用履约保证金（银行转账形式）的金额为</w:t>
      </w:r>
      <w:r>
        <w:rPr>
          <w:rFonts w:hint="eastAsia" w:ascii="宋体" w:hAnsi="宋体" w:eastAsia="宋体" w:cs="Times New Roman"/>
          <w:color w:val="auto"/>
          <w:kern w:val="0"/>
          <w:szCs w:val="21"/>
          <w:highlight w:val="none"/>
        </w:rPr>
        <w:t>合同含税总价</w:t>
      </w:r>
      <w:r>
        <w:rPr>
          <w:rFonts w:hint="eastAsia" w:ascii="宋体" w:hAnsi="宋体" w:eastAsia="宋体" w:cs="Times New Roman"/>
          <w:bCs/>
          <w:color w:val="auto"/>
          <w:kern w:val="0"/>
          <w:szCs w:val="21"/>
          <w:highlight w:val="none"/>
        </w:rPr>
        <w:t>的5%，采用不可撤销银行履约保函（履约保证保险）形式的金额为</w:t>
      </w:r>
      <w:r>
        <w:rPr>
          <w:rFonts w:hint="eastAsia" w:ascii="宋体" w:hAnsi="宋体" w:eastAsia="宋体" w:cs="Times New Roman"/>
          <w:color w:val="auto"/>
          <w:kern w:val="0"/>
          <w:szCs w:val="21"/>
          <w:highlight w:val="none"/>
        </w:rPr>
        <w:t>合同含税总价</w:t>
      </w:r>
      <w:r>
        <w:rPr>
          <w:rFonts w:hint="eastAsia" w:ascii="宋体" w:hAnsi="宋体" w:eastAsia="宋体" w:cs="Times New Roman"/>
          <w:bCs/>
          <w:color w:val="auto"/>
          <w:kern w:val="0"/>
          <w:szCs w:val="21"/>
          <w:highlight w:val="none"/>
        </w:rPr>
        <w:t>的8%，采用担保公司履约担保书形式的金额为</w:t>
      </w:r>
      <w:r>
        <w:rPr>
          <w:rFonts w:hint="eastAsia" w:ascii="宋体" w:hAnsi="宋体" w:eastAsia="宋体" w:cs="Times New Roman"/>
          <w:color w:val="auto"/>
          <w:kern w:val="0"/>
          <w:szCs w:val="21"/>
          <w:highlight w:val="none"/>
        </w:rPr>
        <w:t>合同含税总价</w:t>
      </w:r>
      <w:r>
        <w:rPr>
          <w:rFonts w:hint="eastAsia" w:ascii="宋体" w:hAnsi="宋体" w:eastAsia="宋体" w:cs="Times New Roman"/>
          <w:bCs/>
          <w:color w:val="auto"/>
          <w:kern w:val="0"/>
          <w:szCs w:val="21"/>
          <w:highlight w:val="none"/>
        </w:rPr>
        <w:t>的10%。履约担保形式及金额由乙方从以下方式中任选一种：</w:t>
      </w:r>
    </w:p>
    <w:p w14:paraId="0A6CC581">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rPr>
        <w:t xml:space="preserve"> 履约保证金（银行转账形式）金额【</w:t>
      </w:r>
      <w:r>
        <w:rPr>
          <w:rFonts w:hint="eastAsia" w:ascii="宋体" w:hAnsi="宋体" w:eastAsia="宋体" w:cs="Times New Roman"/>
          <w:color w:val="auto"/>
          <w:kern w:val="0"/>
          <w:szCs w:val="21"/>
          <w:highlight w:val="none"/>
        </w:rPr>
        <w:t>合同含税总价</w:t>
      </w:r>
      <w:r>
        <w:rPr>
          <w:rFonts w:hint="eastAsia" w:ascii="宋体" w:hAnsi="宋体" w:eastAsia="宋体" w:cs="Times New Roman"/>
          <w:bCs/>
          <w:color w:val="auto"/>
          <w:kern w:val="0"/>
          <w:szCs w:val="21"/>
          <w:highlight w:val="none"/>
        </w:rPr>
        <w:t>的5%】为人民币</w:t>
      </w:r>
      <w:r>
        <w:rPr>
          <w:rFonts w:hint="eastAsia" w:ascii="宋体" w:hAnsi="宋体" w:eastAsia="宋体" w:cs="Times New Roman"/>
          <w:bCs/>
          <w:color w:val="auto"/>
          <w:kern w:val="0"/>
          <w:szCs w:val="21"/>
          <w:highlight w:val="none"/>
          <w:u w:val="single"/>
          <w:lang w:eastAsia="zh-CN"/>
        </w:rPr>
        <w:t>￥</w:t>
      </w:r>
      <w:r>
        <w:rPr>
          <w:rFonts w:hint="eastAsia" w:ascii="宋体" w:hAnsi="宋体" w:eastAsia="宋体" w:cs="Times New Roman"/>
          <w:bCs/>
          <w:color w:val="auto"/>
          <w:kern w:val="0"/>
          <w:szCs w:val="21"/>
          <w:highlight w:val="none"/>
          <w:u w:val="single"/>
          <w:lang w:val="en-US" w:eastAsia="zh-CN"/>
        </w:rPr>
        <w:t xml:space="preserve">      元</w:t>
      </w:r>
      <w:r>
        <w:rPr>
          <w:rFonts w:hint="eastAsia" w:ascii="宋体" w:hAnsi="宋体" w:eastAsia="宋体" w:cs="Times New Roman"/>
          <w:bCs/>
          <w:color w:val="auto"/>
          <w:kern w:val="0"/>
          <w:szCs w:val="21"/>
          <w:highlight w:val="none"/>
        </w:rPr>
        <w:t>；</w:t>
      </w:r>
    </w:p>
    <w:p w14:paraId="0707C9A4">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sym w:font="Wingdings 2" w:char="00A3"/>
      </w:r>
      <w:r>
        <w:rPr>
          <w:rFonts w:hint="eastAsia" w:ascii="宋体" w:hAnsi="宋体" w:eastAsia="宋体" w:cs="Times New Roman"/>
          <w:bCs/>
          <w:color w:val="auto"/>
          <w:kern w:val="0"/>
          <w:szCs w:val="21"/>
          <w:highlight w:val="none"/>
        </w:rPr>
        <w:t xml:space="preserve"> 银行不可撤销履约保函金额【</w:t>
      </w:r>
      <w:r>
        <w:rPr>
          <w:rFonts w:hint="eastAsia" w:ascii="宋体" w:hAnsi="宋体" w:eastAsia="宋体" w:cs="Times New Roman"/>
          <w:color w:val="auto"/>
          <w:kern w:val="0"/>
          <w:szCs w:val="21"/>
          <w:highlight w:val="none"/>
        </w:rPr>
        <w:t>合同含税总价</w:t>
      </w:r>
      <w:r>
        <w:rPr>
          <w:rFonts w:hint="eastAsia" w:ascii="宋体" w:hAnsi="宋体" w:eastAsia="宋体" w:cs="Times New Roman"/>
          <w:bCs/>
          <w:color w:val="auto"/>
          <w:kern w:val="0"/>
          <w:szCs w:val="21"/>
          <w:highlight w:val="none"/>
        </w:rPr>
        <w:t>的8%】为人民币</w:t>
      </w:r>
      <w:r>
        <w:rPr>
          <w:rFonts w:hint="eastAsia" w:ascii="宋体" w:hAnsi="宋体" w:eastAsia="宋体" w:cs="Times New Roman"/>
          <w:bCs/>
          <w:color w:val="auto"/>
          <w:kern w:val="0"/>
          <w:szCs w:val="21"/>
          <w:highlight w:val="none"/>
          <w:u w:val="single"/>
        </w:rPr>
        <w:t xml:space="preserve"> </w:t>
      </w:r>
      <w:r>
        <w:rPr>
          <w:rFonts w:hint="eastAsia" w:ascii="宋体" w:hAnsi="宋体" w:eastAsia="宋体" w:cs="Times New Roman"/>
          <w:bCs/>
          <w:color w:val="auto"/>
          <w:kern w:val="0"/>
          <w:szCs w:val="21"/>
          <w:highlight w:val="none"/>
          <w:u w:val="single"/>
          <w:lang w:eastAsia="zh-CN"/>
        </w:rPr>
        <w:t>￥</w:t>
      </w:r>
      <w:r>
        <w:rPr>
          <w:rFonts w:hint="eastAsia" w:ascii="宋体" w:hAnsi="宋体" w:eastAsia="宋体" w:cs="Times New Roman"/>
          <w:bCs/>
          <w:color w:val="auto"/>
          <w:kern w:val="0"/>
          <w:szCs w:val="21"/>
          <w:highlight w:val="none"/>
          <w:u w:val="single"/>
          <w:lang w:val="en-US" w:eastAsia="zh-CN"/>
        </w:rPr>
        <w:t xml:space="preserve">     </w:t>
      </w:r>
      <w:r>
        <w:rPr>
          <w:rFonts w:hint="eastAsia" w:ascii="宋体" w:hAnsi="宋体" w:eastAsia="宋体" w:cs="Times New Roman"/>
          <w:bCs/>
          <w:color w:val="auto"/>
          <w:kern w:val="0"/>
          <w:szCs w:val="21"/>
          <w:highlight w:val="none"/>
          <w:u w:val="single"/>
        </w:rPr>
        <w:t xml:space="preserve"> </w:t>
      </w:r>
      <w:r>
        <w:rPr>
          <w:rFonts w:hint="eastAsia" w:ascii="宋体" w:hAnsi="宋体" w:eastAsia="宋体" w:cs="Times New Roman"/>
          <w:bCs/>
          <w:color w:val="auto"/>
          <w:kern w:val="0"/>
          <w:szCs w:val="21"/>
          <w:highlight w:val="none"/>
          <w:u w:val="single"/>
          <w:lang w:val="en-US" w:eastAsia="zh-CN"/>
        </w:rPr>
        <w:t>元</w:t>
      </w:r>
      <w:r>
        <w:rPr>
          <w:rFonts w:hint="eastAsia" w:ascii="宋体" w:hAnsi="宋体" w:eastAsia="宋体" w:cs="Times New Roman"/>
          <w:bCs/>
          <w:color w:val="auto"/>
          <w:kern w:val="0"/>
          <w:szCs w:val="21"/>
          <w:highlight w:val="none"/>
        </w:rPr>
        <w:t>；</w:t>
      </w:r>
    </w:p>
    <w:p w14:paraId="7AE5713B">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宋体"/>
          <w:bCs/>
          <w:color w:val="auto"/>
          <w:kern w:val="0"/>
          <w:szCs w:val="21"/>
          <w:highlight w:val="none"/>
          <w:lang w:bidi="ar"/>
        </w:rPr>
        <w:t>□</w:t>
      </w:r>
      <w:r>
        <w:rPr>
          <w:rFonts w:hint="eastAsia" w:ascii="宋体" w:hAnsi="宋体" w:eastAsia="宋体" w:cs="宋体"/>
          <w:bCs/>
          <w:color w:val="auto"/>
          <w:kern w:val="0"/>
          <w:szCs w:val="21"/>
          <w:highlight w:val="none"/>
          <w:lang w:val="en-US" w:eastAsia="zh-CN" w:bidi="ar"/>
        </w:rPr>
        <w:t xml:space="preserve"> </w:t>
      </w:r>
      <w:r>
        <w:rPr>
          <w:rFonts w:hint="eastAsia" w:ascii="宋体" w:hAnsi="宋体" w:eastAsia="宋体" w:cs="宋体"/>
          <w:bCs/>
          <w:color w:val="auto"/>
          <w:kern w:val="0"/>
          <w:szCs w:val="21"/>
          <w:highlight w:val="none"/>
          <w:lang w:bidi="ar"/>
        </w:rPr>
        <w:t>履约保证保险凭证金额【</w:t>
      </w:r>
      <w:r>
        <w:rPr>
          <w:rFonts w:hint="eastAsia" w:ascii="宋体" w:hAnsi="宋体" w:eastAsia="宋体" w:cs="Times New Roman"/>
          <w:color w:val="auto"/>
          <w:kern w:val="0"/>
          <w:szCs w:val="21"/>
          <w:highlight w:val="none"/>
        </w:rPr>
        <w:t>合同含税总价</w:t>
      </w:r>
      <w:r>
        <w:rPr>
          <w:rFonts w:hint="eastAsia" w:ascii="宋体" w:hAnsi="宋体" w:eastAsia="宋体" w:cs="宋体"/>
          <w:bCs/>
          <w:color w:val="auto"/>
          <w:kern w:val="0"/>
          <w:szCs w:val="21"/>
          <w:highlight w:val="none"/>
          <w:lang w:bidi="ar"/>
        </w:rPr>
        <w:t>的8%】为人民币</w:t>
      </w:r>
      <w:r>
        <w:rPr>
          <w:rFonts w:hint="eastAsia" w:ascii="宋体" w:hAnsi="宋体" w:eastAsia="宋体" w:cs="Times New Roman"/>
          <w:bCs/>
          <w:color w:val="auto"/>
          <w:kern w:val="0"/>
          <w:szCs w:val="21"/>
          <w:highlight w:val="none"/>
          <w:u w:val="single"/>
          <w:lang w:eastAsia="zh-CN"/>
        </w:rPr>
        <w:t>￥</w:t>
      </w:r>
      <w:r>
        <w:rPr>
          <w:rFonts w:hint="eastAsia" w:ascii="宋体" w:hAnsi="宋体" w:eastAsia="宋体" w:cs="Times New Roman"/>
          <w:bCs/>
          <w:color w:val="auto"/>
          <w:kern w:val="0"/>
          <w:szCs w:val="21"/>
          <w:highlight w:val="none"/>
          <w:u w:val="single"/>
          <w:lang w:bidi="ar"/>
        </w:rPr>
        <w:t xml:space="preserve">      </w:t>
      </w:r>
      <w:r>
        <w:rPr>
          <w:rFonts w:hint="eastAsia" w:ascii="宋体" w:hAnsi="宋体" w:eastAsia="宋体" w:cs="Times New Roman"/>
          <w:bCs/>
          <w:color w:val="auto"/>
          <w:kern w:val="0"/>
          <w:szCs w:val="21"/>
          <w:highlight w:val="none"/>
          <w:u w:val="single"/>
          <w:lang w:val="en-US" w:eastAsia="zh-CN" w:bidi="ar"/>
        </w:rPr>
        <w:t>元</w:t>
      </w:r>
      <w:r>
        <w:rPr>
          <w:rFonts w:hint="eastAsia" w:ascii="宋体" w:hAnsi="宋体" w:eastAsia="宋体" w:cs="宋体"/>
          <w:bCs/>
          <w:color w:val="auto"/>
          <w:kern w:val="0"/>
          <w:szCs w:val="21"/>
          <w:highlight w:val="none"/>
          <w:lang w:bidi="ar"/>
        </w:rPr>
        <w:t>；</w:t>
      </w:r>
    </w:p>
    <w:p w14:paraId="4A9EDB06">
      <w:pPr>
        <w:autoSpaceDE w:val="0"/>
        <w:autoSpaceDN w:val="0"/>
        <w:adjustRightInd w:val="0"/>
        <w:spacing w:line="360" w:lineRule="auto"/>
        <w:ind w:firstLine="420" w:firstLineChars="200"/>
        <w:jc w:val="left"/>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rPr>
        <w:t xml:space="preserve"> 担保公司履约担保书金额【</w:t>
      </w:r>
      <w:r>
        <w:rPr>
          <w:rFonts w:hint="eastAsia" w:ascii="宋体" w:hAnsi="宋体" w:eastAsia="宋体" w:cs="Times New Roman"/>
          <w:color w:val="auto"/>
          <w:kern w:val="0"/>
          <w:szCs w:val="21"/>
          <w:highlight w:val="none"/>
        </w:rPr>
        <w:t>合同含税总价</w:t>
      </w:r>
      <w:r>
        <w:rPr>
          <w:rFonts w:hint="eastAsia" w:ascii="宋体" w:hAnsi="宋体" w:eastAsia="宋体" w:cs="Times New Roman"/>
          <w:bCs/>
          <w:color w:val="auto"/>
          <w:kern w:val="0"/>
          <w:szCs w:val="21"/>
          <w:highlight w:val="none"/>
        </w:rPr>
        <w:t>的10%】为人民币</w:t>
      </w:r>
      <w:r>
        <w:rPr>
          <w:rFonts w:hint="eastAsia" w:ascii="宋体" w:hAnsi="宋体" w:eastAsia="宋体" w:cs="Times New Roman"/>
          <w:bCs/>
          <w:color w:val="auto"/>
          <w:kern w:val="0"/>
          <w:szCs w:val="21"/>
          <w:highlight w:val="none"/>
          <w:u w:val="single"/>
          <w:lang w:eastAsia="zh-CN"/>
        </w:rPr>
        <w:t>￥</w:t>
      </w:r>
      <w:r>
        <w:rPr>
          <w:rFonts w:hint="eastAsia" w:ascii="宋体" w:hAnsi="宋体" w:eastAsia="宋体" w:cs="Times New Roman"/>
          <w:bCs/>
          <w:color w:val="auto"/>
          <w:kern w:val="0"/>
          <w:szCs w:val="21"/>
          <w:highlight w:val="none"/>
          <w:u w:val="single"/>
          <w:lang w:val="en-US" w:eastAsia="zh-CN"/>
        </w:rPr>
        <w:t xml:space="preserve">      元</w:t>
      </w:r>
      <w:r>
        <w:rPr>
          <w:rFonts w:hint="eastAsia" w:ascii="宋体" w:hAnsi="宋体" w:eastAsia="宋体" w:cs="Times New Roman"/>
          <w:bCs/>
          <w:color w:val="auto"/>
          <w:kern w:val="0"/>
          <w:szCs w:val="21"/>
          <w:highlight w:val="none"/>
        </w:rPr>
        <w:t>。</w:t>
      </w:r>
    </w:p>
    <w:p w14:paraId="6E357C08">
      <w:pPr>
        <w:spacing w:line="360" w:lineRule="auto"/>
        <w:ind w:right="-483"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合同履行过程中，乙方给甲方造成的损失超过履约担保数额的，乙方还应当对超过部分予以赔偿，甲方</w:t>
      </w:r>
      <w:r>
        <w:rPr>
          <w:rFonts w:hint="eastAsia" w:ascii="宋体" w:hAnsi="宋体" w:eastAsia="宋体" w:cs="宋体"/>
          <w:color w:val="auto"/>
          <w:szCs w:val="24"/>
          <w:highlight w:val="none"/>
          <w:lang w:val="en-US" w:eastAsia="zh-CN"/>
        </w:rPr>
        <w:t>还有权</w:t>
      </w:r>
      <w:r>
        <w:rPr>
          <w:rFonts w:hint="eastAsia" w:ascii="宋体" w:hAnsi="宋体" w:eastAsia="宋体" w:cs="宋体"/>
          <w:color w:val="auto"/>
          <w:szCs w:val="24"/>
          <w:highlight w:val="none"/>
        </w:rPr>
        <w:t>依法追究乙方的相应责任。</w:t>
      </w:r>
    </w:p>
    <w:p w14:paraId="3A862A9B">
      <w:pPr>
        <w:spacing w:line="360" w:lineRule="auto"/>
        <w:ind w:right="-483" w:firstLine="630" w:firstLineChars="300"/>
        <w:rPr>
          <w:rFonts w:ascii="宋体" w:hAnsi="宋体" w:eastAsia="宋体" w:cs="宋体"/>
          <w:color w:val="auto"/>
          <w:szCs w:val="24"/>
          <w:highlight w:val="none"/>
        </w:rPr>
      </w:pPr>
      <w:r>
        <w:rPr>
          <w:rFonts w:hint="eastAsia" w:ascii="宋体" w:hAnsi="宋体" w:eastAsia="宋体" w:cs="宋体"/>
          <w:bCs/>
          <w:color w:val="auto"/>
          <w:szCs w:val="21"/>
          <w:highlight w:val="none"/>
          <w:lang w:val="en-US" w:eastAsia="zh-CN"/>
        </w:rPr>
        <w:t>东莞市水务环境投资控股集团管网有限公司</w:t>
      </w:r>
      <w:r>
        <w:rPr>
          <w:rFonts w:hint="eastAsia" w:ascii="宋体" w:hAnsi="宋体" w:eastAsia="宋体" w:cs="宋体"/>
          <w:color w:val="auto"/>
          <w:szCs w:val="24"/>
          <w:highlight w:val="none"/>
        </w:rPr>
        <w:t>履约保证金收款账号为：</w:t>
      </w:r>
    </w:p>
    <w:p w14:paraId="4AD3DCB4">
      <w:pPr>
        <w:snapToGrid w:val="0"/>
        <w:spacing w:line="360" w:lineRule="auto"/>
        <w:ind w:left="548" w:leftChars="261" w:firstLine="105" w:firstLineChars="50"/>
        <w:rPr>
          <w:rFonts w:ascii="宋体" w:hAnsi="宋体" w:eastAsia="宋体" w:cs="宋体"/>
          <w:color w:val="auto"/>
          <w:highlight w:val="none"/>
        </w:rPr>
      </w:pPr>
      <w:r>
        <w:rPr>
          <w:rFonts w:hint="eastAsia" w:ascii="宋体" w:hAnsi="宋体" w:eastAsia="宋体" w:cs="宋体"/>
          <w:color w:val="auto"/>
          <w:highlight w:val="none"/>
        </w:rPr>
        <w:t>开户名称：</w:t>
      </w:r>
      <w:r>
        <w:rPr>
          <w:rFonts w:hint="eastAsia" w:ascii="宋体" w:hAnsi="宋体" w:eastAsia="宋体" w:cs="宋体"/>
          <w:bCs/>
          <w:color w:val="auto"/>
          <w:szCs w:val="21"/>
          <w:highlight w:val="none"/>
          <w:lang w:val="en-US" w:eastAsia="zh-CN"/>
        </w:rPr>
        <w:t>东莞市水务环境投资控股集团管网有限公司</w:t>
      </w:r>
    </w:p>
    <w:p w14:paraId="684ED2D3">
      <w:pPr>
        <w:snapToGrid w:val="0"/>
        <w:spacing w:line="360" w:lineRule="auto"/>
        <w:ind w:left="548" w:leftChars="261" w:firstLine="105" w:firstLineChars="50"/>
        <w:rPr>
          <w:rFonts w:ascii="宋体" w:hAnsi="宋体" w:eastAsia="宋体" w:cs="宋体"/>
          <w:color w:val="auto"/>
          <w:highlight w:val="none"/>
        </w:rPr>
      </w:pPr>
      <w:r>
        <w:rPr>
          <w:rFonts w:hint="eastAsia" w:ascii="宋体" w:hAnsi="宋体" w:eastAsia="宋体" w:cs="宋体"/>
          <w:color w:val="auto"/>
          <w:highlight w:val="none"/>
        </w:rPr>
        <w:t>银行账号：8114801014000043052</w:t>
      </w:r>
    </w:p>
    <w:p w14:paraId="0F9453C8">
      <w:pPr>
        <w:snapToGrid w:val="0"/>
        <w:spacing w:line="360" w:lineRule="auto"/>
        <w:ind w:left="548" w:leftChars="261" w:firstLine="105" w:firstLineChars="50"/>
        <w:rPr>
          <w:rFonts w:ascii="宋体" w:hAnsi="宋体" w:eastAsia="宋体" w:cs="宋体"/>
          <w:bCs/>
          <w:color w:val="auto"/>
          <w:szCs w:val="21"/>
          <w:highlight w:val="none"/>
        </w:rPr>
      </w:pPr>
      <w:r>
        <w:rPr>
          <w:rFonts w:hint="eastAsia" w:ascii="宋体" w:hAnsi="宋体" w:eastAsia="宋体" w:cs="宋体"/>
          <w:color w:val="auto"/>
          <w:highlight w:val="none"/>
        </w:rPr>
        <w:t>开户银行：中信银行东莞分行营业部</w:t>
      </w:r>
    </w:p>
    <w:p w14:paraId="1F9A84C9">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2、履约担保用于补偿甲方因乙方不能完全履行其合同义务而蒙受的损失或其他合同约定的事项，如发生下列任一情况时，甲方除有权依合同追究乙方违约责任外，还有权提取履约担保并进行相应处理：</w:t>
      </w:r>
    </w:p>
    <w:p w14:paraId="57A3B6AA">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（1）乙方将合同项下乙方的权利义务全部转让给第三方，或未经甲方书面同意将部分权利义务转让给第三方的，甲方可扣除其10%的履约担保。</w:t>
      </w:r>
    </w:p>
    <w:p w14:paraId="5B14CC40">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（2）在合同履行期间，乙方怠于履行合同义务，经甲方通知或要求承担违约金后仍拒不改正的，甲方可扣除其10%的履约担保。</w:t>
      </w:r>
    </w:p>
    <w:p w14:paraId="49CC61B3">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3）在合同履行期间，因乙方货物、服务质量问题造成损害、侵权损失（包括但不限于甲方（含其人员）经济损失、乙方所雇人员及第三人人身财产损失等）、拖欠原材料供应商货款或与其所雇用员工发生劳资纠纷、上访、闹事或其他影响甲方生产经营等情况而其未及时妥善处理的，甲方有权使用履约担保予以支付或作出相应处理，由此产生的一切法律后果由乙方承担。</w:t>
      </w:r>
    </w:p>
    <w:p w14:paraId="2BC26928">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w:t>
      </w:r>
      <w:r>
        <w:rPr>
          <w:rFonts w:hint="eastAsia" w:ascii="宋体" w:hAnsi="宋体" w:eastAsia="宋体" w:cs="Times New Roman"/>
          <w:bCs/>
          <w:color w:val="auto"/>
          <w:kern w:val="0"/>
          <w:szCs w:val="21"/>
          <w:highlight w:val="none"/>
          <w:lang w:val="en-US" w:eastAsia="zh-CN"/>
        </w:rPr>
        <w:t>4</w:t>
      </w:r>
      <w:r>
        <w:rPr>
          <w:rFonts w:hint="eastAsia" w:ascii="宋体" w:hAnsi="宋体" w:eastAsia="宋体" w:cs="Times New Roman"/>
          <w:bCs/>
          <w:color w:val="auto"/>
          <w:kern w:val="0"/>
          <w:szCs w:val="21"/>
          <w:highlight w:val="none"/>
        </w:rPr>
        <w:t>）合同期内，乙方不能及时完成合同某项义务的，甲方有权</w:t>
      </w:r>
      <w:r>
        <w:rPr>
          <w:rFonts w:hint="eastAsia" w:ascii="宋体" w:hAnsi="宋体" w:eastAsia="宋体" w:cs="宋体"/>
          <w:bCs/>
          <w:color w:val="auto"/>
          <w:kern w:val="0"/>
          <w:szCs w:val="21"/>
          <w:highlight w:val="none"/>
          <w:lang w:bidi="ar"/>
        </w:rPr>
        <w:t>提取</w:t>
      </w:r>
      <w:r>
        <w:rPr>
          <w:rFonts w:hint="eastAsia" w:ascii="宋体" w:hAnsi="宋体" w:eastAsia="宋体" w:cs="Times New Roman"/>
          <w:bCs/>
          <w:color w:val="auto"/>
          <w:kern w:val="0"/>
          <w:szCs w:val="21"/>
          <w:highlight w:val="none"/>
        </w:rPr>
        <w:t>履约担保用于处理该项工作。</w:t>
      </w:r>
    </w:p>
    <w:p w14:paraId="5C65FED4">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w:t>
      </w:r>
      <w:r>
        <w:rPr>
          <w:rFonts w:hint="eastAsia" w:ascii="宋体" w:hAnsi="宋体" w:eastAsia="宋体" w:cs="Times New Roman"/>
          <w:bCs/>
          <w:color w:val="auto"/>
          <w:kern w:val="0"/>
          <w:szCs w:val="21"/>
          <w:highlight w:val="none"/>
          <w:lang w:val="en-US" w:eastAsia="zh-CN"/>
        </w:rPr>
        <w:t>5</w:t>
      </w:r>
      <w:r>
        <w:rPr>
          <w:rFonts w:hint="eastAsia" w:ascii="宋体" w:hAnsi="宋体" w:eastAsia="宋体" w:cs="Times New Roman"/>
          <w:bCs/>
          <w:color w:val="auto"/>
          <w:kern w:val="0"/>
          <w:szCs w:val="21"/>
          <w:highlight w:val="none"/>
        </w:rPr>
        <w:t>）其他根据本合同约定或法律规定，甲方可</w:t>
      </w:r>
      <w:r>
        <w:rPr>
          <w:rFonts w:hint="eastAsia" w:ascii="宋体" w:hAnsi="宋体" w:eastAsia="宋体" w:cs="宋体"/>
          <w:bCs/>
          <w:color w:val="auto"/>
          <w:kern w:val="0"/>
          <w:szCs w:val="21"/>
          <w:highlight w:val="none"/>
          <w:lang w:bidi="ar"/>
        </w:rPr>
        <w:t>启用</w:t>
      </w:r>
      <w:r>
        <w:rPr>
          <w:rFonts w:hint="eastAsia" w:ascii="宋体" w:hAnsi="宋体" w:eastAsia="宋体" w:cs="Times New Roman"/>
          <w:bCs/>
          <w:color w:val="auto"/>
          <w:kern w:val="0"/>
          <w:szCs w:val="21"/>
          <w:highlight w:val="none"/>
        </w:rPr>
        <w:t>履约担保的情形。</w:t>
      </w:r>
    </w:p>
    <w:p w14:paraId="23DA9E06">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3、乙方在依法完成本项目的全部供货且</w:t>
      </w:r>
      <w:r>
        <w:rPr>
          <w:rFonts w:hint="eastAsia" w:ascii="宋体" w:hAnsi="宋体" w:eastAsia="宋体" w:cs="Times New Roman"/>
          <w:bCs/>
          <w:color w:val="auto"/>
          <w:kern w:val="0"/>
          <w:szCs w:val="21"/>
          <w:highlight w:val="none"/>
          <w:lang w:val="en-US" w:eastAsia="zh-CN"/>
        </w:rPr>
        <w:t>验收合格并</w:t>
      </w:r>
      <w:r>
        <w:rPr>
          <w:rFonts w:hint="eastAsia" w:ascii="宋体" w:hAnsi="宋体" w:eastAsia="宋体" w:cs="Times New Roman"/>
          <w:color w:val="auto"/>
          <w:kern w:val="0"/>
          <w:szCs w:val="21"/>
          <w:highlight w:val="none"/>
        </w:rPr>
        <w:t>结算完毕</w:t>
      </w:r>
      <w:r>
        <w:rPr>
          <w:rFonts w:hint="eastAsia" w:ascii="宋体" w:hAnsi="宋体" w:eastAsia="宋体" w:cs="Times New Roman"/>
          <w:bCs/>
          <w:color w:val="auto"/>
          <w:kern w:val="0"/>
          <w:szCs w:val="21"/>
          <w:highlight w:val="none"/>
        </w:rPr>
        <w:t>满</w:t>
      </w:r>
      <w:r>
        <w:rPr>
          <w:rFonts w:ascii="宋体" w:hAnsi="宋体" w:eastAsia="宋体" w:cs="Times New Roman"/>
          <w:bCs/>
          <w:color w:val="auto"/>
          <w:kern w:val="0"/>
          <w:szCs w:val="21"/>
          <w:highlight w:val="none"/>
        </w:rPr>
        <w:t>28</w:t>
      </w:r>
      <w:r>
        <w:rPr>
          <w:rFonts w:hint="eastAsia" w:ascii="宋体" w:hAnsi="宋体" w:eastAsia="宋体" w:cs="Times New Roman"/>
          <w:bCs/>
          <w:color w:val="auto"/>
          <w:kern w:val="0"/>
          <w:szCs w:val="21"/>
          <w:highlight w:val="none"/>
          <w:lang w:val="en-US" w:eastAsia="zh-CN"/>
        </w:rPr>
        <w:t>个自然日</w:t>
      </w:r>
      <w:r>
        <w:rPr>
          <w:rFonts w:ascii="宋体" w:hAnsi="宋体" w:eastAsia="宋体" w:cs="Times New Roman"/>
          <w:bCs/>
          <w:color w:val="auto"/>
          <w:kern w:val="0"/>
          <w:szCs w:val="21"/>
          <w:highlight w:val="none"/>
        </w:rPr>
        <w:t>后</w:t>
      </w:r>
      <w:r>
        <w:rPr>
          <w:rFonts w:hint="eastAsia" w:ascii="宋体" w:hAnsi="宋体" w:eastAsia="宋体" w:cs="Times New Roman"/>
          <w:bCs/>
          <w:color w:val="auto"/>
          <w:kern w:val="0"/>
          <w:szCs w:val="21"/>
          <w:highlight w:val="none"/>
        </w:rPr>
        <w:t>，乙方可向</w:t>
      </w:r>
      <w:r>
        <w:rPr>
          <w:rFonts w:hint="eastAsia" w:ascii="宋体" w:hAnsi="宋体" w:eastAsia="宋体" w:cs="Times New Roman"/>
          <w:color w:val="auto"/>
          <w:kern w:val="0"/>
          <w:szCs w:val="21"/>
          <w:highlight w:val="none"/>
        </w:rPr>
        <w:t>甲方</w:t>
      </w:r>
      <w:r>
        <w:rPr>
          <w:rFonts w:hint="eastAsia" w:ascii="宋体" w:hAnsi="宋体" w:eastAsia="宋体" w:cs="Times New Roman"/>
          <w:bCs/>
          <w:color w:val="auto"/>
          <w:kern w:val="0"/>
          <w:szCs w:val="21"/>
          <w:highlight w:val="none"/>
        </w:rPr>
        <w:t>提交退回履约担保的申请。</w:t>
      </w:r>
      <w:r>
        <w:rPr>
          <w:rFonts w:hint="eastAsia" w:ascii="宋体" w:hAnsi="宋体" w:eastAsia="宋体" w:cs="Times New Roman"/>
          <w:color w:val="auto"/>
          <w:kern w:val="0"/>
          <w:szCs w:val="21"/>
          <w:highlight w:val="none"/>
        </w:rPr>
        <w:t>甲方</w:t>
      </w:r>
      <w:r>
        <w:rPr>
          <w:rFonts w:hint="eastAsia" w:ascii="宋体" w:hAnsi="宋体" w:eastAsia="宋体" w:cs="Times New Roman"/>
          <w:bCs/>
          <w:color w:val="auto"/>
          <w:kern w:val="0"/>
          <w:szCs w:val="21"/>
          <w:highlight w:val="none"/>
        </w:rPr>
        <w:t>审核无异议后，办理履约担保退还手续，甲方将履约担保余额退还乙方，履约保证金</w:t>
      </w:r>
      <w:r>
        <w:rPr>
          <w:rFonts w:hint="eastAsia" w:ascii="宋体" w:hAnsi="宋体" w:eastAsia="宋体" w:cs="宋体"/>
          <w:bCs/>
          <w:color w:val="auto"/>
          <w:kern w:val="0"/>
          <w:szCs w:val="21"/>
          <w:highlight w:val="none"/>
          <w:lang w:bidi="ar"/>
        </w:rPr>
        <w:t>（银行转账形式）</w:t>
      </w:r>
      <w:r>
        <w:rPr>
          <w:rFonts w:hint="eastAsia" w:ascii="宋体" w:hAnsi="宋体" w:eastAsia="宋体" w:cs="Times New Roman"/>
          <w:bCs/>
          <w:color w:val="auto"/>
          <w:kern w:val="0"/>
          <w:szCs w:val="21"/>
          <w:highlight w:val="none"/>
        </w:rPr>
        <w:t>形式提交的履约担保余额退回时一律以银行转账的形式无息退回到乙方的</w:t>
      </w:r>
      <w:r>
        <w:rPr>
          <w:rFonts w:hint="eastAsia" w:ascii="宋体" w:hAnsi="宋体" w:eastAsia="宋体" w:cs="Times New Roman"/>
          <w:bCs/>
          <w:color w:val="auto"/>
          <w:kern w:val="0"/>
          <w:szCs w:val="21"/>
          <w:highlight w:val="none"/>
          <w:lang w:eastAsia="zh-CN"/>
        </w:rPr>
        <w:t>账户</w:t>
      </w:r>
      <w:r>
        <w:rPr>
          <w:rFonts w:hint="eastAsia" w:ascii="宋体" w:hAnsi="宋体" w:eastAsia="宋体" w:cs="Times New Roman"/>
          <w:bCs/>
          <w:color w:val="auto"/>
          <w:kern w:val="0"/>
          <w:szCs w:val="21"/>
          <w:highlight w:val="none"/>
        </w:rPr>
        <w:t>。</w:t>
      </w:r>
    </w:p>
    <w:p w14:paraId="330C0642">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4、如乙方提供银行不可撤销履约保函（</w:t>
      </w:r>
      <w:r>
        <w:rPr>
          <w:rFonts w:hint="eastAsia" w:ascii="宋体" w:hAnsi="宋体" w:eastAsia="宋体" w:cs="宋体"/>
          <w:bCs/>
          <w:color w:val="auto"/>
          <w:kern w:val="0"/>
          <w:szCs w:val="21"/>
          <w:highlight w:val="none"/>
          <w:lang w:bidi="ar"/>
        </w:rPr>
        <w:t>或履约保证保险</w:t>
      </w:r>
      <w:r>
        <w:rPr>
          <w:rFonts w:hint="eastAsia" w:ascii="宋体" w:hAnsi="宋体" w:eastAsia="宋体" w:cs="Times New Roman"/>
          <w:bCs/>
          <w:color w:val="auto"/>
          <w:kern w:val="0"/>
          <w:szCs w:val="21"/>
          <w:highlight w:val="none"/>
        </w:rPr>
        <w:t>或担保公司履约担保书）作为履约担保的，银行不可撤销履约保函（</w:t>
      </w:r>
      <w:r>
        <w:rPr>
          <w:rFonts w:hint="eastAsia" w:ascii="宋体" w:hAnsi="宋体" w:eastAsia="宋体" w:cs="宋体"/>
          <w:bCs/>
          <w:color w:val="auto"/>
          <w:kern w:val="0"/>
          <w:szCs w:val="21"/>
          <w:highlight w:val="none"/>
          <w:lang w:bidi="ar"/>
        </w:rPr>
        <w:t>或履约保证保险</w:t>
      </w:r>
      <w:r>
        <w:rPr>
          <w:rFonts w:hint="eastAsia" w:ascii="宋体" w:hAnsi="宋体" w:eastAsia="宋体" w:cs="Times New Roman"/>
          <w:bCs/>
          <w:color w:val="auto"/>
          <w:kern w:val="0"/>
          <w:szCs w:val="21"/>
          <w:highlight w:val="none"/>
        </w:rPr>
        <w:t>或担保公司履约担保书）应从合同签订之日起至完成全部供货（含最终验收合格）</w:t>
      </w:r>
      <w:r>
        <w:rPr>
          <w:rFonts w:hint="eastAsia" w:ascii="Times New Roman" w:hAnsi="Times New Roman" w:eastAsia="宋体" w:cs="Times New Roman"/>
          <w:color w:val="auto"/>
          <w:kern w:val="0"/>
          <w:sz w:val="24"/>
          <w:szCs w:val="24"/>
          <w:highlight w:val="none"/>
        </w:rPr>
        <w:t>且</w:t>
      </w:r>
      <w:r>
        <w:rPr>
          <w:rFonts w:hint="eastAsia" w:ascii="宋体" w:hAnsi="宋体" w:eastAsia="宋体" w:cs="Times New Roman"/>
          <w:color w:val="auto"/>
          <w:kern w:val="0"/>
          <w:szCs w:val="21"/>
          <w:highlight w:val="none"/>
        </w:rPr>
        <w:t>结算完毕</w:t>
      </w:r>
      <w:r>
        <w:rPr>
          <w:rFonts w:hint="eastAsia" w:ascii="宋体" w:hAnsi="宋体" w:eastAsia="宋体" w:cs="Times New Roman"/>
          <w:bCs/>
          <w:color w:val="auto"/>
          <w:kern w:val="0"/>
          <w:szCs w:val="21"/>
          <w:highlight w:val="none"/>
        </w:rPr>
        <w:t>后28</w:t>
      </w:r>
      <w:r>
        <w:rPr>
          <w:rFonts w:hint="eastAsia" w:ascii="宋体" w:hAnsi="宋体" w:eastAsia="宋体" w:cs="Times New Roman"/>
          <w:bCs/>
          <w:color w:val="auto"/>
          <w:kern w:val="0"/>
          <w:szCs w:val="21"/>
          <w:highlight w:val="none"/>
          <w:lang w:val="en-US" w:eastAsia="zh-CN"/>
        </w:rPr>
        <w:t>个自然</w:t>
      </w:r>
      <w:r>
        <w:rPr>
          <w:rFonts w:hint="eastAsia" w:ascii="宋体" w:hAnsi="宋体" w:eastAsia="宋体" w:cs="Times New Roman"/>
          <w:bCs/>
          <w:color w:val="auto"/>
          <w:kern w:val="0"/>
          <w:szCs w:val="21"/>
          <w:highlight w:val="none"/>
        </w:rPr>
        <w:t>日内保持有效。如银行不可撤销履约保函（</w:t>
      </w:r>
      <w:r>
        <w:rPr>
          <w:rFonts w:hint="eastAsia" w:ascii="宋体" w:hAnsi="宋体" w:eastAsia="宋体" w:cs="宋体"/>
          <w:bCs/>
          <w:color w:val="auto"/>
          <w:kern w:val="0"/>
          <w:szCs w:val="21"/>
          <w:highlight w:val="none"/>
          <w:lang w:bidi="ar"/>
        </w:rPr>
        <w:t>或履约保证保险</w:t>
      </w:r>
      <w:r>
        <w:rPr>
          <w:rFonts w:hint="eastAsia" w:ascii="宋体" w:hAnsi="宋体" w:eastAsia="宋体" w:cs="Times New Roman"/>
          <w:bCs/>
          <w:color w:val="auto"/>
          <w:kern w:val="0"/>
          <w:szCs w:val="21"/>
          <w:highlight w:val="none"/>
        </w:rPr>
        <w:t>或担保公司履约担保书）有效期届满时</w:t>
      </w: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rPr>
        <w:t>本项目</w:t>
      </w:r>
      <w:r>
        <w:rPr>
          <w:rFonts w:hint="eastAsia" w:ascii="宋体" w:hAnsi="宋体" w:eastAsia="宋体" w:cs="Times New Roman"/>
          <w:bCs/>
          <w:color w:val="auto"/>
          <w:kern w:val="0"/>
          <w:szCs w:val="21"/>
          <w:highlight w:val="none"/>
          <w:lang w:val="en-US" w:eastAsia="zh-CN"/>
        </w:rPr>
        <w:t>未完成</w:t>
      </w:r>
      <w:r>
        <w:rPr>
          <w:rFonts w:hint="eastAsia" w:ascii="宋体" w:hAnsi="宋体" w:eastAsia="宋体" w:cs="Times New Roman"/>
          <w:bCs/>
          <w:color w:val="auto"/>
          <w:kern w:val="0"/>
          <w:szCs w:val="21"/>
          <w:highlight w:val="none"/>
        </w:rPr>
        <w:t>全部供货（含最终验收合格）且结算完毕满28</w:t>
      </w:r>
      <w:r>
        <w:rPr>
          <w:rFonts w:hint="eastAsia" w:ascii="宋体" w:hAnsi="宋体" w:eastAsia="宋体" w:cs="Times New Roman"/>
          <w:bCs/>
          <w:color w:val="auto"/>
          <w:kern w:val="0"/>
          <w:szCs w:val="21"/>
          <w:highlight w:val="none"/>
          <w:lang w:val="en-US" w:eastAsia="zh-CN"/>
        </w:rPr>
        <w:t>个自然日</w:t>
      </w:r>
      <w:r>
        <w:rPr>
          <w:rFonts w:hint="eastAsia" w:ascii="宋体" w:hAnsi="宋体" w:eastAsia="宋体" w:cs="Times New Roman"/>
          <w:bCs/>
          <w:color w:val="auto"/>
          <w:kern w:val="0"/>
          <w:szCs w:val="21"/>
          <w:highlight w:val="none"/>
        </w:rPr>
        <w:t>的，乙方必须在银行不可撤销履约保函（</w:t>
      </w:r>
      <w:r>
        <w:rPr>
          <w:rFonts w:hint="eastAsia" w:ascii="宋体" w:hAnsi="宋体" w:eastAsia="宋体" w:cs="宋体"/>
          <w:bCs/>
          <w:color w:val="auto"/>
          <w:kern w:val="0"/>
          <w:szCs w:val="21"/>
          <w:highlight w:val="none"/>
          <w:lang w:bidi="ar"/>
        </w:rPr>
        <w:t>或履约保证保险</w:t>
      </w:r>
      <w:r>
        <w:rPr>
          <w:rFonts w:hint="eastAsia" w:ascii="宋体" w:hAnsi="宋体" w:eastAsia="宋体" w:cs="Times New Roman"/>
          <w:bCs/>
          <w:color w:val="auto"/>
          <w:kern w:val="0"/>
          <w:szCs w:val="21"/>
          <w:highlight w:val="none"/>
        </w:rPr>
        <w:t>或担保公司履约担保书）到期15</w:t>
      </w:r>
      <w:r>
        <w:rPr>
          <w:rFonts w:hint="eastAsia" w:ascii="宋体" w:hAnsi="宋体" w:eastAsia="宋体" w:cs="Times New Roman"/>
          <w:bCs/>
          <w:color w:val="auto"/>
          <w:kern w:val="0"/>
          <w:szCs w:val="21"/>
          <w:highlight w:val="none"/>
          <w:lang w:val="en-US" w:eastAsia="zh-CN"/>
        </w:rPr>
        <w:t>个自然</w:t>
      </w:r>
      <w:r>
        <w:rPr>
          <w:rFonts w:hint="eastAsia" w:ascii="宋体" w:hAnsi="宋体" w:eastAsia="宋体" w:cs="Times New Roman"/>
          <w:bCs/>
          <w:color w:val="auto"/>
          <w:kern w:val="0"/>
          <w:szCs w:val="21"/>
          <w:highlight w:val="none"/>
        </w:rPr>
        <w:t>日前无条件办理办妥符合甲方要求的延期手续或重新提供银行不可撤销履约保函（</w:t>
      </w:r>
      <w:r>
        <w:rPr>
          <w:rFonts w:hint="eastAsia" w:ascii="宋体" w:hAnsi="宋体" w:eastAsia="宋体" w:cs="宋体"/>
          <w:bCs/>
          <w:color w:val="auto"/>
          <w:kern w:val="0"/>
          <w:szCs w:val="21"/>
          <w:highlight w:val="none"/>
          <w:lang w:bidi="ar"/>
        </w:rPr>
        <w:t>或履约保证保险</w:t>
      </w:r>
      <w:r>
        <w:rPr>
          <w:rFonts w:hint="eastAsia" w:ascii="宋体" w:hAnsi="宋体" w:eastAsia="宋体" w:cs="Times New Roman"/>
          <w:bCs/>
          <w:color w:val="auto"/>
          <w:kern w:val="0"/>
          <w:szCs w:val="21"/>
          <w:highlight w:val="none"/>
        </w:rPr>
        <w:t>或担保公司履约担保书）；否则视为乙方违约，甲方有权在银行不可撤销履约保函（</w:t>
      </w:r>
      <w:r>
        <w:rPr>
          <w:rFonts w:hint="eastAsia" w:ascii="宋体" w:hAnsi="宋体" w:eastAsia="宋体" w:cs="宋体"/>
          <w:bCs/>
          <w:color w:val="auto"/>
          <w:kern w:val="0"/>
          <w:szCs w:val="21"/>
          <w:highlight w:val="none"/>
          <w:lang w:bidi="ar"/>
        </w:rPr>
        <w:t>或履约保证保险</w:t>
      </w:r>
      <w:r>
        <w:rPr>
          <w:rFonts w:hint="eastAsia" w:ascii="宋体" w:hAnsi="宋体" w:eastAsia="宋体" w:cs="Times New Roman"/>
          <w:bCs/>
          <w:color w:val="auto"/>
          <w:kern w:val="0"/>
          <w:szCs w:val="21"/>
          <w:highlight w:val="none"/>
        </w:rPr>
        <w:t>或担保公司履约担保书）到期前向出具履约担保的机构提取履约担保。在银行不可撤销履约保函（</w:t>
      </w:r>
      <w:r>
        <w:rPr>
          <w:rFonts w:hint="eastAsia" w:ascii="宋体" w:hAnsi="宋体" w:eastAsia="宋体" w:cs="宋体"/>
          <w:bCs/>
          <w:color w:val="auto"/>
          <w:kern w:val="0"/>
          <w:szCs w:val="21"/>
          <w:highlight w:val="none"/>
          <w:lang w:bidi="ar"/>
        </w:rPr>
        <w:t>或履约保证保险</w:t>
      </w:r>
      <w:r>
        <w:rPr>
          <w:rFonts w:hint="eastAsia" w:ascii="宋体" w:hAnsi="宋体" w:eastAsia="宋体" w:cs="Times New Roman"/>
          <w:bCs/>
          <w:color w:val="auto"/>
          <w:kern w:val="0"/>
          <w:szCs w:val="21"/>
          <w:highlight w:val="none"/>
        </w:rPr>
        <w:t>或担保公司履约担保书）到期后乙方未按甲方要求重新提供的，甲方有权要求乙方以履约担保金额为限承担违约金</w:t>
      </w:r>
      <w:r>
        <w:rPr>
          <w:rFonts w:hint="eastAsia" w:ascii="宋体" w:hAnsi="宋体" w:eastAsia="宋体" w:cs="Times New Roman"/>
          <w:bCs/>
          <w:color w:val="auto"/>
          <w:kern w:val="0"/>
          <w:szCs w:val="21"/>
          <w:highlight w:val="none"/>
          <w:lang w:eastAsia="zh-CN"/>
        </w:rPr>
        <w:t>，违约金可直接从未付货款中扣除</w:t>
      </w:r>
      <w:r>
        <w:rPr>
          <w:rFonts w:hint="eastAsia" w:ascii="宋体" w:hAnsi="宋体" w:eastAsia="宋体" w:cs="Times New Roman"/>
          <w:bCs/>
          <w:color w:val="auto"/>
          <w:kern w:val="0"/>
          <w:szCs w:val="21"/>
          <w:highlight w:val="none"/>
        </w:rPr>
        <w:t>。</w:t>
      </w:r>
    </w:p>
    <w:p w14:paraId="627D37D0">
      <w:pPr>
        <w:autoSpaceDE w:val="0"/>
        <w:autoSpaceDN w:val="0"/>
        <w:adjustRightInd w:val="0"/>
        <w:spacing w:line="360" w:lineRule="auto"/>
        <w:ind w:firstLine="420" w:firstLineChars="200"/>
        <w:jc w:val="left"/>
        <w:rPr>
          <w:rFonts w:hint="eastAsia" w:ascii="宋体" w:hAnsi="宋体" w:eastAsia="宋体" w:cs="Times New Roman"/>
          <w:b w:val="0"/>
          <w:bCs/>
          <w:color w:val="auto"/>
          <w:kern w:val="0"/>
          <w:szCs w:val="21"/>
          <w:highlight w:val="none"/>
        </w:rPr>
      </w:pPr>
      <w:r>
        <w:rPr>
          <w:rFonts w:hint="eastAsia" w:ascii="宋体" w:hAnsi="宋体" w:eastAsia="宋体" w:cs="Times New Roman"/>
          <w:b w:val="0"/>
          <w:bCs/>
          <w:color w:val="auto"/>
          <w:kern w:val="0"/>
          <w:szCs w:val="21"/>
          <w:highlight w:val="none"/>
          <w:lang w:val="en-US" w:eastAsia="zh-CN"/>
        </w:rPr>
        <w:t>5</w:t>
      </w:r>
      <w:r>
        <w:rPr>
          <w:rFonts w:hint="eastAsia" w:ascii="宋体" w:hAnsi="宋体" w:eastAsia="宋体" w:cs="Times New Roman"/>
          <w:b w:val="0"/>
          <w:bCs/>
          <w:color w:val="auto"/>
          <w:kern w:val="0"/>
          <w:szCs w:val="21"/>
          <w:highlight w:val="none"/>
        </w:rPr>
        <w:t>、在合同履行过程中，如乙方需变更履约担保形式的，需书面向甲方提出申请。在获得甲方的同意后，乙方需按照招标文件要求的履约担保形式及金额向甲方重新提交履约担保。在甲方收到并确认乙方重新提交的履约担保资料无误后，甲方将退还乙方之前提交的履约担保。</w:t>
      </w:r>
    </w:p>
    <w:p w14:paraId="760CEC07">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十、质量保函</w:t>
      </w:r>
    </w:p>
    <w:p w14:paraId="5F6D4167">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val="en-US" w:eastAsia="zh-CN"/>
        </w:rPr>
        <w:t>1、</w:t>
      </w:r>
      <w:r>
        <w:rPr>
          <w:rFonts w:hint="eastAsia" w:ascii="宋体" w:hAnsi="宋体" w:eastAsia="宋体" w:cs="Times New Roman"/>
          <w:bCs/>
          <w:color w:val="auto"/>
          <w:kern w:val="0"/>
          <w:szCs w:val="21"/>
          <w:highlight w:val="none"/>
        </w:rPr>
        <w:t>保额：实际结算金额</w:t>
      </w:r>
      <w:r>
        <w:rPr>
          <w:rFonts w:hint="eastAsia" w:ascii="宋体" w:hAnsi="宋体" w:eastAsia="宋体" w:cs="Times New Roman"/>
          <w:bCs/>
          <w:color w:val="auto"/>
          <w:kern w:val="0"/>
          <w:szCs w:val="21"/>
          <w:highlight w:val="none"/>
          <w:lang w:val="en-US" w:eastAsia="zh-CN"/>
        </w:rPr>
        <w:t>3</w:t>
      </w:r>
      <w:r>
        <w:rPr>
          <w:rFonts w:hint="eastAsia" w:ascii="宋体" w:hAnsi="宋体" w:eastAsia="宋体" w:cs="Times New Roman"/>
          <w:bCs/>
          <w:color w:val="auto"/>
          <w:kern w:val="0"/>
          <w:szCs w:val="21"/>
          <w:highlight w:val="none"/>
        </w:rPr>
        <w:t>%；</w:t>
      </w:r>
    </w:p>
    <w:p w14:paraId="1ECF7260">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val="en-US" w:eastAsia="zh-CN"/>
        </w:rPr>
        <w:t>2、</w:t>
      </w:r>
      <w:r>
        <w:rPr>
          <w:rFonts w:hint="eastAsia" w:ascii="宋体" w:hAnsi="宋体" w:eastAsia="宋体" w:cs="Times New Roman"/>
          <w:bCs/>
          <w:color w:val="auto"/>
          <w:kern w:val="0"/>
          <w:szCs w:val="21"/>
          <w:highlight w:val="none"/>
        </w:rPr>
        <w:t>保函形式：银行不可撤销保函</w:t>
      </w: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lang w:val="en-US" w:eastAsia="zh-CN"/>
        </w:rPr>
        <w:t>以签订合同为准</w:t>
      </w: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rPr>
        <w:t>；</w:t>
      </w:r>
    </w:p>
    <w:p w14:paraId="5080E9F7">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val="en-US" w:eastAsia="zh-CN"/>
        </w:rPr>
        <w:t>3、</w:t>
      </w:r>
      <w:r>
        <w:rPr>
          <w:rFonts w:hint="eastAsia" w:ascii="宋体" w:hAnsi="宋体" w:eastAsia="宋体" w:cs="Times New Roman"/>
          <w:bCs/>
          <w:color w:val="auto"/>
          <w:kern w:val="0"/>
          <w:szCs w:val="21"/>
          <w:highlight w:val="none"/>
        </w:rPr>
        <w:t>提交时间：完成结算后15个</w:t>
      </w:r>
      <w:r>
        <w:rPr>
          <w:rFonts w:hint="eastAsia" w:ascii="宋体" w:hAnsi="宋体" w:eastAsia="宋体" w:cs="Times New Roman"/>
          <w:bCs/>
          <w:color w:val="auto"/>
          <w:kern w:val="0"/>
          <w:szCs w:val="21"/>
          <w:highlight w:val="none"/>
          <w:lang w:val="en-US" w:eastAsia="zh-CN"/>
        </w:rPr>
        <w:t>自然日</w:t>
      </w:r>
      <w:r>
        <w:rPr>
          <w:rFonts w:hint="eastAsia" w:ascii="宋体" w:hAnsi="宋体" w:eastAsia="宋体" w:cs="Times New Roman"/>
          <w:bCs/>
          <w:color w:val="auto"/>
          <w:kern w:val="0"/>
          <w:szCs w:val="21"/>
          <w:highlight w:val="none"/>
        </w:rPr>
        <w:t>内提供；</w:t>
      </w:r>
    </w:p>
    <w:p w14:paraId="32700E39">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val="en-US" w:eastAsia="zh-CN"/>
        </w:rPr>
        <w:t>4、</w:t>
      </w:r>
      <w:r>
        <w:rPr>
          <w:rFonts w:hint="eastAsia" w:ascii="宋体" w:hAnsi="宋体" w:eastAsia="宋体" w:cs="Times New Roman"/>
          <w:bCs/>
          <w:color w:val="auto"/>
          <w:kern w:val="0"/>
          <w:szCs w:val="21"/>
          <w:highlight w:val="none"/>
        </w:rPr>
        <w:t>质量担保用于</w:t>
      </w:r>
      <w:r>
        <w:rPr>
          <w:rFonts w:hint="eastAsia" w:ascii="宋体" w:hAnsi="宋体" w:eastAsia="宋体" w:cs="Times New Roman"/>
          <w:bCs/>
          <w:color w:val="auto"/>
          <w:kern w:val="0"/>
          <w:szCs w:val="21"/>
          <w:highlight w:val="none"/>
          <w:lang w:val="en-US" w:eastAsia="zh-CN"/>
        </w:rPr>
        <w:t>赔偿</w:t>
      </w:r>
      <w:r>
        <w:rPr>
          <w:rFonts w:hint="eastAsia" w:ascii="宋体" w:hAnsi="宋体" w:eastAsia="宋体" w:cs="Times New Roman"/>
          <w:bCs/>
          <w:color w:val="auto"/>
          <w:kern w:val="0"/>
          <w:szCs w:val="21"/>
          <w:highlight w:val="none"/>
        </w:rPr>
        <w:t>甲方因乙方不能完全履行其合同质量保证及售后义务而蒙受的损失。如乙方在质保及售后服务期限内，违反本合同约定的义务，甲方有权依合同追究乙方违约责任，有权提取质量担保并进行相应处理。</w:t>
      </w:r>
    </w:p>
    <w:p w14:paraId="736B33B8">
      <w:pPr>
        <w:autoSpaceDE w:val="0"/>
        <w:autoSpaceDN w:val="0"/>
        <w:adjustRightInd w:val="0"/>
        <w:spacing w:line="360" w:lineRule="auto"/>
        <w:ind w:firstLine="420" w:firstLineChars="200"/>
        <w:jc w:val="left"/>
        <w:rPr>
          <w:rFonts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val="en-US" w:eastAsia="zh-CN"/>
        </w:rPr>
        <w:t>5、</w:t>
      </w:r>
      <w:r>
        <w:rPr>
          <w:rFonts w:hint="eastAsia" w:ascii="宋体" w:hAnsi="宋体" w:eastAsia="宋体" w:cs="Times New Roman"/>
          <w:bCs/>
          <w:color w:val="auto"/>
          <w:kern w:val="0"/>
          <w:szCs w:val="21"/>
          <w:highlight w:val="none"/>
        </w:rPr>
        <w:t>如</w:t>
      </w:r>
      <w:r>
        <w:rPr>
          <w:rFonts w:hint="eastAsia" w:ascii="宋体" w:hAnsi="宋体" w:eastAsia="宋体" w:cs="Times New Roman"/>
          <w:bCs/>
          <w:color w:val="auto"/>
          <w:kern w:val="0"/>
          <w:szCs w:val="21"/>
          <w:highlight w:val="none"/>
          <w:lang w:val="en-US" w:eastAsia="zh-CN"/>
        </w:rPr>
        <w:t>质量</w:t>
      </w:r>
      <w:r>
        <w:rPr>
          <w:rFonts w:hint="eastAsia" w:ascii="宋体" w:hAnsi="宋体" w:eastAsia="宋体" w:cs="Times New Roman"/>
          <w:bCs/>
          <w:color w:val="auto"/>
          <w:kern w:val="0"/>
          <w:szCs w:val="21"/>
          <w:highlight w:val="none"/>
        </w:rPr>
        <w:t>保函有效期届满时</w:t>
      </w: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rPr>
        <w:t>本项目</w:t>
      </w:r>
      <w:r>
        <w:rPr>
          <w:rFonts w:hint="eastAsia" w:ascii="宋体" w:hAnsi="宋体" w:eastAsia="宋体" w:cs="Times New Roman"/>
          <w:bCs/>
          <w:color w:val="auto"/>
          <w:kern w:val="0"/>
          <w:szCs w:val="21"/>
          <w:highlight w:val="none"/>
          <w:lang w:val="en-US" w:eastAsia="zh-CN"/>
        </w:rPr>
        <w:t>质保期尚未结束的，</w:t>
      </w:r>
      <w:r>
        <w:rPr>
          <w:rFonts w:hint="eastAsia" w:ascii="宋体" w:hAnsi="宋体" w:eastAsia="宋体" w:cs="Times New Roman"/>
          <w:bCs/>
          <w:color w:val="auto"/>
          <w:kern w:val="0"/>
          <w:szCs w:val="21"/>
          <w:highlight w:val="none"/>
        </w:rPr>
        <w:t>乙方必须在</w:t>
      </w:r>
      <w:r>
        <w:rPr>
          <w:rFonts w:hint="eastAsia" w:ascii="宋体" w:hAnsi="宋体" w:eastAsia="宋体" w:cs="Times New Roman"/>
          <w:bCs/>
          <w:color w:val="auto"/>
          <w:kern w:val="0"/>
          <w:szCs w:val="21"/>
          <w:highlight w:val="none"/>
          <w:lang w:val="en-US" w:eastAsia="zh-CN"/>
        </w:rPr>
        <w:t>质量</w:t>
      </w:r>
      <w:r>
        <w:rPr>
          <w:rFonts w:hint="eastAsia" w:ascii="宋体" w:hAnsi="宋体" w:eastAsia="宋体" w:cs="Times New Roman"/>
          <w:bCs/>
          <w:color w:val="auto"/>
          <w:kern w:val="0"/>
          <w:szCs w:val="21"/>
          <w:highlight w:val="none"/>
        </w:rPr>
        <w:t>保函到期</w:t>
      </w:r>
      <w:r>
        <w:rPr>
          <w:rFonts w:hint="eastAsia" w:ascii="宋体" w:hAnsi="宋体" w:eastAsia="宋体" w:cs="Times New Roman"/>
          <w:bCs/>
          <w:color w:val="auto"/>
          <w:kern w:val="0"/>
          <w:szCs w:val="21"/>
          <w:highlight w:val="none"/>
          <w:lang w:val="en-US" w:eastAsia="zh-CN"/>
        </w:rPr>
        <w:t>前</w:t>
      </w:r>
      <w:r>
        <w:rPr>
          <w:rFonts w:hint="eastAsia" w:ascii="宋体" w:hAnsi="宋体" w:eastAsia="宋体" w:cs="Times New Roman"/>
          <w:bCs/>
          <w:color w:val="auto"/>
          <w:kern w:val="0"/>
          <w:szCs w:val="21"/>
          <w:highlight w:val="none"/>
        </w:rPr>
        <w:t>15</w:t>
      </w:r>
      <w:r>
        <w:rPr>
          <w:rFonts w:hint="eastAsia" w:ascii="宋体" w:hAnsi="宋体" w:eastAsia="宋体" w:cs="Times New Roman"/>
          <w:bCs/>
          <w:color w:val="auto"/>
          <w:kern w:val="0"/>
          <w:szCs w:val="21"/>
          <w:highlight w:val="none"/>
          <w:lang w:val="en-US" w:eastAsia="zh-CN"/>
        </w:rPr>
        <w:t>个自然</w:t>
      </w:r>
      <w:r>
        <w:rPr>
          <w:rFonts w:hint="eastAsia" w:ascii="宋体" w:hAnsi="宋体" w:eastAsia="宋体" w:cs="Times New Roman"/>
          <w:bCs/>
          <w:color w:val="auto"/>
          <w:kern w:val="0"/>
          <w:szCs w:val="21"/>
          <w:highlight w:val="none"/>
        </w:rPr>
        <w:t>日无条件办理办妥符合甲方要求的延期手续或重新提供</w:t>
      </w:r>
      <w:r>
        <w:rPr>
          <w:rFonts w:hint="eastAsia" w:ascii="宋体" w:hAnsi="宋体" w:eastAsia="宋体" w:cs="Times New Roman"/>
          <w:bCs/>
          <w:color w:val="auto"/>
          <w:kern w:val="0"/>
          <w:szCs w:val="21"/>
          <w:highlight w:val="none"/>
          <w:lang w:val="en-US" w:eastAsia="zh-CN"/>
        </w:rPr>
        <w:t>质量</w:t>
      </w:r>
      <w:r>
        <w:rPr>
          <w:rFonts w:hint="eastAsia" w:ascii="宋体" w:hAnsi="宋体" w:eastAsia="宋体" w:cs="Times New Roman"/>
          <w:bCs/>
          <w:color w:val="auto"/>
          <w:kern w:val="0"/>
          <w:szCs w:val="21"/>
          <w:highlight w:val="none"/>
        </w:rPr>
        <w:t>保函；否则视为乙方违约，甲方有权在</w:t>
      </w:r>
      <w:r>
        <w:rPr>
          <w:rFonts w:hint="eastAsia" w:ascii="宋体" w:hAnsi="宋体" w:eastAsia="宋体" w:cs="Times New Roman"/>
          <w:bCs/>
          <w:color w:val="auto"/>
          <w:kern w:val="0"/>
          <w:szCs w:val="21"/>
          <w:highlight w:val="none"/>
          <w:lang w:val="en-US" w:eastAsia="zh-CN"/>
        </w:rPr>
        <w:t>质量</w:t>
      </w:r>
      <w:r>
        <w:rPr>
          <w:rFonts w:hint="eastAsia" w:ascii="宋体" w:hAnsi="宋体" w:eastAsia="宋体" w:cs="Times New Roman"/>
          <w:bCs/>
          <w:color w:val="auto"/>
          <w:kern w:val="0"/>
          <w:szCs w:val="21"/>
          <w:highlight w:val="none"/>
        </w:rPr>
        <w:t>保函到期前向出具担保的机构提取</w:t>
      </w:r>
      <w:r>
        <w:rPr>
          <w:rFonts w:hint="eastAsia" w:ascii="宋体" w:hAnsi="宋体" w:eastAsia="宋体" w:cs="Times New Roman"/>
          <w:bCs/>
          <w:color w:val="auto"/>
          <w:kern w:val="0"/>
          <w:szCs w:val="21"/>
          <w:highlight w:val="none"/>
          <w:lang w:val="en-US" w:eastAsia="zh-CN"/>
        </w:rPr>
        <w:t>质量</w:t>
      </w:r>
      <w:r>
        <w:rPr>
          <w:rFonts w:hint="eastAsia" w:ascii="宋体" w:hAnsi="宋体" w:eastAsia="宋体" w:cs="Times New Roman"/>
          <w:bCs/>
          <w:color w:val="auto"/>
          <w:kern w:val="0"/>
          <w:szCs w:val="21"/>
          <w:highlight w:val="none"/>
        </w:rPr>
        <w:t>担保。在</w:t>
      </w:r>
      <w:r>
        <w:rPr>
          <w:rFonts w:hint="eastAsia" w:ascii="宋体" w:hAnsi="宋体" w:eastAsia="宋体" w:cs="Times New Roman"/>
          <w:bCs/>
          <w:color w:val="auto"/>
          <w:kern w:val="0"/>
          <w:szCs w:val="21"/>
          <w:highlight w:val="none"/>
          <w:lang w:val="en-US" w:eastAsia="zh-CN"/>
        </w:rPr>
        <w:t>质量</w:t>
      </w:r>
      <w:r>
        <w:rPr>
          <w:rFonts w:hint="eastAsia" w:ascii="宋体" w:hAnsi="宋体" w:eastAsia="宋体" w:cs="Times New Roman"/>
          <w:bCs/>
          <w:color w:val="auto"/>
          <w:kern w:val="0"/>
          <w:szCs w:val="21"/>
          <w:highlight w:val="none"/>
        </w:rPr>
        <w:t>保函到期后乙方未按甲方要求重新提供的，甲方有权要求乙方以</w:t>
      </w:r>
      <w:r>
        <w:rPr>
          <w:rFonts w:hint="eastAsia" w:ascii="宋体" w:hAnsi="宋体" w:eastAsia="宋体" w:cs="Times New Roman"/>
          <w:bCs/>
          <w:color w:val="auto"/>
          <w:kern w:val="0"/>
          <w:szCs w:val="21"/>
          <w:highlight w:val="none"/>
          <w:lang w:val="en-US" w:eastAsia="zh-CN"/>
        </w:rPr>
        <w:t>质量</w:t>
      </w:r>
      <w:r>
        <w:rPr>
          <w:rFonts w:hint="eastAsia" w:ascii="宋体" w:hAnsi="宋体" w:eastAsia="宋体" w:cs="Times New Roman"/>
          <w:bCs/>
          <w:color w:val="auto"/>
          <w:kern w:val="0"/>
          <w:szCs w:val="21"/>
          <w:highlight w:val="none"/>
        </w:rPr>
        <w:t>担保金额为限承担违约金。</w:t>
      </w:r>
    </w:p>
    <w:p w14:paraId="17772621">
      <w:pPr>
        <w:autoSpaceDE w:val="0"/>
        <w:autoSpaceDN w:val="0"/>
        <w:adjustRightInd w:val="0"/>
        <w:spacing w:line="360" w:lineRule="auto"/>
        <w:ind w:firstLine="420" w:firstLineChars="200"/>
        <w:jc w:val="left"/>
        <w:rPr>
          <w:rFonts w:hint="default" w:ascii="宋体" w:hAnsi="宋体" w:eastAsia="宋体" w:cs="Times New Roman"/>
          <w:b w:val="0"/>
          <w:bCs/>
          <w:color w:val="auto"/>
          <w:kern w:val="0"/>
          <w:szCs w:val="21"/>
          <w:highlight w:val="none"/>
        </w:rPr>
      </w:pPr>
      <w:r>
        <w:rPr>
          <w:rFonts w:hint="eastAsia" w:ascii="宋体" w:hAnsi="宋体" w:eastAsia="宋体" w:cs="Times New Roman"/>
          <w:bCs/>
          <w:color w:val="auto"/>
          <w:kern w:val="0"/>
          <w:szCs w:val="21"/>
          <w:highlight w:val="none"/>
          <w:lang w:val="en-US" w:eastAsia="zh-CN"/>
        </w:rPr>
        <w:t>6、</w:t>
      </w:r>
      <w:r>
        <w:rPr>
          <w:rFonts w:hint="eastAsia" w:ascii="宋体" w:hAnsi="宋体" w:eastAsia="宋体" w:cs="Times New Roman"/>
          <w:bCs/>
          <w:color w:val="auto"/>
          <w:kern w:val="0"/>
          <w:szCs w:val="21"/>
          <w:highlight w:val="none"/>
        </w:rPr>
        <w:t>退回时间：质保期满后，乙方提出退回保函申请，经甲方审核确认乙方车辆无质量问题且乙方无违约行为，退回质量保函。</w:t>
      </w:r>
    </w:p>
    <w:p w14:paraId="1F6355B6">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十一、合同权利义务的转让</w:t>
      </w:r>
    </w:p>
    <w:p w14:paraId="605BD506">
      <w:pPr>
        <w:autoSpaceDE w:val="0"/>
        <w:autoSpaceDN w:val="0"/>
        <w:adjustRightInd w:val="0"/>
        <w:spacing w:line="360" w:lineRule="auto"/>
        <w:ind w:firstLine="420" w:firstLineChars="200"/>
        <w:jc w:val="left"/>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未经甲方书面同意，乙方不得部分转让或全部转让其应履行的合同义务</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如甲方发现乙方存在部分转让或全部转让其应履行的合同义务行为，且经甲方制止无效的（包括但不限于发整改单、发函、约谈等），甲方有权单方面解除合同、扣除乙方10%的履约担保作为违约金，且该违约金独立于差价赔偿，甲方可同时主张，同时甲方有权要求乙方赔偿甲方损失（包括但不限于律师费、诉讼费、保全费、执行费、差旅费、赔偿金等），在一年内禁止参与甲方及其关联企业所有的招投标、采购活动；涉嫌犯罪的，移交司法机关依法追究刑事责任。</w:t>
      </w:r>
    </w:p>
    <w:p w14:paraId="49A1266A">
      <w:pPr>
        <w:autoSpaceDE w:val="0"/>
        <w:autoSpaceDN w:val="0"/>
        <w:adjustRightInd w:val="0"/>
        <w:spacing w:line="360" w:lineRule="auto"/>
        <w:ind w:firstLine="420" w:firstLineChars="200"/>
        <w:jc w:val="left"/>
        <w:rPr>
          <w:rFonts w:ascii="宋体" w:hAnsi="宋体" w:eastAsia="宋体" w:cs="Times New Roman"/>
          <w:b/>
          <w:color w:val="auto"/>
          <w:kern w:val="0"/>
          <w:szCs w:val="21"/>
          <w:highlight w:val="none"/>
        </w:rPr>
      </w:pPr>
      <w:r>
        <w:rPr>
          <w:rFonts w:hint="eastAsia" w:ascii="宋体" w:hAnsi="宋体" w:eastAsia="宋体" w:cs="Times New Roman"/>
          <w:color w:val="auto"/>
          <w:kern w:val="0"/>
          <w:szCs w:val="21"/>
          <w:highlight w:val="none"/>
        </w:rPr>
        <w:t>此外，甲方对乙方与分包商之间的法律与经济纠纷不承担任何责任和义务。乙方与其分包商之间产生的任何纠纷，均由乙方自行处理，与甲方无关，由此给甲方造成损失的，乙方应当承担因此事项给甲方造成的全部损失，包括但不限于律师费、诉讼费、保全费、执行费、差旅费、赔偿金等。</w:t>
      </w:r>
    </w:p>
    <w:p w14:paraId="009BC3A2">
      <w:pPr>
        <w:autoSpaceDE w:val="0"/>
        <w:autoSpaceDN w:val="0"/>
        <w:adjustRightInd w:val="0"/>
        <w:spacing w:line="360" w:lineRule="auto"/>
        <w:ind w:left="422"/>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十二、违约责任</w:t>
      </w:r>
    </w:p>
    <w:p w14:paraId="021001BE">
      <w:pPr>
        <w:widowControl/>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w:t>
      </w:r>
      <w:r>
        <w:rPr>
          <w:rFonts w:hint="eastAsia" w:ascii="宋体" w:hAnsi="宋体" w:eastAsia="宋体" w:cs="Times New Roman"/>
          <w:color w:val="auto"/>
          <w:kern w:val="0"/>
          <w:szCs w:val="21"/>
          <w:highlight w:val="none"/>
          <w:lang w:bidi="ar"/>
        </w:rPr>
        <w:t>乙方逾期供货或交货的</w:t>
      </w:r>
      <w:r>
        <w:rPr>
          <w:rFonts w:hint="eastAsia" w:ascii="宋体" w:hAnsi="宋体" w:eastAsia="宋体" w:cs="Times New Roman"/>
          <w:color w:val="auto"/>
          <w:kern w:val="0"/>
          <w:szCs w:val="21"/>
          <w:highlight w:val="none"/>
          <w:lang w:val="en-US" w:eastAsia="zh-CN" w:bidi="ar"/>
        </w:rPr>
        <w:t>（包括但不限于因查验、验收不合格等导致的逾期供货）</w:t>
      </w:r>
      <w:r>
        <w:rPr>
          <w:rFonts w:hint="eastAsia" w:ascii="宋体" w:hAnsi="宋体" w:eastAsia="宋体" w:cs="Times New Roman"/>
          <w:color w:val="auto"/>
          <w:kern w:val="0"/>
          <w:szCs w:val="21"/>
          <w:highlight w:val="none"/>
          <w:lang w:bidi="ar"/>
        </w:rPr>
        <w:t>，甲方有权要求乙方</w:t>
      </w:r>
      <w:r>
        <w:rPr>
          <w:rFonts w:hint="eastAsia" w:ascii="宋体" w:hAnsi="宋体" w:eastAsia="宋体" w:cs="Times New Roman"/>
          <w:color w:val="auto"/>
          <w:kern w:val="0"/>
          <w:szCs w:val="21"/>
          <w:highlight w:val="none"/>
          <w:lang w:val="en-US" w:eastAsia="zh-CN" w:bidi="ar"/>
        </w:rPr>
        <w:t>限期</w:t>
      </w:r>
      <w:r>
        <w:rPr>
          <w:rFonts w:hint="eastAsia" w:ascii="宋体" w:hAnsi="宋体" w:eastAsia="宋体" w:cs="Times New Roman"/>
          <w:color w:val="auto"/>
          <w:kern w:val="0"/>
          <w:szCs w:val="21"/>
          <w:highlight w:val="none"/>
          <w:lang w:bidi="ar"/>
        </w:rPr>
        <w:t>整改，</w:t>
      </w:r>
      <w:r>
        <w:rPr>
          <w:rFonts w:hint="eastAsia" w:ascii="宋体" w:hAnsi="宋体" w:eastAsia="宋体" w:cs="Times New Roman"/>
          <w:color w:val="auto"/>
          <w:kern w:val="0"/>
          <w:szCs w:val="21"/>
          <w:highlight w:val="none"/>
          <w:lang w:val="en-US" w:eastAsia="zh-CN" w:bidi="ar"/>
        </w:rPr>
        <w:t>并按照5000元/日的标准支付违约金（最高不超过合同含税总价的3%）</w:t>
      </w:r>
      <w:r>
        <w:rPr>
          <w:rFonts w:hint="eastAsia" w:ascii="宋体" w:hAnsi="宋体" w:eastAsia="宋体" w:cs="Times New Roman"/>
          <w:color w:val="auto"/>
          <w:kern w:val="0"/>
          <w:szCs w:val="21"/>
          <w:highlight w:val="none"/>
          <w:lang w:eastAsia="zh-CN" w:bidi="ar"/>
        </w:rPr>
        <w:t>；</w:t>
      </w:r>
      <w:r>
        <w:rPr>
          <w:rFonts w:hint="eastAsia" w:ascii="宋体" w:hAnsi="宋体" w:eastAsia="宋体" w:cs="Times New Roman"/>
          <w:color w:val="auto"/>
          <w:kern w:val="0"/>
          <w:sz w:val="21"/>
          <w:szCs w:val="21"/>
          <w:highlight w:val="none"/>
          <w:lang w:bidi="ar"/>
        </w:rPr>
        <w:t>若三次整改不通过导致逾期超过供货及验收所约定时限30个</w:t>
      </w:r>
      <w:r>
        <w:rPr>
          <w:rFonts w:hint="eastAsia" w:ascii="宋体" w:hAnsi="宋体" w:eastAsia="宋体" w:cs="Times New Roman"/>
          <w:color w:val="auto"/>
          <w:kern w:val="0"/>
          <w:sz w:val="21"/>
          <w:szCs w:val="21"/>
          <w:highlight w:val="none"/>
          <w:lang w:eastAsia="zh-CN" w:bidi="ar"/>
        </w:rPr>
        <w:t>自然日</w:t>
      </w:r>
      <w:r>
        <w:rPr>
          <w:rFonts w:hint="eastAsia" w:ascii="宋体" w:hAnsi="宋体" w:eastAsia="宋体" w:cs="Times New Roman"/>
          <w:color w:val="auto"/>
          <w:kern w:val="0"/>
          <w:sz w:val="21"/>
          <w:szCs w:val="21"/>
          <w:highlight w:val="none"/>
          <w:lang w:bidi="ar"/>
        </w:rPr>
        <w:t>的</w:t>
      </w:r>
      <w:r>
        <w:rPr>
          <w:rFonts w:hint="eastAsia" w:ascii="宋体" w:hAnsi="宋体" w:eastAsia="宋体" w:cs="Times New Roman"/>
          <w:color w:val="auto"/>
          <w:kern w:val="0"/>
          <w:szCs w:val="21"/>
          <w:highlight w:val="none"/>
          <w:lang w:bidi="ar"/>
        </w:rPr>
        <w:t>，</w:t>
      </w:r>
      <w:r>
        <w:rPr>
          <w:rFonts w:hint="eastAsia" w:ascii="宋体" w:hAnsi="宋体" w:eastAsia="宋体" w:cs="Times New Roman"/>
          <w:color w:val="auto"/>
          <w:kern w:val="0"/>
          <w:szCs w:val="21"/>
          <w:highlight w:val="none"/>
          <w:lang w:val="en-US" w:eastAsia="zh-CN" w:bidi="ar"/>
        </w:rPr>
        <w:t>乙方</w:t>
      </w:r>
      <w:r>
        <w:rPr>
          <w:rFonts w:hint="eastAsia" w:ascii="宋体" w:hAnsi="宋体" w:eastAsia="宋体" w:cs="Times New Roman"/>
          <w:color w:val="auto"/>
          <w:kern w:val="0"/>
          <w:szCs w:val="21"/>
          <w:highlight w:val="none"/>
          <w:lang w:bidi="ar"/>
        </w:rPr>
        <w:t>除支付上述违约金外，甲方有权直接解除合同，同时要求乙方支付合同总价</w:t>
      </w:r>
      <w:r>
        <w:rPr>
          <w:rFonts w:hint="eastAsia" w:ascii="宋体" w:hAnsi="宋体" w:eastAsia="宋体" w:cs="Times New Roman"/>
          <w:color w:val="auto"/>
          <w:kern w:val="0"/>
          <w:szCs w:val="21"/>
          <w:highlight w:val="none"/>
          <w:lang w:val="en-US" w:eastAsia="zh-CN" w:bidi="ar"/>
        </w:rPr>
        <w:t>3%</w:t>
      </w:r>
      <w:r>
        <w:rPr>
          <w:rFonts w:hint="eastAsia" w:ascii="宋体" w:hAnsi="宋体" w:eastAsia="宋体" w:cs="Times New Roman"/>
          <w:color w:val="auto"/>
          <w:kern w:val="0"/>
          <w:szCs w:val="21"/>
          <w:highlight w:val="none"/>
          <w:lang w:bidi="ar"/>
        </w:rPr>
        <w:t>的违约金。</w:t>
      </w:r>
    </w:p>
    <w:p w14:paraId="4D4EE228">
      <w:pPr>
        <w:widowControl/>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w:t>
      </w:r>
      <w:r>
        <w:rPr>
          <w:rFonts w:hint="eastAsia" w:ascii="宋体" w:hAnsi="宋体" w:eastAsia="宋体" w:cs="Times New Roman"/>
          <w:color w:val="auto"/>
          <w:kern w:val="0"/>
          <w:szCs w:val="21"/>
          <w:highlight w:val="none"/>
          <w:lang w:bidi="ar"/>
        </w:rPr>
        <w:t>乙方未按甲方要求对车辆进行喷涂的，经甲方1次书面警告后，5个自然日内无法完成整改的，甲方有权要求乙方支付违约金3000元/辆，并有权直接委托第三方对车辆进行喷涂，相关喷涂费用由乙方承担。</w:t>
      </w:r>
    </w:p>
    <w:p w14:paraId="55F0B326">
      <w:pPr>
        <w:widowControl/>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w:t>
      </w:r>
      <w:r>
        <w:rPr>
          <w:rFonts w:hint="eastAsia" w:ascii="宋体" w:hAnsi="宋体" w:eastAsia="宋体" w:cs="Times New Roman"/>
          <w:color w:val="auto"/>
          <w:kern w:val="0"/>
          <w:szCs w:val="21"/>
          <w:highlight w:val="none"/>
          <w:lang w:bidi="ar"/>
        </w:rPr>
        <w:t>乙方所交付车辆整车改装须符合现行国家规定的专项作业车辆相关标准，且符合东莞市上牌要求，并完成车辆上东莞市牌照的所有工作。因不能上牌导致未能按期交货</w:t>
      </w:r>
      <w:r>
        <w:rPr>
          <w:rFonts w:hint="eastAsia" w:ascii="宋体" w:hAnsi="宋体" w:eastAsia="宋体" w:cs="Times New Roman"/>
          <w:color w:val="auto"/>
          <w:kern w:val="0"/>
          <w:szCs w:val="21"/>
          <w:highlight w:val="none"/>
          <w:lang w:val="en-US" w:eastAsia="zh-CN" w:bidi="ar"/>
        </w:rPr>
        <w:t>的</w:t>
      </w:r>
      <w:r>
        <w:rPr>
          <w:rFonts w:hint="eastAsia" w:ascii="宋体" w:hAnsi="宋体" w:eastAsia="宋体" w:cs="Times New Roman"/>
          <w:color w:val="auto"/>
          <w:kern w:val="0"/>
          <w:szCs w:val="21"/>
          <w:highlight w:val="none"/>
          <w:lang w:bidi="ar"/>
        </w:rPr>
        <w:t>，</w:t>
      </w:r>
      <w:r>
        <w:rPr>
          <w:rFonts w:hint="eastAsia" w:ascii="宋体" w:hAnsi="宋体" w:eastAsia="宋体" w:cs="Times New Roman"/>
          <w:color w:val="auto"/>
          <w:kern w:val="0"/>
          <w:szCs w:val="21"/>
          <w:highlight w:val="none"/>
          <w:lang w:val="en-US" w:eastAsia="zh-CN" w:bidi="ar"/>
        </w:rPr>
        <w:t>乙方按照本条第1款承担违约责任，</w:t>
      </w:r>
      <w:r>
        <w:rPr>
          <w:rFonts w:hint="eastAsia" w:ascii="宋体" w:hAnsi="宋体" w:eastAsia="宋体" w:cs="Times New Roman"/>
          <w:color w:val="auto"/>
          <w:kern w:val="0"/>
          <w:szCs w:val="21"/>
          <w:highlight w:val="none"/>
          <w:lang w:bidi="ar"/>
        </w:rPr>
        <w:t>所造成的损失由乙方承担。逾期超过10个自然日未按要求交货的，甲方有权单方解除合同。</w:t>
      </w:r>
    </w:p>
    <w:p w14:paraId="2263D144">
      <w:pPr>
        <w:widowControl/>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w:t>
      </w:r>
      <w:r>
        <w:rPr>
          <w:rFonts w:hint="eastAsia" w:ascii="宋体" w:hAnsi="宋体" w:eastAsia="宋体" w:cs="Times New Roman"/>
          <w:color w:val="auto"/>
          <w:kern w:val="0"/>
          <w:szCs w:val="21"/>
          <w:highlight w:val="none"/>
          <w:lang w:bidi="ar"/>
        </w:rPr>
        <w:t>乙方未按</w:t>
      </w:r>
      <w:r>
        <w:rPr>
          <w:rFonts w:hint="eastAsia" w:ascii="宋体" w:hAnsi="宋体" w:eastAsia="宋体" w:cs="Times New Roman"/>
          <w:color w:val="auto"/>
          <w:kern w:val="0"/>
          <w:szCs w:val="21"/>
          <w:highlight w:val="none"/>
          <w:lang w:val="en-US" w:eastAsia="zh-CN" w:bidi="ar"/>
        </w:rPr>
        <w:t>合同约定</w:t>
      </w:r>
      <w:r>
        <w:rPr>
          <w:rFonts w:hint="eastAsia" w:ascii="宋体" w:hAnsi="宋体" w:eastAsia="宋体" w:cs="Times New Roman"/>
          <w:color w:val="auto"/>
          <w:kern w:val="0"/>
          <w:szCs w:val="21"/>
          <w:highlight w:val="none"/>
          <w:lang w:bidi="ar"/>
        </w:rPr>
        <w:t>配合完成车辆查验或验收的，经甲方1次书面警告后，5个自然日内无法完成整改的，甲方有权要求乙方支付违约金</w:t>
      </w:r>
      <w:r>
        <w:rPr>
          <w:rFonts w:hint="eastAsia" w:ascii="宋体" w:hAnsi="宋体" w:eastAsia="宋体" w:cs="Times New Roman"/>
          <w:color w:val="auto"/>
          <w:kern w:val="0"/>
          <w:szCs w:val="21"/>
          <w:highlight w:val="none"/>
          <w:lang w:val="en-US" w:eastAsia="zh-CN" w:bidi="ar"/>
        </w:rPr>
        <w:t>1</w:t>
      </w:r>
      <w:r>
        <w:rPr>
          <w:rFonts w:hint="eastAsia" w:ascii="宋体" w:hAnsi="宋体" w:eastAsia="宋体" w:cs="Times New Roman"/>
          <w:color w:val="auto"/>
          <w:kern w:val="0"/>
          <w:szCs w:val="21"/>
          <w:highlight w:val="none"/>
          <w:lang w:bidi="ar"/>
        </w:rPr>
        <w:t>0000元/次（最高不超过合同含税总价的</w:t>
      </w:r>
      <w:r>
        <w:rPr>
          <w:rFonts w:hint="eastAsia" w:ascii="宋体" w:hAnsi="宋体" w:eastAsia="宋体" w:cs="Times New Roman"/>
          <w:color w:val="auto"/>
          <w:kern w:val="0"/>
          <w:szCs w:val="21"/>
          <w:highlight w:val="none"/>
          <w:lang w:eastAsia="zh-CN" w:bidi="ar"/>
        </w:rPr>
        <w:t>3%</w:t>
      </w:r>
      <w:r>
        <w:rPr>
          <w:rFonts w:hint="eastAsia" w:ascii="宋体" w:hAnsi="宋体" w:eastAsia="宋体" w:cs="Times New Roman"/>
          <w:color w:val="auto"/>
          <w:kern w:val="0"/>
          <w:szCs w:val="21"/>
          <w:highlight w:val="none"/>
          <w:lang w:bidi="ar"/>
        </w:rPr>
        <w:t>）。逾期超过10个自然日未按要求完成整改的，甲方有权单方解除合同。</w:t>
      </w:r>
    </w:p>
    <w:p w14:paraId="3131763B">
      <w:pPr>
        <w:widowControl/>
        <w:spacing w:line="360" w:lineRule="auto"/>
        <w:ind w:firstLine="420" w:firstLineChars="200"/>
        <w:jc w:val="left"/>
        <w:rPr>
          <w:rFonts w:ascii="Times New Roman" w:hAnsi="Times New Roman" w:eastAsia="宋体" w:cs="Times New Roman"/>
          <w:color w:val="auto"/>
          <w:kern w:val="0"/>
          <w:sz w:val="24"/>
          <w:szCs w:val="24"/>
          <w:highlight w:val="none"/>
        </w:rPr>
      </w:pPr>
      <w:r>
        <w:rPr>
          <w:rFonts w:hint="eastAsia" w:ascii="宋体" w:hAnsi="宋体" w:eastAsia="宋体" w:cs="Times New Roman"/>
          <w:color w:val="auto"/>
          <w:kern w:val="0"/>
          <w:szCs w:val="21"/>
          <w:highlight w:val="none"/>
        </w:rPr>
        <w:t>5、</w:t>
      </w:r>
      <w:r>
        <w:rPr>
          <w:rFonts w:hint="eastAsia" w:ascii="宋体" w:hAnsi="宋体" w:eastAsia="宋体" w:cs="Times New Roman"/>
          <w:color w:val="auto"/>
          <w:kern w:val="0"/>
          <w:szCs w:val="21"/>
          <w:highlight w:val="none"/>
          <w:lang w:bidi="ar"/>
        </w:rPr>
        <w:t>质保期内，若乙方售后服务态度恶劣、持续响应不及时的，甲方有权按照合同约定追究违约责任。对于乙方质保期内售后服务响应不及时的，第一、二次</w:t>
      </w:r>
      <w:r>
        <w:rPr>
          <w:rFonts w:hint="eastAsia" w:ascii="宋体" w:hAnsi="宋体" w:eastAsia="宋体" w:cs="Times New Roman"/>
          <w:color w:val="auto"/>
          <w:kern w:val="0"/>
          <w:szCs w:val="21"/>
          <w:highlight w:val="none"/>
          <w:lang w:val="en-US" w:eastAsia="zh-CN" w:bidi="ar"/>
        </w:rPr>
        <w:t>由甲方向</w:t>
      </w:r>
      <w:r>
        <w:rPr>
          <w:rFonts w:hint="eastAsia" w:ascii="宋体" w:hAnsi="宋体" w:eastAsia="宋体" w:cs="Times New Roman"/>
          <w:color w:val="auto"/>
          <w:kern w:val="0"/>
          <w:szCs w:val="21"/>
          <w:highlight w:val="none"/>
          <w:lang w:bidi="ar"/>
        </w:rPr>
        <w:t>乙方发警告函，第三次（含第三</w:t>
      </w:r>
      <w:r>
        <w:rPr>
          <w:rFonts w:hint="eastAsia" w:ascii="宋体" w:hAnsi="宋体" w:eastAsia="宋体" w:cs="Times New Roman"/>
          <w:color w:val="auto"/>
          <w:kern w:val="0"/>
          <w:szCs w:val="21"/>
          <w:highlight w:val="none"/>
          <w:lang w:eastAsia="zh-CN" w:bidi="ar"/>
        </w:rPr>
        <w:t>次</w:t>
      </w:r>
      <w:r>
        <w:rPr>
          <w:rFonts w:hint="eastAsia" w:ascii="宋体" w:hAnsi="宋体" w:eastAsia="宋体" w:cs="Times New Roman"/>
          <w:color w:val="auto"/>
          <w:kern w:val="0"/>
          <w:szCs w:val="21"/>
          <w:highlight w:val="none"/>
          <w:lang w:bidi="ar"/>
        </w:rPr>
        <w:t>）以后，</w:t>
      </w:r>
      <w:r>
        <w:rPr>
          <w:rFonts w:hint="eastAsia" w:ascii="宋体" w:hAnsi="宋体" w:eastAsia="宋体" w:cs="Times New Roman"/>
          <w:color w:val="auto"/>
          <w:kern w:val="0"/>
          <w:sz w:val="21"/>
          <w:szCs w:val="21"/>
          <w:highlight w:val="none"/>
          <w:lang w:val="en-US" w:eastAsia="zh-CN" w:bidi="ar"/>
        </w:rPr>
        <w:t>甲方</w:t>
      </w:r>
      <w:r>
        <w:rPr>
          <w:rFonts w:hint="eastAsia" w:ascii="宋体" w:hAnsi="宋体" w:eastAsia="宋体" w:cs="Times New Roman"/>
          <w:color w:val="auto"/>
          <w:kern w:val="0"/>
          <w:sz w:val="21"/>
          <w:szCs w:val="21"/>
          <w:highlight w:val="none"/>
          <w:lang w:bidi="ar"/>
        </w:rPr>
        <w:t>有权要求</w:t>
      </w:r>
      <w:r>
        <w:rPr>
          <w:rFonts w:hint="eastAsia" w:ascii="宋体" w:hAnsi="宋体" w:eastAsia="宋体" w:cs="Times New Roman"/>
          <w:color w:val="auto"/>
          <w:kern w:val="0"/>
          <w:sz w:val="21"/>
          <w:szCs w:val="21"/>
          <w:highlight w:val="none"/>
          <w:lang w:val="en-US" w:eastAsia="zh-CN" w:bidi="ar"/>
        </w:rPr>
        <w:t>乙方</w:t>
      </w:r>
      <w:r>
        <w:rPr>
          <w:rFonts w:hint="eastAsia" w:ascii="宋体" w:hAnsi="宋体" w:eastAsia="宋体" w:cs="Times New Roman"/>
          <w:color w:val="auto"/>
          <w:kern w:val="0"/>
          <w:sz w:val="21"/>
          <w:szCs w:val="21"/>
          <w:highlight w:val="none"/>
          <w:lang w:bidi="ar"/>
        </w:rPr>
        <w:t>支付违约金</w:t>
      </w:r>
      <w:r>
        <w:rPr>
          <w:rFonts w:hint="eastAsia" w:ascii="宋体" w:hAnsi="宋体" w:eastAsia="宋体" w:cs="Times New Roman"/>
          <w:color w:val="auto"/>
          <w:kern w:val="0"/>
          <w:sz w:val="21"/>
          <w:szCs w:val="21"/>
          <w:highlight w:val="none"/>
          <w:lang w:val="en-US" w:eastAsia="zh-CN" w:bidi="ar"/>
        </w:rPr>
        <w:t>10</w:t>
      </w:r>
      <w:r>
        <w:rPr>
          <w:rFonts w:hint="eastAsia" w:ascii="宋体" w:hAnsi="宋体" w:eastAsia="宋体" w:cs="Times New Roman"/>
          <w:color w:val="auto"/>
          <w:kern w:val="0"/>
          <w:sz w:val="21"/>
          <w:szCs w:val="21"/>
          <w:highlight w:val="none"/>
          <w:lang w:bidi="ar"/>
        </w:rPr>
        <w:t>000元/次</w:t>
      </w:r>
      <w:r>
        <w:rPr>
          <w:rFonts w:hint="eastAsia" w:ascii="宋体" w:hAnsi="宋体" w:eastAsia="宋体" w:cs="Times New Roman"/>
          <w:color w:val="auto"/>
          <w:kern w:val="0"/>
          <w:szCs w:val="21"/>
          <w:highlight w:val="none"/>
          <w:lang w:val="en-US" w:eastAsia="zh-CN" w:bidi="ar"/>
        </w:rPr>
        <w:t>（最高不超过合同含税总价的3%）</w:t>
      </w:r>
      <w:r>
        <w:rPr>
          <w:rFonts w:hint="eastAsia" w:hAnsi="宋体" w:cs="宋体"/>
          <w:color w:val="auto"/>
          <w:sz w:val="21"/>
          <w:szCs w:val="21"/>
          <w:highlight w:val="none"/>
        </w:rPr>
        <w:t>。</w:t>
      </w:r>
    </w:p>
    <w:p w14:paraId="457E5F52">
      <w:pPr>
        <w:autoSpaceDE w:val="0"/>
        <w:autoSpaceDN w:val="0"/>
        <w:adjustRightInd w:val="0"/>
        <w:spacing w:line="360" w:lineRule="auto"/>
        <w:ind w:firstLine="420" w:firstLineChars="200"/>
        <w:jc w:val="left"/>
        <w:rPr>
          <w:color w:val="auto"/>
          <w:highlight w:val="none"/>
        </w:rPr>
      </w:pPr>
      <w:r>
        <w:rPr>
          <w:rFonts w:hint="eastAsia" w:ascii="宋体" w:hAnsi="宋体" w:eastAsia="宋体" w:cs="Times New Roman"/>
          <w:color w:val="auto"/>
          <w:kern w:val="0"/>
          <w:szCs w:val="21"/>
          <w:highlight w:val="none"/>
          <w:lang w:val="en-US" w:eastAsia="zh-CN"/>
        </w:rPr>
        <w:t>6、</w:t>
      </w:r>
      <w:r>
        <w:rPr>
          <w:rFonts w:hint="eastAsia" w:ascii="宋体" w:hAnsi="宋体" w:eastAsia="宋体" w:cs="宋体"/>
          <w:color w:val="auto"/>
          <w:sz w:val="21"/>
          <w:szCs w:val="21"/>
          <w:highlight w:val="none"/>
        </w:rPr>
        <w:t>在质保期内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乙方应自接到甲方通知后1</w:t>
      </w:r>
      <w:r>
        <w:rPr>
          <w:rFonts w:hint="eastAsia" w:ascii="宋体" w:hAnsi="宋体" w:eastAsia="宋体" w:cs="宋体"/>
          <w:color w:val="auto"/>
          <w:sz w:val="21"/>
          <w:szCs w:val="21"/>
          <w:highlight w:val="none"/>
        </w:rPr>
        <w:t>5个</w:t>
      </w:r>
      <w:r>
        <w:rPr>
          <w:rFonts w:hint="eastAsia" w:ascii="宋体" w:hAnsi="宋体" w:eastAsia="宋体" w:cs="宋体"/>
          <w:color w:val="auto"/>
          <w:sz w:val="21"/>
          <w:szCs w:val="21"/>
          <w:highlight w:val="none"/>
          <w:lang w:val="en-US" w:eastAsia="zh-CN"/>
        </w:rPr>
        <w:t>自然日</w:t>
      </w:r>
      <w:r>
        <w:rPr>
          <w:rFonts w:hint="eastAsia" w:ascii="宋体" w:hAnsi="宋体" w:eastAsia="宋体" w:cs="宋体"/>
          <w:color w:val="auto"/>
          <w:sz w:val="21"/>
          <w:szCs w:val="21"/>
          <w:highlight w:val="none"/>
        </w:rPr>
        <w:t>内</w:t>
      </w:r>
      <w:r>
        <w:rPr>
          <w:rFonts w:hint="eastAsia" w:ascii="宋体" w:hAnsi="宋体" w:eastAsia="宋体" w:cs="宋体"/>
          <w:color w:val="auto"/>
          <w:sz w:val="21"/>
          <w:szCs w:val="21"/>
          <w:highlight w:val="none"/>
          <w:lang w:val="en-US" w:eastAsia="zh-CN"/>
        </w:rPr>
        <w:t>完成车辆质量问题修复，无故逾期修复，</w:t>
      </w:r>
      <w:r>
        <w:rPr>
          <w:rFonts w:hint="eastAsia" w:ascii="宋体" w:hAnsi="宋体" w:eastAsia="宋体" w:cs="宋体"/>
          <w:color w:val="auto"/>
          <w:sz w:val="21"/>
          <w:szCs w:val="21"/>
          <w:highlight w:val="none"/>
        </w:rPr>
        <w:t>或累计经三次维修后仍无法正常运行，或</w:t>
      </w:r>
      <w:r>
        <w:rPr>
          <w:rFonts w:hint="eastAsia" w:ascii="宋体" w:hAnsi="宋体" w:eastAsia="宋体" w:cs="宋体"/>
          <w:color w:val="auto"/>
          <w:sz w:val="21"/>
          <w:szCs w:val="21"/>
          <w:highlight w:val="none"/>
          <w:lang w:val="en-US" w:eastAsia="zh-CN"/>
        </w:rPr>
        <w:t>同</w:t>
      </w:r>
      <w:r>
        <w:rPr>
          <w:rFonts w:hint="eastAsia" w:ascii="宋体" w:hAnsi="宋体" w:eastAsia="宋体" w:cs="宋体"/>
          <w:color w:val="auto"/>
          <w:sz w:val="21"/>
          <w:szCs w:val="21"/>
          <w:highlight w:val="none"/>
        </w:rPr>
        <w:t>一个故障累计出现超过三次（含三次）的，</w:t>
      </w:r>
      <w:r>
        <w:rPr>
          <w:rFonts w:hint="eastAsia" w:ascii="宋体" w:hAnsi="宋体" w:eastAsia="宋体" w:cs="宋体"/>
          <w:color w:val="auto"/>
          <w:sz w:val="21"/>
          <w:szCs w:val="21"/>
          <w:highlight w:val="none"/>
          <w:lang w:val="en-US" w:eastAsia="zh-CN"/>
        </w:rPr>
        <w:t>甲方有权收取违约金10000元/次</w:t>
      </w:r>
      <w:r>
        <w:rPr>
          <w:rFonts w:hint="eastAsia" w:ascii="宋体" w:hAnsi="宋体" w:eastAsia="宋体" w:cs="Times New Roman"/>
          <w:color w:val="auto"/>
          <w:kern w:val="0"/>
          <w:szCs w:val="21"/>
          <w:highlight w:val="none"/>
          <w:lang w:val="en-US" w:eastAsia="zh-CN" w:bidi="ar"/>
        </w:rPr>
        <w:t>（最高不超过合同含税总价的3%）</w:t>
      </w:r>
      <w:r>
        <w:rPr>
          <w:rFonts w:hint="eastAsia" w:ascii="宋体" w:hAnsi="宋体" w:eastAsia="宋体" w:cs="宋体"/>
          <w:color w:val="auto"/>
          <w:sz w:val="21"/>
          <w:szCs w:val="21"/>
          <w:highlight w:val="none"/>
          <w:lang w:val="en-US" w:eastAsia="zh-CN"/>
        </w:rPr>
        <w:t>。</w:t>
      </w:r>
    </w:p>
    <w:p w14:paraId="5E036D07">
      <w:pPr>
        <w:autoSpaceDE w:val="0"/>
        <w:autoSpaceDN w:val="0"/>
        <w:adjustRightInd w:val="0"/>
        <w:spacing w:line="360" w:lineRule="auto"/>
        <w:ind w:firstLine="420" w:firstLineChars="200"/>
        <w:jc w:val="left"/>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en-US" w:eastAsia="zh-CN"/>
        </w:rPr>
        <w:t>7</w:t>
      </w:r>
      <w:r>
        <w:rPr>
          <w:rFonts w:hint="eastAsia" w:ascii="宋体" w:hAnsi="宋体" w:eastAsia="宋体" w:cs="Times New Roman"/>
          <w:color w:val="auto"/>
          <w:kern w:val="0"/>
          <w:szCs w:val="21"/>
          <w:highlight w:val="none"/>
        </w:rPr>
        <w:t>、乙方有其他不符合本合同约定的情况的，如本合同已约定相关违约责任，则应从其约定</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合同中无约定的，甲方有权要求乙方在甲方规定的限期内整改完毕，乙方在甲方限期内未完成整改或整改后仍不符合要求的，应向甲方支付合同总价的</w:t>
      </w:r>
      <w:r>
        <w:rPr>
          <w:rFonts w:hint="eastAsia" w:ascii="宋体" w:hAnsi="宋体" w:eastAsia="宋体" w:cs="Times New Roman"/>
          <w:color w:val="auto"/>
          <w:kern w:val="0"/>
          <w:szCs w:val="21"/>
          <w:highlight w:val="none"/>
          <w:lang w:val="en-US" w:eastAsia="zh-CN"/>
        </w:rPr>
        <w:t>3%</w:t>
      </w:r>
      <w:r>
        <w:rPr>
          <w:rFonts w:hint="eastAsia" w:ascii="宋体" w:hAnsi="宋体" w:eastAsia="宋体" w:cs="Times New Roman"/>
          <w:color w:val="auto"/>
          <w:kern w:val="0"/>
          <w:szCs w:val="21"/>
          <w:highlight w:val="none"/>
        </w:rPr>
        <w:t>的违约金</w:t>
      </w:r>
      <w:r>
        <w:rPr>
          <w:rFonts w:hint="eastAsia" w:ascii="宋体" w:hAnsi="宋体" w:eastAsia="宋体" w:cs="宋体"/>
          <w:color w:val="auto"/>
          <w:spacing w:val="-2"/>
          <w:kern w:val="0"/>
          <w:szCs w:val="21"/>
          <w:highlight w:val="none"/>
        </w:rPr>
        <w:t>，同时甲方保留解除本合同的权利</w:t>
      </w:r>
      <w:r>
        <w:rPr>
          <w:rFonts w:hint="eastAsia" w:ascii="宋体" w:hAnsi="宋体" w:eastAsia="宋体" w:cs="Times New Roman"/>
          <w:color w:val="auto"/>
          <w:kern w:val="0"/>
          <w:szCs w:val="21"/>
          <w:highlight w:val="none"/>
        </w:rPr>
        <w:t>。若由此给甲方造成损失的，乙方还应当承担全部赔偿责任。甲方损失无法计算的，乙方同意按合同总价的</w:t>
      </w:r>
      <w:r>
        <w:rPr>
          <w:rFonts w:hint="eastAsia" w:ascii="宋体" w:hAnsi="宋体" w:eastAsia="宋体" w:cs="Times New Roman"/>
          <w:color w:val="auto"/>
          <w:kern w:val="0"/>
          <w:szCs w:val="21"/>
          <w:highlight w:val="none"/>
          <w:lang w:eastAsia="zh-CN"/>
        </w:rPr>
        <w:t>3%</w:t>
      </w:r>
      <w:r>
        <w:rPr>
          <w:rFonts w:hint="eastAsia" w:ascii="宋体" w:hAnsi="宋体" w:eastAsia="宋体" w:cs="Times New Roman"/>
          <w:color w:val="auto"/>
          <w:kern w:val="0"/>
          <w:szCs w:val="21"/>
          <w:highlight w:val="none"/>
        </w:rPr>
        <w:t>计算违约金并支付给甲方。</w:t>
      </w:r>
    </w:p>
    <w:p w14:paraId="4405FC60">
      <w:pPr>
        <w:autoSpaceDE w:val="0"/>
        <w:autoSpaceDN w:val="0"/>
        <w:adjustRightInd w:val="0"/>
        <w:spacing w:line="360" w:lineRule="auto"/>
        <w:ind w:right="0"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en-US" w:eastAsia="zh-CN"/>
        </w:rPr>
        <w:t>8</w:t>
      </w:r>
      <w:r>
        <w:rPr>
          <w:rFonts w:hint="eastAsia" w:ascii="宋体" w:hAnsi="宋体" w:eastAsia="宋体" w:cs="Times New Roman"/>
          <w:color w:val="auto"/>
          <w:kern w:val="0"/>
          <w:szCs w:val="21"/>
          <w:highlight w:val="none"/>
        </w:rPr>
        <w:t>、如因乙方原因，导致发生法律纠纷案件，甲方被列为承担责任的诉讼当事人，或造成社会负面影响的，视为乙方违约，甲方即有权要求乙方支付</w:t>
      </w:r>
      <w:r>
        <w:rPr>
          <w:rFonts w:hint="eastAsia" w:ascii="宋体" w:hAnsi="宋体" w:eastAsia="宋体" w:cs="Times New Roman"/>
          <w:color w:val="auto"/>
          <w:kern w:val="0"/>
          <w:szCs w:val="21"/>
          <w:highlight w:val="none"/>
          <w:lang w:val="en-US" w:eastAsia="zh-CN"/>
        </w:rPr>
        <w:t>5</w:t>
      </w:r>
      <w:r>
        <w:rPr>
          <w:rFonts w:hint="eastAsia" w:ascii="宋体" w:hAnsi="宋体" w:eastAsia="宋体" w:cs="Times New Roman"/>
          <w:color w:val="auto"/>
          <w:kern w:val="0"/>
          <w:szCs w:val="21"/>
          <w:highlight w:val="none"/>
        </w:rPr>
        <w:t>0000元的违约金；如造成甲方经济损失的（包括但不限于律师费、诉讼费、保全费、执行费、差旅费等损失），由乙方赔偿所有损失，并将相关情况报相关行政主管部门。甲方收到法院参与诉讼通知之日视为乙方构成违约，甲方即有权要求乙方承担前述违约金、损失赔偿及情况报送主管部门的违约责任，即使甲方最终未被法院判决承担任何责任，乙方也无权要求甲方免除前述违约责任。</w:t>
      </w:r>
    </w:p>
    <w:p w14:paraId="5842A9EA">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9、因乙方过错导致甲方解除合同的，乙方须在收到甲方解约通知书之日起10</w:t>
      </w:r>
      <w:r>
        <w:rPr>
          <w:rFonts w:hint="eastAsia" w:ascii="宋体" w:hAnsi="宋体" w:eastAsia="宋体" w:cs="Times New Roman"/>
          <w:bCs/>
          <w:color w:val="auto"/>
          <w:kern w:val="0"/>
          <w:szCs w:val="21"/>
          <w:highlight w:val="none"/>
          <w:lang w:val="en-US" w:eastAsia="zh-CN"/>
        </w:rPr>
        <w:t>个自然</w:t>
      </w:r>
      <w:r>
        <w:rPr>
          <w:rFonts w:hint="eastAsia" w:ascii="宋体" w:hAnsi="宋体" w:eastAsia="宋体" w:cs="Times New Roman"/>
          <w:color w:val="auto"/>
          <w:kern w:val="0"/>
          <w:szCs w:val="21"/>
          <w:highlight w:val="none"/>
        </w:rPr>
        <w:t>日内</w:t>
      </w:r>
      <w:r>
        <w:rPr>
          <w:rFonts w:hint="eastAsia" w:ascii="宋体" w:hAnsi="宋体" w:eastAsia="宋体" w:cs="宋体"/>
          <w:color w:val="auto"/>
          <w:spacing w:val="-3"/>
          <w:kern w:val="0"/>
          <w:szCs w:val="21"/>
          <w:highlight w:val="none"/>
        </w:rPr>
        <w:t>按甲方要求退还甲方</w:t>
      </w:r>
      <w:r>
        <w:rPr>
          <w:rFonts w:hint="eastAsia" w:ascii="宋体" w:hAnsi="宋体" w:eastAsia="宋体" w:cs="Times New Roman"/>
          <w:color w:val="auto"/>
          <w:kern w:val="0"/>
          <w:szCs w:val="21"/>
          <w:highlight w:val="none"/>
        </w:rPr>
        <w:t>已支付的价款</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逾期</w:t>
      </w:r>
      <w:r>
        <w:rPr>
          <w:rFonts w:hint="eastAsia" w:ascii="宋体" w:hAnsi="宋体" w:eastAsia="宋体" w:cs="Times New Roman"/>
          <w:color w:val="auto"/>
          <w:kern w:val="0"/>
          <w:szCs w:val="21"/>
          <w:highlight w:val="none"/>
          <w:lang w:val="en-US" w:eastAsia="zh-CN"/>
        </w:rPr>
        <w:t>退还的，按照</w:t>
      </w:r>
      <w:r>
        <w:rPr>
          <w:rFonts w:hint="eastAsia" w:ascii="宋体" w:hAnsi="宋体" w:eastAsia="宋体" w:cs="Times New Roman"/>
          <w:color w:val="auto"/>
          <w:kern w:val="0"/>
          <w:szCs w:val="21"/>
          <w:highlight w:val="none"/>
        </w:rPr>
        <w:t>应退还总金额</w:t>
      </w:r>
      <w:r>
        <w:rPr>
          <w:rFonts w:hint="eastAsia" w:ascii="宋体" w:hAnsi="宋体" w:eastAsia="宋体" w:cs="Times New Roman"/>
          <w:color w:val="auto"/>
          <w:kern w:val="0"/>
          <w:szCs w:val="21"/>
          <w:highlight w:val="none"/>
          <w:lang w:val="en-US" w:eastAsia="zh-CN"/>
        </w:rPr>
        <w:t>3</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val="en-US" w:eastAsia="zh-CN"/>
        </w:rPr>
        <w:t>/日的标准</w:t>
      </w:r>
      <w:r>
        <w:rPr>
          <w:rFonts w:hint="eastAsia" w:ascii="宋体" w:hAnsi="宋体" w:eastAsia="宋体" w:cs="Times New Roman"/>
          <w:color w:val="auto"/>
          <w:kern w:val="0"/>
          <w:szCs w:val="21"/>
          <w:highlight w:val="none"/>
        </w:rPr>
        <w:t>向甲方</w:t>
      </w:r>
      <w:r>
        <w:rPr>
          <w:rFonts w:hint="eastAsia" w:ascii="宋体" w:hAnsi="宋体" w:eastAsia="宋体" w:cs="Times New Roman"/>
          <w:color w:val="auto"/>
          <w:kern w:val="0"/>
          <w:szCs w:val="21"/>
          <w:highlight w:val="none"/>
          <w:lang w:val="en-US" w:eastAsia="zh-CN"/>
        </w:rPr>
        <w:t>支</w:t>
      </w:r>
      <w:r>
        <w:rPr>
          <w:rFonts w:hint="eastAsia" w:ascii="宋体" w:hAnsi="宋体" w:eastAsia="宋体" w:cs="Times New Roman"/>
          <w:color w:val="auto"/>
          <w:kern w:val="0"/>
          <w:szCs w:val="21"/>
          <w:highlight w:val="none"/>
        </w:rPr>
        <w:t>付违约金（最高不超过合同含税总价的</w:t>
      </w:r>
      <w:r>
        <w:rPr>
          <w:rFonts w:hint="eastAsia" w:ascii="宋体" w:hAnsi="宋体" w:eastAsia="宋体" w:cs="Times New Roman"/>
          <w:color w:val="auto"/>
          <w:kern w:val="0"/>
          <w:szCs w:val="21"/>
          <w:highlight w:val="none"/>
          <w:lang w:eastAsia="zh-CN"/>
        </w:rPr>
        <w:t>3%</w:t>
      </w:r>
      <w:r>
        <w:rPr>
          <w:rFonts w:hint="eastAsia" w:ascii="宋体" w:hAnsi="宋体" w:eastAsia="宋体" w:cs="Times New Roman"/>
          <w:color w:val="auto"/>
          <w:kern w:val="0"/>
          <w:szCs w:val="21"/>
          <w:highlight w:val="none"/>
        </w:rPr>
        <w:t>）。</w:t>
      </w:r>
    </w:p>
    <w:p w14:paraId="393CA237">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10、在合同履行期间，乙方违约产生的违约金、赔偿或其他应付费用等款项，甲方有权直接从未付款项中直接抵扣或启用履约担保、质量保函、质保金予以支付，乙方对此表示同意且无异议。抵扣不足部分，乙方应在接到甲方通知后5个工作日内补足，否则按应付款总额</w:t>
      </w:r>
      <w:r>
        <w:rPr>
          <w:rFonts w:hint="eastAsia" w:ascii="宋体" w:hAnsi="宋体" w:eastAsia="宋体" w:cs="Times New Roman"/>
          <w:color w:val="auto"/>
          <w:kern w:val="0"/>
          <w:szCs w:val="21"/>
          <w:highlight w:val="none"/>
          <w:lang w:val="en-US" w:eastAsia="zh-CN"/>
        </w:rPr>
        <w:t>3</w:t>
      </w:r>
      <w:r>
        <w:rPr>
          <w:rFonts w:hint="eastAsia" w:ascii="宋体" w:hAnsi="宋体" w:eastAsia="宋体" w:cs="Times New Roman"/>
          <w:color w:val="auto"/>
          <w:kern w:val="0"/>
          <w:szCs w:val="21"/>
          <w:highlight w:val="none"/>
        </w:rPr>
        <w:t>‰/日支付违约金（最高不超过合同含税</w:t>
      </w:r>
      <w:r>
        <w:rPr>
          <w:rFonts w:hint="eastAsia" w:ascii="宋体" w:hAnsi="宋体" w:eastAsia="宋体" w:cs="Times New Roman"/>
          <w:color w:val="auto"/>
          <w:kern w:val="0"/>
          <w:szCs w:val="21"/>
          <w:highlight w:val="none"/>
          <w:lang w:val="en-US" w:eastAsia="zh-CN"/>
        </w:rPr>
        <w:t>总价</w:t>
      </w:r>
      <w:r>
        <w:rPr>
          <w:rFonts w:hint="eastAsia" w:ascii="宋体" w:hAnsi="宋体" w:eastAsia="宋体" w:cs="Times New Roman"/>
          <w:color w:val="auto"/>
          <w:kern w:val="0"/>
          <w:szCs w:val="21"/>
          <w:highlight w:val="none"/>
        </w:rPr>
        <w:t>的</w:t>
      </w:r>
      <w:r>
        <w:rPr>
          <w:rFonts w:hint="eastAsia" w:ascii="宋体" w:hAnsi="宋体" w:eastAsia="宋体" w:cs="Times New Roman"/>
          <w:color w:val="auto"/>
          <w:kern w:val="0"/>
          <w:szCs w:val="21"/>
          <w:highlight w:val="none"/>
          <w:lang w:eastAsia="zh-CN"/>
        </w:rPr>
        <w:t>3%</w:t>
      </w:r>
      <w:r>
        <w:rPr>
          <w:rFonts w:hint="eastAsia" w:ascii="宋体" w:hAnsi="宋体" w:eastAsia="宋体" w:cs="Times New Roman"/>
          <w:color w:val="auto"/>
          <w:kern w:val="0"/>
          <w:szCs w:val="21"/>
          <w:highlight w:val="none"/>
        </w:rPr>
        <w:t>），直至全部付清。</w:t>
      </w:r>
    </w:p>
    <w:p w14:paraId="216A57CC">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11、在合同履行过程中</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无论何种原因导致履约担保</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质保金/保函数额不符合</w:t>
      </w:r>
      <w:r>
        <w:rPr>
          <w:rFonts w:hint="eastAsia" w:ascii="宋体" w:hAnsi="宋体" w:eastAsia="宋体" w:cs="Times New Roman"/>
          <w:color w:val="auto"/>
          <w:kern w:val="0"/>
          <w:szCs w:val="21"/>
          <w:highlight w:val="none"/>
          <w:lang w:val="en-US" w:eastAsia="zh-CN"/>
        </w:rPr>
        <w:t>招标文件、合同文件等</w:t>
      </w:r>
      <w:r>
        <w:rPr>
          <w:rFonts w:hint="eastAsia" w:ascii="宋体" w:hAnsi="宋体" w:eastAsia="宋体" w:cs="Times New Roman"/>
          <w:color w:val="auto"/>
          <w:kern w:val="0"/>
          <w:szCs w:val="21"/>
          <w:highlight w:val="none"/>
        </w:rPr>
        <w:t>要求的，乙方应当在5个</w:t>
      </w:r>
      <w:r>
        <w:rPr>
          <w:rFonts w:hint="eastAsia" w:ascii="宋体" w:hAnsi="宋体" w:eastAsia="宋体" w:cs="Times New Roman"/>
          <w:color w:val="auto"/>
          <w:kern w:val="0"/>
          <w:szCs w:val="21"/>
          <w:highlight w:val="none"/>
          <w:lang w:val="en-US" w:eastAsia="zh-CN"/>
        </w:rPr>
        <w:t>自然</w:t>
      </w:r>
      <w:r>
        <w:rPr>
          <w:rFonts w:hint="eastAsia" w:ascii="宋体" w:hAnsi="宋体" w:eastAsia="宋体" w:cs="Times New Roman"/>
          <w:color w:val="auto"/>
          <w:kern w:val="0"/>
          <w:szCs w:val="21"/>
          <w:highlight w:val="none"/>
        </w:rPr>
        <w:t>日内予以补足。逾期不予补足的，甲方有权按需补足的金额要求乙方承担违约金，并要求限期补足。如乙方仍不补足的，甲方有权单方解除合同，</w:t>
      </w:r>
      <w:r>
        <w:rPr>
          <w:rFonts w:hint="eastAsia" w:ascii="宋体" w:hAnsi="宋体" w:eastAsia="宋体" w:cs="Times New Roman"/>
          <w:color w:val="auto"/>
          <w:kern w:val="0"/>
          <w:szCs w:val="21"/>
          <w:highlight w:val="none"/>
          <w:lang w:val="en-US" w:eastAsia="zh-CN"/>
        </w:rPr>
        <w:t>同时</w:t>
      </w:r>
      <w:r>
        <w:rPr>
          <w:rFonts w:hint="eastAsia" w:ascii="宋体" w:hAnsi="宋体" w:eastAsia="宋体" w:cs="Times New Roman"/>
          <w:color w:val="auto"/>
          <w:kern w:val="0"/>
          <w:szCs w:val="21"/>
          <w:highlight w:val="none"/>
        </w:rPr>
        <w:t>有权要求乙方按照合同总价</w:t>
      </w:r>
      <w:r>
        <w:rPr>
          <w:rFonts w:hint="eastAsia" w:ascii="宋体" w:hAnsi="宋体" w:eastAsia="宋体" w:cs="Times New Roman"/>
          <w:color w:val="auto"/>
          <w:kern w:val="0"/>
          <w:szCs w:val="21"/>
          <w:highlight w:val="none"/>
          <w:lang w:eastAsia="zh-CN"/>
        </w:rPr>
        <w:t>3%</w:t>
      </w:r>
      <w:r>
        <w:rPr>
          <w:rFonts w:hint="eastAsia" w:ascii="宋体" w:hAnsi="宋体" w:eastAsia="宋体" w:cs="Times New Roman"/>
          <w:color w:val="auto"/>
          <w:kern w:val="0"/>
          <w:szCs w:val="21"/>
          <w:highlight w:val="none"/>
        </w:rPr>
        <w:t>承担违约金，违约金可直接从未付合同款</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履约担保</w:t>
      </w:r>
      <w:r>
        <w:rPr>
          <w:rFonts w:hint="eastAsia" w:ascii="宋体" w:hAnsi="宋体" w:eastAsia="宋体" w:cs="Times New Roman"/>
          <w:color w:val="auto"/>
          <w:kern w:val="0"/>
          <w:szCs w:val="21"/>
          <w:highlight w:val="none"/>
          <w:lang w:val="en-US" w:eastAsia="zh-CN"/>
        </w:rPr>
        <w:t>或</w:t>
      </w:r>
      <w:r>
        <w:rPr>
          <w:rFonts w:hint="eastAsia" w:ascii="宋体" w:hAnsi="宋体" w:eastAsia="宋体" w:cs="Times New Roman"/>
          <w:color w:val="auto"/>
          <w:kern w:val="0"/>
          <w:szCs w:val="21"/>
          <w:highlight w:val="none"/>
        </w:rPr>
        <w:t>质保金/保函中扣除。</w:t>
      </w:r>
    </w:p>
    <w:p w14:paraId="6C1887B6">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12、在合同履行过程中乙方存在违约行为的，乙方除应承担合同约定的违约、损失赔偿等责任外，还应承担甲方为解决纠纷而产生的所有费用（包括但不限于律师费、诉讼费、财产保全费、财产保全担保费、执行费、公证费、鉴定费、差旅费、调查取证费、专家论证费、公告费、拍卖费等）。</w:t>
      </w:r>
    </w:p>
    <w:p w14:paraId="32328CDD">
      <w:pPr>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十三、虚假承诺</w:t>
      </w:r>
    </w:p>
    <w:p w14:paraId="5F6E7E88">
      <w:pPr>
        <w:snapToGrid w:val="0"/>
        <w:spacing w:line="360" w:lineRule="auto"/>
        <w:ind w:firstLine="420" w:firstLineChars="200"/>
        <w:rPr>
          <w:rFonts w:hint="eastAsia" w:ascii="宋体" w:hAnsi="宋体" w:eastAsia="宋体" w:cs="Times New Roman"/>
          <w:color w:val="auto"/>
          <w:kern w:val="0"/>
          <w:szCs w:val="21"/>
          <w:highlight w:val="none"/>
          <w:lang w:eastAsia="zh-CN"/>
        </w:rPr>
      </w:pPr>
      <w:r>
        <w:rPr>
          <w:rFonts w:hint="eastAsia" w:ascii="宋体" w:hAnsi="宋体" w:eastAsia="宋体" w:cs="Times New Roman"/>
          <w:color w:val="auto"/>
          <w:kern w:val="0"/>
          <w:szCs w:val="21"/>
          <w:highlight w:val="none"/>
        </w:rPr>
        <w:t>1、履约阶段若乙方提供与本合同约定不符的货物、服务或其他与投标文件承诺不符的服务、货物或</w:t>
      </w:r>
      <w:r>
        <w:rPr>
          <w:rFonts w:hint="eastAsia" w:ascii="宋体" w:hAnsi="宋体" w:eastAsia="宋体" w:cs="Times New Roman"/>
          <w:color w:val="auto"/>
          <w:kern w:val="0"/>
          <w:szCs w:val="21"/>
          <w:highlight w:val="none"/>
          <w:lang w:val="en-US" w:eastAsia="zh-CN"/>
        </w:rPr>
        <w:t>存在</w:t>
      </w:r>
      <w:r>
        <w:rPr>
          <w:rFonts w:hint="eastAsia" w:ascii="宋体" w:hAnsi="宋体" w:eastAsia="宋体" w:cs="Times New Roman"/>
          <w:color w:val="auto"/>
          <w:kern w:val="0"/>
          <w:szCs w:val="21"/>
          <w:highlight w:val="none"/>
        </w:rPr>
        <w:t>虚假承诺的，乙方需严格按照甲方要求进行整改直至满足本合同及甲方要求，如乙方</w:t>
      </w:r>
      <w:r>
        <w:rPr>
          <w:rFonts w:hint="eastAsia" w:ascii="宋体" w:hAnsi="宋体" w:eastAsia="宋体" w:cs="宋体"/>
          <w:color w:val="auto"/>
          <w:kern w:val="0"/>
          <w:szCs w:val="21"/>
          <w:highlight w:val="none"/>
          <w:lang w:val="en-US" w:eastAsia="zh-CN" w:bidi="ar"/>
        </w:rPr>
        <w:t>5个自然日</w:t>
      </w:r>
      <w:r>
        <w:rPr>
          <w:rFonts w:hint="eastAsia" w:ascii="宋体" w:hAnsi="宋体" w:eastAsia="宋体" w:cs="宋体"/>
          <w:color w:val="auto"/>
          <w:kern w:val="0"/>
          <w:szCs w:val="21"/>
          <w:highlight w:val="none"/>
          <w:lang w:bidi="ar"/>
        </w:rPr>
        <w:t>内</w:t>
      </w:r>
      <w:r>
        <w:rPr>
          <w:rFonts w:hint="eastAsia" w:ascii="宋体" w:hAnsi="宋体" w:eastAsia="宋体" w:cs="Times New Roman"/>
          <w:color w:val="auto"/>
          <w:kern w:val="0"/>
          <w:szCs w:val="21"/>
          <w:highlight w:val="none"/>
        </w:rPr>
        <w:t>未完成整改工作，乙方应每日按合同</w:t>
      </w:r>
      <w:r>
        <w:rPr>
          <w:rFonts w:hint="eastAsia" w:ascii="宋体" w:hAnsi="宋体" w:eastAsia="宋体" w:cs="Times New Roman"/>
          <w:color w:val="auto"/>
          <w:kern w:val="0"/>
          <w:szCs w:val="21"/>
          <w:highlight w:val="none"/>
          <w:lang w:val="en-US" w:eastAsia="zh-CN"/>
        </w:rPr>
        <w:t>含税</w:t>
      </w:r>
      <w:r>
        <w:rPr>
          <w:rFonts w:hint="eastAsia" w:ascii="宋体" w:hAnsi="宋体" w:eastAsia="宋体" w:cs="Times New Roman"/>
          <w:color w:val="auto"/>
          <w:kern w:val="0"/>
          <w:szCs w:val="21"/>
          <w:highlight w:val="none"/>
        </w:rPr>
        <w:t>总价的</w:t>
      </w:r>
      <w:r>
        <w:rPr>
          <w:rFonts w:hint="eastAsia" w:ascii="宋体" w:hAnsi="宋体" w:eastAsia="宋体" w:cs="Times New Roman"/>
          <w:color w:val="auto"/>
          <w:kern w:val="0"/>
          <w:szCs w:val="21"/>
          <w:highlight w:val="none"/>
          <w:lang w:val="en-US" w:eastAsia="zh-CN"/>
        </w:rPr>
        <w:t>2</w:t>
      </w:r>
      <w:r>
        <w:rPr>
          <w:rFonts w:hint="eastAsia" w:ascii="宋体" w:hAnsi="宋体" w:eastAsia="宋体" w:cs="Times New Roman"/>
          <w:color w:val="auto"/>
          <w:kern w:val="0"/>
          <w:szCs w:val="21"/>
          <w:highlight w:val="none"/>
        </w:rPr>
        <w:t>‰向甲方支付违约金（最高不超过合同含税总价的</w:t>
      </w:r>
      <w:r>
        <w:rPr>
          <w:rFonts w:hint="eastAsia" w:ascii="宋体" w:hAnsi="宋体" w:eastAsia="宋体" w:cs="Times New Roman"/>
          <w:color w:val="auto"/>
          <w:kern w:val="0"/>
          <w:szCs w:val="21"/>
          <w:highlight w:val="none"/>
          <w:lang w:eastAsia="zh-CN"/>
        </w:rPr>
        <w:t>3%</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同时</w:t>
      </w:r>
      <w:r>
        <w:rPr>
          <w:rFonts w:hint="eastAsia" w:ascii="宋体" w:hAnsi="宋体" w:eastAsia="宋体" w:cs="Times New Roman"/>
          <w:color w:val="auto"/>
          <w:kern w:val="0"/>
          <w:szCs w:val="21"/>
          <w:highlight w:val="none"/>
          <w:lang w:val="en-US" w:eastAsia="zh-CN"/>
        </w:rPr>
        <w:t>乙方</w:t>
      </w:r>
      <w:r>
        <w:rPr>
          <w:rFonts w:hint="eastAsia" w:ascii="宋体" w:hAnsi="宋体" w:eastAsia="宋体" w:cs="Times New Roman"/>
          <w:color w:val="auto"/>
          <w:kern w:val="0"/>
          <w:szCs w:val="21"/>
          <w:highlight w:val="none"/>
        </w:rPr>
        <w:t>应当承担由此给</w:t>
      </w:r>
      <w:r>
        <w:rPr>
          <w:rFonts w:hint="eastAsia" w:ascii="宋体" w:hAnsi="宋体" w:eastAsia="宋体" w:cs="Times New Roman"/>
          <w:color w:val="auto"/>
          <w:kern w:val="0"/>
          <w:szCs w:val="21"/>
          <w:highlight w:val="none"/>
          <w:lang w:val="en-US" w:eastAsia="zh-CN"/>
        </w:rPr>
        <w:t>甲方</w:t>
      </w:r>
      <w:r>
        <w:rPr>
          <w:rFonts w:hint="eastAsia" w:ascii="宋体" w:hAnsi="宋体" w:eastAsia="宋体" w:cs="Times New Roman"/>
          <w:color w:val="auto"/>
          <w:kern w:val="0"/>
          <w:szCs w:val="21"/>
          <w:highlight w:val="none"/>
        </w:rPr>
        <w:t>造成的全部损失，包括但不限于律师费、诉讼费、保全费、执行费、差旅费、赔偿金等</w:t>
      </w:r>
      <w:r>
        <w:rPr>
          <w:rFonts w:hint="eastAsia" w:ascii="宋体" w:hAnsi="宋体" w:eastAsia="宋体" w:cs="宋体"/>
          <w:color w:val="auto"/>
          <w:sz w:val="21"/>
          <w:szCs w:val="21"/>
          <w:highlight w:val="none"/>
        </w:rPr>
        <w:t>。</w:t>
      </w:r>
    </w:p>
    <w:p w14:paraId="3E940FC4">
      <w:pPr>
        <w:snapToGrid w:val="0"/>
        <w:spacing w:line="360" w:lineRule="auto"/>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质保期阶段若乙方提供与本合同约定不符的货物、服务或其他与投标文件承诺不符的服务、货物的，乙方需严格按照甲方要求进行整改直至满足本合同及甲方要求，同时，甲方有权要求乙方支付5000元/次的违约金(最高不超过合同含税总价的</w:t>
      </w:r>
      <w:r>
        <w:rPr>
          <w:rFonts w:hint="eastAsia" w:ascii="宋体" w:hAnsi="宋体" w:eastAsia="宋体" w:cs="Times New Roman"/>
          <w:color w:val="auto"/>
          <w:kern w:val="0"/>
          <w:szCs w:val="21"/>
          <w:highlight w:val="none"/>
          <w:lang w:val="en-US" w:eastAsia="zh-CN"/>
        </w:rPr>
        <w:t>3</w:t>
      </w:r>
      <w:r>
        <w:rPr>
          <w:rFonts w:hint="eastAsia" w:ascii="宋体" w:hAnsi="宋体" w:eastAsia="宋体" w:cs="Times New Roman"/>
          <w:color w:val="auto"/>
          <w:kern w:val="0"/>
          <w:szCs w:val="21"/>
          <w:highlight w:val="none"/>
        </w:rPr>
        <w:t>%)，相关违约金</w:t>
      </w:r>
      <w:r>
        <w:rPr>
          <w:rFonts w:hint="eastAsia" w:ascii="宋体" w:hAnsi="宋体" w:eastAsia="宋体" w:cs="Times New Roman"/>
          <w:color w:val="auto"/>
          <w:kern w:val="0"/>
          <w:szCs w:val="21"/>
          <w:highlight w:val="none"/>
          <w:lang w:val="en-US" w:eastAsia="zh-CN"/>
        </w:rPr>
        <w:t>可</w:t>
      </w:r>
      <w:r>
        <w:rPr>
          <w:rFonts w:hint="eastAsia" w:ascii="宋体" w:hAnsi="宋体" w:eastAsia="宋体" w:cs="Times New Roman"/>
          <w:color w:val="auto"/>
          <w:kern w:val="0"/>
          <w:szCs w:val="21"/>
          <w:highlight w:val="none"/>
        </w:rPr>
        <w:t>从乙方的质量保函或质保金中扣除。</w:t>
      </w:r>
    </w:p>
    <w:p w14:paraId="286BC0A7">
      <w:pPr>
        <w:autoSpaceDE w:val="0"/>
        <w:autoSpaceDN w:val="0"/>
        <w:adjustRightInd w:val="0"/>
        <w:spacing w:line="360" w:lineRule="auto"/>
        <w:ind w:firstLine="420" w:firstLineChars="200"/>
        <w:jc w:val="left"/>
        <w:rPr>
          <w:rFonts w:ascii="宋体" w:hAnsi="宋体" w:eastAsia="宋体" w:cs="Times New Roman"/>
          <w:b/>
          <w:color w:val="auto"/>
          <w:kern w:val="0"/>
          <w:szCs w:val="21"/>
          <w:highlight w:val="none"/>
        </w:rPr>
      </w:pPr>
      <w:r>
        <w:rPr>
          <w:rFonts w:hint="eastAsia" w:ascii="宋体" w:hAnsi="宋体" w:eastAsia="宋体" w:cs="Times New Roman"/>
          <w:color w:val="auto"/>
          <w:kern w:val="0"/>
          <w:szCs w:val="21"/>
          <w:highlight w:val="none"/>
        </w:rPr>
        <w:t>3、质保期满后若乙方提供与本合同约定不符的货物、服务或其他与投标文件承诺不符的服务、货物的，乙方需严格按照甲方要求进行整改直至满足本合同及甲方要求。</w:t>
      </w:r>
    </w:p>
    <w:p w14:paraId="2DAF56C9">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十四、争议的解决</w:t>
      </w:r>
    </w:p>
    <w:p w14:paraId="10A5E90A">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1、凡与本合同有关的一切争议，甲乙双方可首先通过友好协商解决，如经协商后仍不能达成</w:t>
      </w:r>
      <w:r>
        <w:rPr>
          <w:rFonts w:hint="eastAsia" w:ascii="宋体" w:hAnsi="宋体" w:eastAsia="宋体" w:cs="Times New Roman"/>
          <w:color w:val="auto"/>
          <w:kern w:val="0"/>
          <w:szCs w:val="21"/>
          <w:highlight w:val="none"/>
          <w:lang w:val="en-US" w:eastAsia="zh-CN"/>
        </w:rPr>
        <w:t>一致意见的</w:t>
      </w:r>
      <w:r>
        <w:rPr>
          <w:rFonts w:hint="eastAsia" w:ascii="宋体" w:hAnsi="宋体" w:eastAsia="宋体" w:cs="Times New Roman"/>
          <w:color w:val="auto"/>
          <w:kern w:val="0"/>
          <w:szCs w:val="21"/>
          <w:highlight w:val="none"/>
        </w:rPr>
        <w:t>，任何一方可以向甲方所在地有管辖权的人民法院提出诉讼。</w:t>
      </w:r>
    </w:p>
    <w:p w14:paraId="74E88767">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2、在法院审理期间，除提交法院审理的争议事项外，合同其他无争议部分仍继续履行。</w:t>
      </w:r>
    </w:p>
    <w:p w14:paraId="3131AB25">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3、本合同按照中华人民共和国的法律进行解释。</w:t>
      </w:r>
    </w:p>
    <w:p w14:paraId="64692EEE">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十五、知识产权</w:t>
      </w:r>
    </w:p>
    <w:p w14:paraId="5620929B">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1、乙方应保证交付的本合同全部产品不存在侵犯第三方</w:t>
      </w:r>
      <w:r>
        <w:rPr>
          <w:rFonts w:hint="eastAsia" w:ascii="宋体" w:hAnsi="宋体" w:eastAsia="宋体" w:cs="Times New Roman"/>
          <w:color w:val="auto"/>
          <w:kern w:val="0"/>
          <w:szCs w:val="21"/>
          <w:highlight w:val="none"/>
          <w:lang w:val="en-US" w:eastAsia="zh-CN"/>
        </w:rPr>
        <w:t>的</w:t>
      </w:r>
      <w:r>
        <w:rPr>
          <w:rFonts w:hint="eastAsia" w:ascii="宋体" w:hAnsi="宋体" w:eastAsia="宋体" w:cs="Times New Roman"/>
          <w:color w:val="auto"/>
          <w:kern w:val="0"/>
          <w:szCs w:val="21"/>
          <w:highlight w:val="none"/>
        </w:rPr>
        <w:t>合法权益</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如第三方以本合同产品侵权为由提起侵权主张，乙方须与第三方交涉并承担由此发生的一切责任、费用和经济赔偿。同时乙方应立即提供替代方案确保甲方正常使用，争议解决前不得停止履约。由于乙方提供的产品的任何一部分不符合知识产权规定，由乙方承担因此给甲方造成的全部损失（包括但不限于甲方为维护自身权益所支付的律师费、诉讼费、鉴定费、差旅费、商誉损失以及甲方依法向第三方支付的赔偿款等全部费用）。</w:t>
      </w:r>
    </w:p>
    <w:p w14:paraId="68BA4333">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2、本合同价格已包括所有应支付的对专利权、</w:t>
      </w:r>
      <w:r>
        <w:rPr>
          <w:rFonts w:ascii="宋体" w:hAnsi="宋体" w:eastAsia="宋体" w:cs="Times New Roman"/>
          <w:color w:val="auto"/>
          <w:kern w:val="0"/>
          <w:szCs w:val="21"/>
          <w:highlight w:val="none"/>
        </w:rPr>
        <w:t>商标权</w:t>
      </w:r>
      <w:r>
        <w:rPr>
          <w:rFonts w:hint="eastAsia" w:ascii="宋体" w:hAnsi="宋体" w:eastAsia="宋体" w:cs="Times New Roman"/>
          <w:color w:val="auto"/>
          <w:kern w:val="0"/>
          <w:szCs w:val="21"/>
          <w:highlight w:val="none"/>
        </w:rPr>
        <w:t>和版权、设计或其他知识产权而需要向其他方支付的专利技术使用费和版税。如乙方未依法向第三方支付应缴版税和使用费等相关费用的，造成甲方任何经济损失的，由乙方承担全部赔偿责任</w:t>
      </w:r>
      <w:r>
        <w:rPr>
          <w:rFonts w:hint="eastAsia" w:ascii="宋体" w:hAnsi="宋体" w:eastAsia="宋体" w:cs="宋体"/>
          <w:color w:val="auto"/>
          <w:szCs w:val="21"/>
          <w:highlight w:val="none"/>
          <w:lang w:val="zh-CN"/>
        </w:rPr>
        <w:t>。</w:t>
      </w:r>
    </w:p>
    <w:p w14:paraId="55C23A1C">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十六、税和关税</w:t>
      </w:r>
    </w:p>
    <w:p w14:paraId="0D7DD409">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1、中国政府根据现行税法规定对乙方或其雇员征收的与本合同有关的一切税费应由乙方负担。</w:t>
      </w:r>
    </w:p>
    <w:p w14:paraId="50F9EA27">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2、在中国境外发生的与本合同执行有关的一切税费均应由乙方负担。</w:t>
      </w:r>
    </w:p>
    <w:p w14:paraId="291382A3">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十七、不可抗力</w:t>
      </w:r>
    </w:p>
    <w:p w14:paraId="1A17E914">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 xml:space="preserve">由于地震、台风、水灾、战争以及其他不能预见并且对其发生和后果不能防止或避免的不可抗力事故，致使直接影响本合同的履行或不能按约定的条件履行时，甲乙双方互不承担责任。但遇有上述不可抗力事故的一方，应立即将事故情况以电话、传真或其他有效方式通知对方，并应在 </w:t>
      </w:r>
      <w:r>
        <w:rPr>
          <w:rFonts w:hint="eastAsia" w:ascii="宋体" w:hAnsi="宋体" w:eastAsia="宋体" w:cs="Times New Roman"/>
          <w:color w:val="auto"/>
          <w:kern w:val="0"/>
          <w:szCs w:val="21"/>
          <w:highlight w:val="none"/>
          <w:lang w:val="en-US" w:eastAsia="zh-CN"/>
        </w:rPr>
        <w:t>15</w:t>
      </w:r>
      <w:r>
        <w:rPr>
          <w:rFonts w:hint="eastAsia" w:ascii="宋体" w:hAnsi="宋体" w:eastAsia="宋体" w:cs="Times New Roman"/>
          <w:color w:val="auto"/>
          <w:kern w:val="0"/>
          <w:szCs w:val="21"/>
          <w:highlight w:val="none"/>
        </w:rPr>
        <w:t xml:space="preserve"> 个工作日内，提供事故详情及合同不能履行、或者部分不能履行、或者需要延期履行的理由的有效证明文件。如因为遭受不可抗力一方迟延通知而给对方造成损失的，该方应当赔偿由于通知迟延而给对方造成的损失。同时，遭受不可抗力的一方应采取一切必要的措施减少损失，否则应就扩大的损失承担责任。按照事故对履行合同影响的程度，由各方协商决定是否解除本合同，或者部分免除履行合同的责任，或者延期履行合同。</w:t>
      </w:r>
    </w:p>
    <w:p w14:paraId="2C4F3A1D">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十八、送达</w:t>
      </w:r>
    </w:p>
    <w:p w14:paraId="0CB68B11">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 xml:space="preserve">1、甲乙双方就本合同中涉及各类通知、协议等文件以及就合同发生纠纷时相关文件和法律文书送达时的送达地址及法律后果作如下约定： </w:t>
      </w:r>
    </w:p>
    <w:p w14:paraId="679DF205">
      <w:pPr>
        <w:autoSpaceDE w:val="0"/>
        <w:autoSpaceDN w:val="0"/>
        <w:adjustRightInd w:val="0"/>
        <w:spacing w:line="360" w:lineRule="auto"/>
        <w:ind w:firstLine="420" w:firstLineChars="200"/>
        <w:jc w:val="left"/>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甲方确认其有效的送达地址为【东莞市东城街道</w:t>
      </w:r>
      <w:r>
        <w:rPr>
          <w:rFonts w:hint="eastAsia" w:ascii="宋体" w:hAnsi="宋体" w:eastAsia="宋体" w:cs="Times New Roman"/>
          <w:color w:val="auto"/>
          <w:kern w:val="0"/>
          <w:szCs w:val="21"/>
          <w:highlight w:val="none"/>
          <w:lang w:val="en-US" w:eastAsia="zh-CN"/>
        </w:rPr>
        <w:t>东城</w:t>
      </w:r>
      <w:r>
        <w:rPr>
          <w:rFonts w:hint="eastAsia" w:ascii="宋体" w:hAnsi="宋体" w:eastAsia="宋体" w:cs="Times New Roman"/>
          <w:color w:val="auto"/>
          <w:kern w:val="0"/>
          <w:szCs w:val="21"/>
          <w:highlight w:val="none"/>
        </w:rPr>
        <w:t>运河路5号</w:t>
      </w:r>
      <w:r>
        <w:rPr>
          <w:rFonts w:hint="eastAsia" w:ascii="宋体" w:hAnsi="宋体" w:eastAsia="宋体" w:cs="宋体"/>
          <w:color w:val="auto"/>
          <w:kern w:val="0"/>
          <w:szCs w:val="21"/>
          <w:highlight w:val="none"/>
        </w:rPr>
        <w:t>东莞市水务</w:t>
      </w:r>
      <w:r>
        <w:rPr>
          <w:rFonts w:hint="eastAsia" w:ascii="宋体" w:hAnsi="宋体" w:eastAsia="宋体" w:cs="宋体"/>
          <w:color w:val="auto"/>
          <w:kern w:val="0"/>
          <w:szCs w:val="21"/>
          <w:highlight w:val="none"/>
          <w:lang w:val="en-US" w:eastAsia="zh-CN"/>
        </w:rPr>
        <w:t>环境投资控股集团管网有限公司</w:t>
      </w:r>
      <w:r>
        <w:rPr>
          <w:rFonts w:hint="eastAsia" w:ascii="宋体" w:hAnsi="宋体" w:eastAsia="宋体" w:cs="Times New Roman"/>
          <w:color w:val="auto"/>
          <w:kern w:val="0"/>
          <w:szCs w:val="21"/>
          <w:highlight w:val="none"/>
        </w:rPr>
        <w:t>】；联系人：【</w:t>
      </w:r>
      <w:r>
        <w:rPr>
          <w:rFonts w:hint="eastAsia" w:ascii="宋体" w:hAnsi="宋体" w:eastAsia="宋体" w:cs="Times New Roman"/>
          <w:color w:val="auto"/>
          <w:kern w:val="0"/>
          <w:szCs w:val="21"/>
          <w:highlight w:val="none"/>
          <w:lang w:val="en-US" w:eastAsia="zh-CN"/>
        </w:rPr>
        <w:t xml:space="preserve">   </w:t>
      </w:r>
      <w:r>
        <w:rPr>
          <w:rFonts w:hint="eastAsia" w:ascii="宋体" w:hAnsi="宋体" w:eastAsia="宋体" w:cs="Times New Roman"/>
          <w:color w:val="auto"/>
          <w:kern w:val="0"/>
          <w:szCs w:val="21"/>
          <w:highlight w:val="none"/>
        </w:rPr>
        <w:t>】；联系电话【</w:t>
      </w:r>
      <w:r>
        <w:rPr>
          <w:rFonts w:hint="eastAsia" w:ascii="宋体" w:hAnsi="宋体" w:eastAsia="宋体" w:cs="Times New Roman"/>
          <w:color w:val="auto"/>
          <w:kern w:val="0"/>
          <w:szCs w:val="21"/>
          <w:highlight w:val="none"/>
          <w:lang w:val="en-US" w:eastAsia="zh-CN"/>
        </w:rPr>
        <w:t xml:space="preserve">  </w:t>
      </w:r>
      <w:r>
        <w:rPr>
          <w:rFonts w:hint="eastAsia" w:ascii="宋体" w:hAnsi="宋体" w:eastAsia="宋体" w:cs="Times New Roman"/>
          <w:color w:val="auto"/>
          <w:kern w:val="0"/>
          <w:szCs w:val="21"/>
          <w:highlight w:val="none"/>
        </w:rPr>
        <w:t xml:space="preserve">】。 </w:t>
      </w:r>
    </w:p>
    <w:p w14:paraId="0477C066">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乙方确认其有效的送达地址为【</w:t>
      </w:r>
      <w:r>
        <w:rPr>
          <w:rFonts w:hint="eastAsia" w:ascii="宋体" w:hAnsi="宋体" w:eastAsia="宋体" w:cs="Times New Roman"/>
          <w:color w:val="auto"/>
          <w:kern w:val="0"/>
          <w:szCs w:val="21"/>
          <w:highlight w:val="none"/>
          <w:lang w:val="en-US" w:eastAsia="zh-CN"/>
        </w:rPr>
        <w:t xml:space="preserve">   </w:t>
      </w:r>
      <w:r>
        <w:rPr>
          <w:rFonts w:hint="eastAsia" w:ascii="宋体" w:hAnsi="宋体" w:eastAsia="宋体" w:cs="Times New Roman"/>
          <w:color w:val="auto"/>
          <w:kern w:val="0"/>
          <w:szCs w:val="21"/>
          <w:highlight w:val="none"/>
        </w:rPr>
        <w:t>】；联系人：【</w:t>
      </w:r>
      <w:r>
        <w:rPr>
          <w:rFonts w:hint="eastAsia" w:ascii="宋体" w:hAnsi="宋体" w:eastAsia="宋体" w:cs="Times New Roman"/>
          <w:color w:val="auto"/>
          <w:kern w:val="0"/>
          <w:szCs w:val="21"/>
          <w:highlight w:val="none"/>
          <w:lang w:val="en-US" w:eastAsia="zh-CN"/>
        </w:rPr>
        <w:t xml:space="preserve">   </w:t>
      </w:r>
      <w:r>
        <w:rPr>
          <w:rFonts w:hint="eastAsia" w:ascii="宋体" w:hAnsi="宋体" w:eastAsia="宋体" w:cs="Times New Roman"/>
          <w:color w:val="auto"/>
          <w:kern w:val="0"/>
          <w:szCs w:val="21"/>
          <w:highlight w:val="none"/>
        </w:rPr>
        <w:t>】；联系电话【</w:t>
      </w:r>
      <w:r>
        <w:rPr>
          <w:rFonts w:hint="eastAsia" w:ascii="宋体" w:hAnsi="宋体" w:eastAsia="宋体" w:cs="Times New Roman"/>
          <w:color w:val="auto"/>
          <w:kern w:val="0"/>
          <w:szCs w:val="21"/>
          <w:highlight w:val="none"/>
          <w:lang w:val="en-US" w:eastAsia="zh-CN"/>
        </w:rPr>
        <w:t xml:space="preserve">    </w:t>
      </w:r>
      <w:r>
        <w:rPr>
          <w:rFonts w:hint="eastAsia" w:ascii="宋体" w:hAnsi="宋体" w:eastAsia="宋体" w:cs="Times New Roman"/>
          <w:color w:val="auto"/>
          <w:kern w:val="0"/>
          <w:szCs w:val="21"/>
          <w:highlight w:val="none"/>
        </w:rPr>
        <w:t>】。</w:t>
      </w:r>
    </w:p>
    <w:p w14:paraId="3947680D">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甲乙双方均承诺，上述确认的送达地址和联系电话真实有效，如有错误，所导致的商业信函和诉讼文书送达不能的后果由自身承担；甲乙双方就本合同中涉及各类通知、协议等文件按上述联系地址发出后生效，并视为送达。</w:t>
      </w:r>
    </w:p>
    <w:p w14:paraId="753DC7F7">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 xml:space="preserve">2、甲乙双方上述确认送达地址适用范围包括但不限于：双方非诉时各类通知、协议等文件以及就合同发生纠纷时相关文件和法律文书的送达，同时包括在争议进入仲裁、民事诉讼程序后的一审、二审、再审和执行程序。 </w:t>
      </w:r>
    </w:p>
    <w:p w14:paraId="67321A6F">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3、甲方的送达地址需要变更时应当履行及时通知的义务，应提前【3】个工作日通过【电话】 的方式向乙方进行通知；乙方的送达地址需要变更时应当履行及时通知的义务，应提前【3】个工作日通过【电话】的方式向甲方进行通知。</w:t>
      </w:r>
    </w:p>
    <w:p w14:paraId="3D7694D1">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4、本条款具有独立法律效力，不因合同其他条款的无效而无效。</w:t>
      </w:r>
    </w:p>
    <w:p w14:paraId="4659F880">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十九、其它</w:t>
      </w:r>
    </w:p>
    <w:p w14:paraId="106B23A2">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本合同经双方法定代表人或其委托代理人签字并加盖公章后生效，生效日以最后一方签字并盖章之日为准。在执行本合同的过程中，所有经甲乙双方签署确认的文件（包括合同附件、补充协议）即成为本合同的有效组成部分，其生效日期为双方签署之日期。</w:t>
      </w:r>
    </w:p>
    <w:p w14:paraId="1F59E796">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2、本合同一式</w:t>
      </w:r>
      <w:r>
        <w:rPr>
          <w:rFonts w:hint="eastAsia" w:ascii="宋体" w:hAnsi="宋体" w:eastAsia="宋体" w:cs="Times New Roman"/>
          <w:color w:val="auto"/>
          <w:kern w:val="0"/>
          <w:szCs w:val="21"/>
          <w:highlight w:val="none"/>
          <w:u w:val="single"/>
        </w:rPr>
        <w:t xml:space="preserve"> 陆 </w:t>
      </w:r>
      <w:r>
        <w:rPr>
          <w:rFonts w:hint="eastAsia" w:ascii="宋体" w:hAnsi="宋体" w:eastAsia="宋体" w:cs="Times New Roman"/>
          <w:color w:val="auto"/>
          <w:kern w:val="0"/>
          <w:szCs w:val="21"/>
          <w:highlight w:val="none"/>
        </w:rPr>
        <w:t>份，具有同等法律效力。甲方执</w:t>
      </w:r>
      <w:r>
        <w:rPr>
          <w:rFonts w:hint="eastAsia" w:ascii="宋体" w:hAnsi="宋体" w:eastAsia="宋体" w:cs="Times New Roman"/>
          <w:color w:val="auto"/>
          <w:kern w:val="0"/>
          <w:szCs w:val="21"/>
          <w:highlight w:val="none"/>
          <w:u w:val="single"/>
        </w:rPr>
        <w:t xml:space="preserve"> 叁 </w:t>
      </w:r>
      <w:r>
        <w:rPr>
          <w:rFonts w:hint="eastAsia" w:ascii="宋体" w:hAnsi="宋体" w:eastAsia="宋体" w:cs="Times New Roman"/>
          <w:color w:val="auto"/>
          <w:kern w:val="0"/>
          <w:szCs w:val="21"/>
          <w:highlight w:val="none"/>
        </w:rPr>
        <w:t>份,乙方执</w:t>
      </w:r>
      <w:r>
        <w:rPr>
          <w:rFonts w:hint="eastAsia" w:ascii="宋体" w:hAnsi="宋体" w:eastAsia="宋体" w:cs="Times New Roman"/>
          <w:color w:val="auto"/>
          <w:kern w:val="0"/>
          <w:szCs w:val="21"/>
          <w:highlight w:val="none"/>
          <w:u w:val="single"/>
        </w:rPr>
        <w:t xml:space="preserve"> 贰 </w:t>
      </w:r>
      <w:r>
        <w:rPr>
          <w:rFonts w:hint="eastAsia" w:ascii="宋体" w:hAnsi="宋体" w:eastAsia="宋体" w:cs="Times New Roman"/>
          <w:color w:val="auto"/>
          <w:kern w:val="0"/>
          <w:szCs w:val="21"/>
          <w:highlight w:val="none"/>
        </w:rPr>
        <w:t>份，采购代理机构执</w:t>
      </w:r>
      <w:r>
        <w:rPr>
          <w:rFonts w:hint="eastAsia" w:ascii="宋体" w:hAnsi="宋体" w:eastAsia="宋体" w:cs="Times New Roman"/>
          <w:color w:val="auto"/>
          <w:kern w:val="0"/>
          <w:szCs w:val="21"/>
          <w:highlight w:val="none"/>
          <w:u w:val="single"/>
        </w:rPr>
        <w:t>壹</w:t>
      </w:r>
      <w:r>
        <w:rPr>
          <w:rFonts w:hint="eastAsia" w:ascii="宋体" w:hAnsi="宋体" w:eastAsia="宋体" w:cs="Times New Roman"/>
          <w:color w:val="auto"/>
          <w:kern w:val="0"/>
          <w:szCs w:val="21"/>
          <w:highlight w:val="none"/>
        </w:rPr>
        <w:t>份。</w:t>
      </w:r>
    </w:p>
    <w:p w14:paraId="41468AE5">
      <w:pPr>
        <w:autoSpaceDE w:val="0"/>
        <w:autoSpaceDN w:val="0"/>
        <w:adjustRightInd w:val="0"/>
        <w:spacing w:line="360" w:lineRule="auto"/>
        <w:ind w:firstLine="422" w:firstLineChars="20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3、合同附件：附件1《廉洁协议书》；附件2《用户需求书》；附件3 中标通知书；附件4投标报价表；附件</w:t>
      </w:r>
      <w:r>
        <w:rPr>
          <w:rFonts w:hint="eastAsia" w:ascii="宋体" w:hAnsi="宋体" w:eastAsia="宋体" w:cs="Times New Roman"/>
          <w:b/>
          <w:color w:val="auto"/>
          <w:kern w:val="0"/>
          <w:szCs w:val="21"/>
          <w:highlight w:val="none"/>
          <w:lang w:val="en-US" w:eastAsia="zh-CN"/>
        </w:rPr>
        <w:t>5</w:t>
      </w:r>
      <w:r>
        <w:rPr>
          <w:rFonts w:hint="eastAsia" w:ascii="宋体" w:hAnsi="宋体" w:eastAsia="宋体" w:cs="Times New Roman"/>
          <w:b/>
          <w:color w:val="auto"/>
          <w:kern w:val="0"/>
          <w:szCs w:val="21"/>
          <w:highlight w:val="none"/>
        </w:rPr>
        <w:t>承诺书；附件</w:t>
      </w:r>
      <w:r>
        <w:rPr>
          <w:rFonts w:hint="eastAsia" w:ascii="宋体" w:hAnsi="宋体" w:eastAsia="宋体" w:cs="Times New Roman"/>
          <w:b/>
          <w:color w:val="auto"/>
          <w:kern w:val="0"/>
          <w:szCs w:val="21"/>
          <w:highlight w:val="none"/>
          <w:lang w:val="en-US" w:eastAsia="zh-CN"/>
        </w:rPr>
        <w:t>6</w:t>
      </w:r>
      <w:r>
        <w:rPr>
          <w:rFonts w:hint="eastAsia" w:ascii="宋体" w:hAnsi="宋体" w:eastAsia="宋体" w:cs="Times New Roman"/>
          <w:b/>
          <w:color w:val="auto"/>
          <w:kern w:val="0"/>
          <w:szCs w:val="21"/>
          <w:highlight w:val="none"/>
        </w:rPr>
        <w:t>招标文件（另附）；附件</w:t>
      </w:r>
      <w:r>
        <w:rPr>
          <w:rFonts w:hint="eastAsia" w:ascii="宋体" w:hAnsi="宋体" w:eastAsia="宋体" w:cs="Times New Roman"/>
          <w:b/>
          <w:color w:val="auto"/>
          <w:kern w:val="0"/>
          <w:szCs w:val="21"/>
          <w:highlight w:val="none"/>
          <w:lang w:val="en-US" w:eastAsia="zh-CN"/>
        </w:rPr>
        <w:t>7</w:t>
      </w:r>
      <w:r>
        <w:rPr>
          <w:rFonts w:hint="eastAsia" w:ascii="宋体" w:hAnsi="宋体" w:eastAsia="宋体" w:cs="Times New Roman"/>
          <w:b/>
          <w:color w:val="auto"/>
          <w:kern w:val="0"/>
          <w:szCs w:val="21"/>
          <w:highlight w:val="none"/>
        </w:rPr>
        <w:t>投标文件（另附）。</w:t>
      </w:r>
    </w:p>
    <w:p w14:paraId="69C03572">
      <w:pPr>
        <w:autoSpaceDE w:val="0"/>
        <w:autoSpaceDN w:val="0"/>
        <w:adjustRightInd w:val="0"/>
        <w:spacing w:before="120" w:beforeLines="50" w:after="120" w:afterLines="50" w:line="360" w:lineRule="auto"/>
        <w:ind w:firstLine="422" w:firstLineChars="200"/>
        <w:jc w:val="left"/>
        <w:rPr>
          <w:rFonts w:hint="eastAsia"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4、本合同附件是本合同不可分割内容，与本合同同时生效，同具法律效力；合同条款与附件、招标文件、用户需求书、投标文件等其他文件不一致的，以有利于甲方的条款为准，且乙方不得以附件内容冲突主张合同条款无效。</w:t>
      </w:r>
    </w:p>
    <w:p w14:paraId="59BB93B1">
      <w:pPr>
        <w:pStyle w:val="2"/>
        <w:rPr>
          <w:rFonts w:hint="eastAsia" w:ascii="宋体" w:hAnsi="宋体" w:eastAsia="宋体" w:cs="Times New Roman"/>
          <w:b/>
          <w:color w:val="auto"/>
          <w:kern w:val="0"/>
          <w:szCs w:val="21"/>
          <w:highlight w:val="none"/>
        </w:rPr>
      </w:pPr>
    </w:p>
    <w:p w14:paraId="644917F4">
      <w:pPr>
        <w:rPr>
          <w:rFonts w:hint="eastAsia" w:ascii="宋体" w:hAnsi="宋体" w:eastAsia="宋体" w:cs="Times New Roman"/>
          <w:b/>
          <w:color w:val="auto"/>
          <w:kern w:val="0"/>
          <w:szCs w:val="21"/>
          <w:highlight w:val="none"/>
        </w:rPr>
      </w:pPr>
    </w:p>
    <w:p w14:paraId="2CFED75B">
      <w:pPr>
        <w:pStyle w:val="2"/>
        <w:rPr>
          <w:rFonts w:hint="eastAsia" w:ascii="宋体" w:hAnsi="宋体" w:eastAsia="宋体" w:cs="Times New Roman"/>
          <w:b/>
          <w:color w:val="auto"/>
          <w:kern w:val="0"/>
          <w:szCs w:val="21"/>
          <w:highlight w:val="none"/>
        </w:rPr>
      </w:pPr>
    </w:p>
    <w:p w14:paraId="74114697">
      <w:pPr>
        <w:rPr>
          <w:color w:val="auto"/>
          <w:highlight w:val="none"/>
        </w:rPr>
      </w:pPr>
      <w:r>
        <w:rPr>
          <w:rFonts w:hint="eastAsia"/>
          <w:color w:val="auto"/>
          <w:highlight w:val="none"/>
        </w:rPr>
        <w:t>以下无正文内容为签字盖</w:t>
      </w:r>
      <w:r>
        <w:rPr>
          <w:rFonts w:hint="eastAsia"/>
          <w:color w:val="auto"/>
          <w:highlight w:val="none"/>
          <w:lang w:val="en-US" w:eastAsia="zh-CN"/>
        </w:rPr>
        <w:t>章</w:t>
      </w:r>
      <w:r>
        <w:rPr>
          <w:rFonts w:hint="eastAsia"/>
          <w:color w:val="auto"/>
          <w:highlight w:val="none"/>
        </w:rPr>
        <w:t>页</w:t>
      </w:r>
    </w:p>
    <w:tbl>
      <w:tblPr>
        <w:tblStyle w:val="36"/>
        <w:tblW w:w="5000" w:type="pct"/>
        <w:tblInd w:w="0" w:type="dxa"/>
        <w:tblLayout w:type="autofit"/>
        <w:tblCellMar>
          <w:top w:w="0" w:type="dxa"/>
          <w:left w:w="108" w:type="dxa"/>
          <w:bottom w:w="0" w:type="dxa"/>
          <w:right w:w="108" w:type="dxa"/>
        </w:tblCellMar>
      </w:tblPr>
      <w:tblGrid>
        <w:gridCol w:w="10188"/>
      </w:tblGrid>
      <w:tr w14:paraId="314329F2">
        <w:tblPrEx>
          <w:tblCellMar>
            <w:top w:w="0" w:type="dxa"/>
            <w:left w:w="108" w:type="dxa"/>
            <w:bottom w:w="0" w:type="dxa"/>
            <w:right w:w="108" w:type="dxa"/>
          </w:tblCellMar>
        </w:tblPrEx>
        <w:trPr>
          <w:trHeight w:val="950" w:hRule="atLeast"/>
        </w:trPr>
        <w:tc>
          <w:tcPr>
            <w:tcW w:w="5000" w:type="pct"/>
          </w:tcPr>
          <w:p w14:paraId="27EB8373">
            <w:pPr>
              <w:autoSpaceDE w:val="0"/>
              <w:autoSpaceDN w:val="0"/>
              <w:adjustRightInd w:val="0"/>
              <w:spacing w:line="360" w:lineRule="auto"/>
              <w:ind w:left="5670" w:hanging="5670" w:hangingChars="2700"/>
              <w:jc w:val="left"/>
              <w:rPr>
                <w:rFonts w:ascii="宋体" w:hAnsi="宋体" w:eastAsia="宋体" w:cs="宋体"/>
                <w:color w:val="auto"/>
                <w:kern w:val="0"/>
                <w:szCs w:val="21"/>
                <w:highlight w:val="none"/>
              </w:rPr>
            </w:pPr>
          </w:p>
          <w:p w14:paraId="39913090">
            <w:pPr>
              <w:autoSpaceDE w:val="0"/>
              <w:autoSpaceDN w:val="0"/>
              <w:adjustRightInd w:val="0"/>
              <w:spacing w:line="360" w:lineRule="auto"/>
              <w:ind w:left="5670" w:hanging="5670" w:hangingChars="2700"/>
              <w:jc w:val="left"/>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Cs w:val="21"/>
                <w:highlight w:val="none"/>
              </w:rPr>
              <w:t>甲方（盖章）：东莞市水务</w:t>
            </w:r>
            <w:r>
              <w:rPr>
                <w:rFonts w:hint="eastAsia" w:ascii="宋体" w:hAnsi="宋体" w:eastAsia="宋体" w:cs="宋体"/>
                <w:color w:val="auto"/>
                <w:kern w:val="0"/>
                <w:szCs w:val="21"/>
                <w:highlight w:val="none"/>
                <w:lang w:val="en-US" w:eastAsia="zh-CN"/>
              </w:rPr>
              <w:t>环境投资控股集团管网有限公司</w:t>
            </w:r>
          </w:p>
        </w:tc>
      </w:tr>
      <w:tr w14:paraId="4361D10B">
        <w:tblPrEx>
          <w:tblCellMar>
            <w:top w:w="0" w:type="dxa"/>
            <w:left w:w="108" w:type="dxa"/>
            <w:bottom w:w="0" w:type="dxa"/>
            <w:right w:w="108" w:type="dxa"/>
          </w:tblCellMar>
        </w:tblPrEx>
        <w:trPr>
          <w:trHeight w:val="580" w:hRule="atLeast"/>
        </w:trPr>
        <w:tc>
          <w:tcPr>
            <w:tcW w:w="5000" w:type="pct"/>
          </w:tcPr>
          <w:p w14:paraId="4A1CFD2F">
            <w:pPr>
              <w:autoSpaceDE w:val="0"/>
              <w:autoSpaceDN w:val="0"/>
              <w:adjustRightInd w:val="0"/>
              <w:spacing w:line="360" w:lineRule="auto"/>
              <w:jc w:val="left"/>
              <w:rPr>
                <w:rFonts w:ascii="宋体" w:hAnsi="宋体" w:eastAsia="宋体" w:cs="宋体"/>
                <w:color w:val="auto"/>
                <w:kern w:val="0"/>
                <w:sz w:val="24"/>
                <w:szCs w:val="24"/>
                <w:highlight w:val="none"/>
              </w:rPr>
            </w:pPr>
            <w:r>
              <w:rPr>
                <w:rFonts w:hint="eastAsia" w:ascii="宋体" w:hAnsi="宋体" w:eastAsia="宋体" w:cs="宋体"/>
                <w:color w:val="auto"/>
                <w:kern w:val="0"/>
                <w:szCs w:val="21"/>
                <w:highlight w:val="none"/>
              </w:rPr>
              <w:t>法定代表人/授权代表(签字)：</w:t>
            </w:r>
          </w:p>
        </w:tc>
      </w:tr>
      <w:tr w14:paraId="7CB585D0">
        <w:tblPrEx>
          <w:tblCellMar>
            <w:top w:w="0" w:type="dxa"/>
            <w:left w:w="108" w:type="dxa"/>
            <w:bottom w:w="0" w:type="dxa"/>
            <w:right w:w="108" w:type="dxa"/>
          </w:tblCellMar>
        </w:tblPrEx>
        <w:tc>
          <w:tcPr>
            <w:tcW w:w="5000" w:type="pct"/>
          </w:tcPr>
          <w:p w14:paraId="7464E813">
            <w:pPr>
              <w:autoSpaceDE w:val="0"/>
              <w:autoSpaceDN w:val="0"/>
              <w:adjustRightInd w:val="0"/>
              <w:spacing w:line="360" w:lineRule="auto"/>
              <w:ind w:left="5250" w:hanging="5250" w:hangingChars="2500"/>
              <w:jc w:val="left"/>
              <w:rPr>
                <w:rFonts w:ascii="宋体" w:hAnsi="宋体" w:eastAsia="宋体" w:cs="宋体"/>
                <w:color w:val="auto"/>
                <w:kern w:val="0"/>
                <w:sz w:val="24"/>
                <w:szCs w:val="24"/>
                <w:highlight w:val="none"/>
              </w:rPr>
            </w:pPr>
            <w:r>
              <w:rPr>
                <w:rFonts w:hint="eastAsia" w:ascii="宋体" w:hAnsi="宋体" w:eastAsia="宋体" w:cs="宋体"/>
                <w:color w:val="auto"/>
                <w:kern w:val="0"/>
                <w:szCs w:val="21"/>
                <w:highlight w:val="none"/>
              </w:rPr>
              <w:t>地址：广东省东莞市东城街道东城运河路</w:t>
            </w:r>
            <w:r>
              <w:rPr>
                <w:rFonts w:ascii="宋体" w:hAnsi="宋体" w:eastAsia="宋体" w:cs="宋体"/>
                <w:color w:val="auto"/>
                <w:kern w:val="0"/>
                <w:szCs w:val="21"/>
                <w:highlight w:val="none"/>
              </w:rPr>
              <w:t>5号</w:t>
            </w:r>
          </w:p>
        </w:tc>
      </w:tr>
      <w:tr w14:paraId="369F6BAF">
        <w:tblPrEx>
          <w:tblCellMar>
            <w:top w:w="0" w:type="dxa"/>
            <w:left w:w="108" w:type="dxa"/>
            <w:bottom w:w="0" w:type="dxa"/>
            <w:right w:w="108" w:type="dxa"/>
          </w:tblCellMar>
        </w:tblPrEx>
        <w:tc>
          <w:tcPr>
            <w:tcW w:w="5000" w:type="pct"/>
          </w:tcPr>
          <w:p w14:paraId="04A10262">
            <w:pPr>
              <w:autoSpaceDE w:val="0"/>
              <w:autoSpaceDN w:val="0"/>
              <w:adjustRightInd w:val="0"/>
              <w:spacing w:line="360" w:lineRule="auto"/>
              <w:ind w:left="5760" w:hanging="5760" w:hangingChars="2400"/>
              <w:jc w:val="left"/>
              <w:rPr>
                <w:rFonts w:ascii="Times New Roman" w:hAnsi="Times New Roman" w:eastAsia="宋体" w:cs="Times New Roman"/>
                <w:color w:val="auto"/>
                <w:kern w:val="0"/>
                <w:sz w:val="24"/>
                <w:szCs w:val="24"/>
                <w:highlight w:val="none"/>
              </w:rPr>
            </w:pPr>
          </w:p>
        </w:tc>
      </w:tr>
    </w:tbl>
    <w:p w14:paraId="3F5D687E">
      <w:pPr>
        <w:autoSpaceDE w:val="0"/>
        <w:autoSpaceDN w:val="0"/>
        <w:adjustRightInd w:val="0"/>
        <w:ind w:right="-26"/>
        <w:rPr>
          <w:rFonts w:ascii="宋体" w:hAnsi="宋体" w:eastAsia="宋体" w:cs="Times New Roman"/>
          <w:b/>
          <w:bCs/>
          <w:color w:val="auto"/>
          <w:kern w:val="0"/>
          <w:szCs w:val="21"/>
          <w:highlight w:val="none"/>
          <w:lang w:val="zh-CN"/>
        </w:rPr>
      </w:pPr>
    </w:p>
    <w:p w14:paraId="2D45B579">
      <w:pPr>
        <w:widowControl/>
        <w:jc w:val="left"/>
        <w:rPr>
          <w:rFonts w:ascii="宋体" w:hAnsi="宋体" w:eastAsia="宋体" w:cs="Times New Roman"/>
          <w:b/>
          <w:bCs/>
          <w:color w:val="auto"/>
          <w:szCs w:val="21"/>
          <w:highlight w:val="none"/>
        </w:rPr>
      </w:pPr>
    </w:p>
    <w:tbl>
      <w:tblPr>
        <w:tblStyle w:val="36"/>
        <w:tblpPr w:leftFromText="180" w:rightFromText="180" w:vertAnchor="text" w:horzAnchor="page" w:tblpX="1167" w:tblpY="157"/>
        <w:tblOverlap w:val="never"/>
        <w:tblW w:w="5000" w:type="pct"/>
        <w:tblInd w:w="0" w:type="dxa"/>
        <w:tblLayout w:type="autofit"/>
        <w:tblCellMar>
          <w:top w:w="0" w:type="dxa"/>
          <w:left w:w="108" w:type="dxa"/>
          <w:bottom w:w="0" w:type="dxa"/>
          <w:right w:w="108" w:type="dxa"/>
        </w:tblCellMar>
      </w:tblPr>
      <w:tblGrid>
        <w:gridCol w:w="10188"/>
      </w:tblGrid>
      <w:tr w14:paraId="44F109AF">
        <w:tblPrEx>
          <w:tblCellMar>
            <w:top w:w="0" w:type="dxa"/>
            <w:left w:w="108" w:type="dxa"/>
            <w:bottom w:w="0" w:type="dxa"/>
            <w:right w:w="108" w:type="dxa"/>
          </w:tblCellMar>
        </w:tblPrEx>
        <w:trPr>
          <w:trHeight w:val="703" w:hRule="atLeast"/>
        </w:trPr>
        <w:tc>
          <w:tcPr>
            <w:tcW w:w="5000" w:type="pct"/>
            <w:vAlign w:val="bottom"/>
          </w:tcPr>
          <w:p w14:paraId="29D2C0C6">
            <w:pPr>
              <w:autoSpaceDE w:val="0"/>
              <w:autoSpaceDN w:val="0"/>
              <w:adjustRightInd w:val="0"/>
              <w:spacing w:line="360" w:lineRule="auto"/>
              <w:ind w:left="5670" w:hanging="5670" w:hangingChars="27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乙方（盖章）：</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p>
        </w:tc>
      </w:tr>
      <w:tr w14:paraId="12F4D33D">
        <w:tblPrEx>
          <w:tblCellMar>
            <w:top w:w="0" w:type="dxa"/>
            <w:left w:w="108" w:type="dxa"/>
            <w:bottom w:w="0" w:type="dxa"/>
            <w:right w:w="108" w:type="dxa"/>
          </w:tblCellMar>
        </w:tblPrEx>
        <w:trPr>
          <w:trHeight w:val="703" w:hRule="atLeast"/>
        </w:trPr>
        <w:tc>
          <w:tcPr>
            <w:tcW w:w="5000" w:type="pct"/>
            <w:vAlign w:val="bottom"/>
          </w:tcPr>
          <w:p w14:paraId="0C278E61">
            <w:pPr>
              <w:autoSpaceDE w:val="0"/>
              <w:autoSpaceDN w:val="0"/>
              <w:adjustRightInd w:val="0"/>
              <w:spacing w:line="360" w:lineRule="auto"/>
              <w:ind w:left="5670" w:hanging="5670" w:hangingChars="27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法定代表人或其委托代理人（签字）：</w:t>
            </w:r>
          </w:p>
        </w:tc>
      </w:tr>
      <w:tr w14:paraId="2E87D5D0">
        <w:tblPrEx>
          <w:tblCellMar>
            <w:top w:w="0" w:type="dxa"/>
            <w:left w:w="108" w:type="dxa"/>
            <w:bottom w:w="0" w:type="dxa"/>
            <w:right w:w="108" w:type="dxa"/>
          </w:tblCellMar>
        </w:tblPrEx>
        <w:trPr>
          <w:trHeight w:val="703" w:hRule="atLeast"/>
        </w:trPr>
        <w:tc>
          <w:tcPr>
            <w:tcW w:w="5000" w:type="pct"/>
            <w:vAlign w:val="bottom"/>
          </w:tcPr>
          <w:p w14:paraId="39D2C99E">
            <w:pPr>
              <w:autoSpaceDE w:val="0"/>
              <w:autoSpaceDN w:val="0"/>
              <w:adjustRightInd w:val="0"/>
              <w:spacing w:line="360" w:lineRule="auto"/>
              <w:ind w:left="5670" w:hanging="5670" w:hangingChars="27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地址：</w:t>
            </w:r>
          </w:p>
        </w:tc>
      </w:tr>
      <w:tr w14:paraId="5A479915">
        <w:tblPrEx>
          <w:tblCellMar>
            <w:top w:w="0" w:type="dxa"/>
            <w:left w:w="108" w:type="dxa"/>
            <w:bottom w:w="0" w:type="dxa"/>
            <w:right w:w="108" w:type="dxa"/>
          </w:tblCellMar>
        </w:tblPrEx>
        <w:trPr>
          <w:trHeight w:val="703" w:hRule="atLeast"/>
        </w:trPr>
        <w:tc>
          <w:tcPr>
            <w:tcW w:w="5000" w:type="pct"/>
            <w:vAlign w:val="bottom"/>
          </w:tcPr>
          <w:p w14:paraId="2329561D">
            <w:pPr>
              <w:autoSpaceDE w:val="0"/>
              <w:autoSpaceDN w:val="0"/>
              <w:adjustRightInd w:val="0"/>
              <w:spacing w:line="360" w:lineRule="auto"/>
              <w:ind w:left="5670" w:hanging="5670" w:hangingChars="27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电话：</w:t>
            </w:r>
          </w:p>
        </w:tc>
      </w:tr>
      <w:tr w14:paraId="39EC7913">
        <w:tblPrEx>
          <w:tblCellMar>
            <w:top w:w="0" w:type="dxa"/>
            <w:left w:w="108" w:type="dxa"/>
            <w:bottom w:w="0" w:type="dxa"/>
            <w:right w:w="108" w:type="dxa"/>
          </w:tblCellMar>
        </w:tblPrEx>
        <w:trPr>
          <w:trHeight w:val="703" w:hRule="atLeast"/>
        </w:trPr>
        <w:tc>
          <w:tcPr>
            <w:tcW w:w="5000" w:type="pct"/>
            <w:vAlign w:val="bottom"/>
          </w:tcPr>
          <w:p w14:paraId="0C580F56">
            <w:pPr>
              <w:autoSpaceDE w:val="0"/>
              <w:autoSpaceDN w:val="0"/>
              <w:adjustRightInd w:val="0"/>
              <w:spacing w:line="360" w:lineRule="auto"/>
              <w:ind w:left="5670" w:hanging="5670" w:hangingChars="27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订立地点：东莞市</w:t>
            </w:r>
          </w:p>
        </w:tc>
      </w:tr>
      <w:tr w14:paraId="59DDAFDF">
        <w:tblPrEx>
          <w:tblCellMar>
            <w:top w:w="0" w:type="dxa"/>
            <w:left w:w="108" w:type="dxa"/>
            <w:bottom w:w="0" w:type="dxa"/>
            <w:right w:w="108" w:type="dxa"/>
          </w:tblCellMar>
        </w:tblPrEx>
        <w:trPr>
          <w:trHeight w:val="703" w:hRule="atLeast"/>
        </w:trPr>
        <w:tc>
          <w:tcPr>
            <w:tcW w:w="5000" w:type="pct"/>
            <w:vAlign w:val="bottom"/>
          </w:tcPr>
          <w:p w14:paraId="259B3E86">
            <w:pPr>
              <w:autoSpaceDE w:val="0"/>
              <w:autoSpaceDN w:val="0"/>
              <w:adjustRightInd w:val="0"/>
              <w:spacing w:line="360" w:lineRule="auto"/>
              <w:ind w:left="5670" w:hanging="5670" w:hangingChars="27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合同订立时间：</w:t>
            </w:r>
          </w:p>
        </w:tc>
      </w:tr>
    </w:tbl>
    <w:p w14:paraId="5CA8C2E7">
      <w:pPr>
        <w:widowControl/>
        <w:jc w:val="left"/>
        <w:rPr>
          <w:rFonts w:hint="eastAsia" w:ascii="宋体" w:hAnsi="宋体" w:eastAsia="宋体" w:cs="Times New Roman"/>
          <w:b/>
          <w:color w:val="auto"/>
          <w:kern w:val="0"/>
          <w:sz w:val="24"/>
          <w:szCs w:val="24"/>
          <w:highlight w:val="none"/>
        </w:rPr>
      </w:pPr>
      <w:r>
        <w:rPr>
          <w:rFonts w:hint="eastAsia" w:ascii="宋体" w:hAnsi="宋体" w:eastAsia="宋体" w:cs="Times New Roman"/>
          <w:b/>
          <w:color w:val="auto"/>
          <w:kern w:val="0"/>
          <w:sz w:val="24"/>
          <w:szCs w:val="24"/>
          <w:highlight w:val="none"/>
        </w:rPr>
        <w:br w:type="page"/>
      </w:r>
    </w:p>
    <w:p w14:paraId="30B11FE9">
      <w:pPr>
        <w:widowControl/>
        <w:jc w:val="left"/>
        <w:rPr>
          <w:rFonts w:ascii="宋体" w:hAnsi="宋体" w:eastAsia="宋体" w:cs="Times New Roman"/>
          <w:b/>
          <w:color w:val="auto"/>
          <w:kern w:val="0"/>
          <w:sz w:val="24"/>
          <w:szCs w:val="24"/>
          <w:highlight w:val="none"/>
        </w:rPr>
      </w:pPr>
      <w:r>
        <w:rPr>
          <w:rFonts w:hint="eastAsia" w:ascii="宋体" w:hAnsi="宋体" w:eastAsia="宋体" w:cs="Times New Roman"/>
          <w:b/>
          <w:color w:val="auto"/>
          <w:kern w:val="0"/>
          <w:sz w:val="24"/>
          <w:szCs w:val="24"/>
          <w:highlight w:val="none"/>
        </w:rPr>
        <w:t>附件1：廉洁协议书</w:t>
      </w:r>
    </w:p>
    <w:p w14:paraId="1740DDCB">
      <w:pPr>
        <w:keepNext w:val="0"/>
        <w:keepLines w:val="0"/>
        <w:pageBreakBefore w:val="0"/>
        <w:widowControl w:val="0"/>
        <w:kinsoku/>
        <w:wordWrap/>
        <w:overflowPunct/>
        <w:topLinePunct w:val="0"/>
        <w:autoSpaceDE w:val="0"/>
        <w:autoSpaceDN w:val="0"/>
        <w:bidi w:val="0"/>
        <w:adjustRightInd w:val="0"/>
        <w:snapToGrid/>
        <w:spacing w:line="360" w:lineRule="auto"/>
        <w:ind w:right="31" w:rightChars="15"/>
        <w:jc w:val="center"/>
        <w:textAlignment w:val="auto"/>
        <w:rPr>
          <w:rFonts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廉洁协议书</w:t>
      </w:r>
    </w:p>
    <w:p w14:paraId="22D4DA30">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项目名称：</w:t>
      </w:r>
      <w:r>
        <w:rPr>
          <w:rFonts w:hint="eastAsia" w:ascii="宋体" w:hAnsi="宋体" w:eastAsia="宋体" w:cs="宋体"/>
          <w:color w:val="auto"/>
          <w:kern w:val="0"/>
          <w:szCs w:val="21"/>
          <w:highlight w:val="none"/>
          <w:lang w:eastAsia="zh-CN"/>
        </w:rPr>
        <w:t>东莞市水务环境投资控股集团管网有限公司2026年防撞缓冲车采购项目（第四次招标）</w:t>
      </w:r>
    </w:p>
    <w:p w14:paraId="0D4885F9">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甲方：</w:t>
      </w:r>
      <w:r>
        <w:rPr>
          <w:rFonts w:hint="eastAsia" w:ascii="宋体" w:hAnsi="宋体" w:eastAsia="宋体" w:cs="宋体"/>
          <w:color w:val="auto"/>
          <w:kern w:val="0"/>
          <w:szCs w:val="21"/>
          <w:highlight w:val="none"/>
        </w:rPr>
        <w:t>东莞市水务</w:t>
      </w:r>
      <w:r>
        <w:rPr>
          <w:rFonts w:hint="eastAsia" w:ascii="宋体" w:hAnsi="宋体" w:eastAsia="宋体" w:cs="宋体"/>
          <w:color w:val="auto"/>
          <w:kern w:val="0"/>
          <w:szCs w:val="21"/>
          <w:highlight w:val="none"/>
          <w:lang w:val="en-US" w:eastAsia="zh-CN"/>
        </w:rPr>
        <w:t>环境投资控股集团管网有限公司</w:t>
      </w:r>
    </w:p>
    <w:p w14:paraId="6D3BB2F6">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乙方：</w:t>
      </w:r>
      <w:r>
        <w:rPr>
          <w:rFonts w:hint="eastAsia" w:ascii="宋体" w:hAnsi="宋体" w:eastAsia="宋体" w:cs="宋体"/>
          <w:color w:val="auto"/>
          <w:kern w:val="0"/>
          <w:sz w:val="21"/>
          <w:szCs w:val="21"/>
          <w:highlight w:val="none"/>
          <w:lang w:val="en-US" w:eastAsia="zh-CN"/>
        </w:rPr>
        <w:t xml:space="preserve">                   </w:t>
      </w:r>
    </w:p>
    <w:p w14:paraId="007F156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为规范甲乙双方在订立、履行合同及经济业务往来过程中的行为，保持廉洁自律的工作作风，防止各种违法及不正当行为的发生，确保甲乙双方及其工作人员自觉遵守国家法律、法规及廉洁从业各项规定，特订立本协议。</w:t>
      </w:r>
    </w:p>
    <w:p w14:paraId="5026E561">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第一条  甲乙双方的权利和义务</w:t>
      </w:r>
    </w:p>
    <w:p w14:paraId="3A69B870">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（一）严格遵守党和国家有关法律法规等有关廉洁从业规定。</w:t>
      </w:r>
    </w:p>
    <w:p w14:paraId="28EF151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（二）严格执行本项目的合同文件，自觉按合同办事。</w:t>
      </w:r>
    </w:p>
    <w:p w14:paraId="17E3BC1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（三）双方的业务活动坚持公开、公正、诚信、透明的原则（除法律认定的商业秘密和合同文件另有规定之外）不得损害国家和集体利益，违反工程建设管理及其他法律法规规章制度。</w:t>
      </w:r>
    </w:p>
    <w:p w14:paraId="6EFFD73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（四）建立健全廉洁制度，开展廉洁教育，设立廉洁监督公示牌，公布举报电话，监督并认真查处违法违纪行为。</w:t>
      </w:r>
    </w:p>
    <w:p w14:paraId="58E9469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（五）发现对方在业务活动中有违反廉洁规定的行为，有及时提醒对方纠正的权利和义务。</w:t>
      </w:r>
    </w:p>
    <w:p w14:paraId="75FF6F0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（六）发现对方严重违反本协议义务条款的行为，有向其上级有关部门举报、建议给予处理并要求告知处理结果的权利。</w:t>
      </w:r>
    </w:p>
    <w:p w14:paraId="5D77766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第二条  甲方的义务</w:t>
      </w:r>
    </w:p>
    <w:p w14:paraId="165E489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（一）甲方及其工作人员不得索要或接受乙方的礼金、有价证券和贵重物品，不得在乙方报销任何应由甲方或个人支付的费用。</w:t>
      </w:r>
    </w:p>
    <w:p w14:paraId="10B09A6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（二）甲方工作人员不得参加乙方安排的高消费宴请和娱乐活动；不得接受乙方提供的通讯工具、交通工具和高档办公用品。</w:t>
      </w:r>
    </w:p>
    <w:p w14:paraId="0B508B5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（三）甲方及其工作人员不得要求或者接受乙方为其住房装修、婚丧嫁娶活动、家属或亲友的工作安排以及出国出境、旅游等提供方便。</w:t>
      </w:r>
    </w:p>
    <w:p w14:paraId="492936A1">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（四）甲方工作人员不得向乙方介绍其家属或者亲友（包括家属或亲友开办的公司企业）从事于本项目涉及的经济业务活动。</w:t>
      </w:r>
    </w:p>
    <w:p w14:paraId="26049C9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（五）甲方及其工作人员不得以任何理由向乙方推荐分包单位，不得要求乙方购买合同规定外的材料和设备。</w:t>
      </w:r>
    </w:p>
    <w:p w14:paraId="02CF67C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（六）甲方及其工作人员不得进行违反廉洁规定的其他活动。</w:t>
      </w:r>
    </w:p>
    <w:p w14:paraId="74A29A1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（七）甲方应对甲方工作人员进行廉洁监督管理，如甲方工作人员违反本协议第一、第二条，甲方应依据有关法律法规、党纪规定对其进行处理；涉嫌犯罪的，甲方应将其移交司法机关追究刑事责任。</w:t>
      </w:r>
    </w:p>
    <w:p w14:paraId="3113371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第三条  乙方义务</w:t>
      </w:r>
    </w:p>
    <w:p w14:paraId="52B31AC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（一）乙方不得以任何理由向甲方及其工作人员馈赠礼金、有价证券、贵重礼品，或报销应由甲方单位或个人支付的任何费用。</w:t>
      </w:r>
    </w:p>
    <w:p w14:paraId="0BF800B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（二）乙方及其工作人员不得以考察、参观、洽谈业务、签订合同等的借口邀请甲方及其工作人员参加高消费的宴请、娱乐和健身等活动。</w:t>
      </w:r>
    </w:p>
    <w:p w14:paraId="385F6C9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（三）乙方不得为甲方单位和个人购置或提供通讯工具、交通工具和高档办公用品等。</w:t>
      </w:r>
    </w:p>
    <w:p w14:paraId="2617FC5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（四）乙方及其工作人员不得为甲方工作人员购买、装修、维修私人住房、汽车等。</w:t>
      </w:r>
    </w:p>
    <w:p w14:paraId="1B64B87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（五）乙方及其工作人员不得为甲方工作人员的婚丧嫁娶、家属或亲友的工作安排，及出国出境提供方便以及报销任何私人消费的费用。</w:t>
      </w:r>
    </w:p>
    <w:p w14:paraId="5C51EE3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（六）乙方及其工作人员不得进行影响甲方及其工作人员公正执行合同和履行职务的其他活动。</w:t>
      </w:r>
    </w:p>
    <w:p w14:paraId="7C05499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七）乙方应对乙方工作人员进行廉洁监督管理，如乙方工作人员违反本协议第一、第三条，乙方应依据有关法律法规、党纪规定对其进行处理；乙方工作人员涉嫌犯罪的，乙方应将其移交司法机关追究刑事责任。</w:t>
      </w:r>
    </w:p>
    <w:p w14:paraId="1EBA48A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第四条  违约责任</w:t>
      </w:r>
    </w:p>
    <w:p w14:paraId="6CF9E45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（一）甲方违反本协议第一、第二条给乙方单位造成经济损失的，应予以赔偿。</w:t>
      </w:r>
    </w:p>
    <w:p w14:paraId="4A1183F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（二）乙方违反本协议第一、第三条给甲方单位造成经济损失的，应予以赔偿。</w:t>
      </w:r>
    </w:p>
    <w:p w14:paraId="6F043BF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第五条  监督检查</w:t>
      </w:r>
    </w:p>
    <w:p w14:paraId="08DBB1B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甲乙双方的廉洁从业行为由双方或双方上级单位的纪检、监察负责监督，对本协议履行情况进行检查。</w:t>
      </w:r>
    </w:p>
    <w:p w14:paraId="2DC3BF9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第六条  举报信访受理</w:t>
      </w:r>
    </w:p>
    <w:p w14:paraId="5B10369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（一）举报受理部门: </w:t>
      </w:r>
      <w:r>
        <w:rPr>
          <w:rFonts w:hint="eastAsia" w:ascii="宋体" w:hAnsi="宋体" w:eastAsia="宋体" w:cs="宋体"/>
          <w:color w:val="auto"/>
          <w:kern w:val="0"/>
          <w:szCs w:val="21"/>
          <w:highlight w:val="none"/>
        </w:rPr>
        <w:t>东莞市水务</w:t>
      </w:r>
      <w:r>
        <w:rPr>
          <w:rFonts w:hint="eastAsia" w:ascii="宋体" w:hAnsi="宋体" w:eastAsia="宋体" w:cs="宋体"/>
          <w:color w:val="auto"/>
          <w:kern w:val="0"/>
          <w:szCs w:val="21"/>
          <w:highlight w:val="none"/>
          <w:lang w:val="en-US" w:eastAsia="zh-CN"/>
        </w:rPr>
        <w:t>环境投资控股集团</w:t>
      </w:r>
      <w:r>
        <w:rPr>
          <w:rFonts w:hint="eastAsia" w:ascii="宋体" w:hAnsi="宋体" w:eastAsia="宋体" w:cs="宋体"/>
          <w:color w:val="auto"/>
          <w:kern w:val="0"/>
          <w:sz w:val="21"/>
          <w:szCs w:val="21"/>
          <w:highlight w:val="none"/>
        </w:rPr>
        <w:t>有限公司纪检监察部。</w:t>
      </w:r>
    </w:p>
    <w:p w14:paraId="7FED038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（二）举报电话: ( 0769 ) 23076092</w:t>
      </w:r>
    </w:p>
    <w:p w14:paraId="0A97598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（三）举报邮箱:jcs</w:t>
      </w:r>
      <w:r>
        <w:rPr>
          <w:rFonts w:hint="eastAsia" w:ascii="宋体" w:hAnsi="宋体" w:eastAsia="宋体" w:cs="宋体"/>
          <w:color w:val="auto"/>
          <w:kern w:val="0"/>
          <w:sz w:val="21"/>
          <w:szCs w:val="21"/>
          <w:highlight w:val="none"/>
          <w:lang w:val="en-US" w:eastAsia="zh-CN"/>
        </w:rPr>
        <w:t>j</w:t>
      </w:r>
      <w:r>
        <w:rPr>
          <w:rFonts w:hint="eastAsia" w:ascii="宋体" w:hAnsi="宋体" w:eastAsia="宋体" w:cs="宋体"/>
          <w:color w:val="auto"/>
          <w:kern w:val="0"/>
          <w:sz w:val="21"/>
          <w:szCs w:val="21"/>
          <w:highlight w:val="none"/>
        </w:rPr>
        <w:t>@dgsw</w:t>
      </w:r>
      <w:r>
        <w:rPr>
          <w:rFonts w:hint="eastAsia" w:ascii="宋体" w:hAnsi="宋体" w:eastAsia="宋体" w:cs="宋体"/>
          <w:color w:val="auto"/>
          <w:kern w:val="0"/>
          <w:sz w:val="21"/>
          <w:szCs w:val="21"/>
          <w:highlight w:val="none"/>
          <w:lang w:val="en-US" w:eastAsia="zh-CN"/>
        </w:rPr>
        <w:t>j</w:t>
      </w:r>
      <w:r>
        <w:rPr>
          <w:rFonts w:hint="eastAsia" w:ascii="宋体" w:hAnsi="宋体" w:eastAsia="宋体" w:cs="宋体"/>
          <w:color w:val="auto"/>
          <w:kern w:val="0"/>
          <w:sz w:val="21"/>
          <w:szCs w:val="21"/>
          <w:highlight w:val="none"/>
        </w:rPr>
        <w:t>t.cn.</w:t>
      </w:r>
    </w:p>
    <w:p w14:paraId="0359C7E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（四）信访地址: 广东省东莞市东城街道育华路 1 号</w:t>
      </w:r>
    </w:p>
    <w:p w14:paraId="5C6D959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第七条  其他</w:t>
      </w:r>
    </w:p>
    <w:p w14:paraId="13A3ECA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本协议有效期为甲乙双方签字并加盖公章之日起至该工程/采购项目竣工验收完毕，质保期/服务期满后止。本协议一式</w:t>
      </w:r>
      <w:r>
        <w:rPr>
          <w:rFonts w:hint="eastAsia" w:ascii="宋体" w:hAnsi="宋体" w:eastAsia="宋体" w:cs="宋体"/>
          <w:color w:val="auto"/>
          <w:kern w:val="0"/>
          <w:sz w:val="21"/>
          <w:szCs w:val="21"/>
          <w:highlight w:val="none"/>
          <w:u w:val="single"/>
        </w:rPr>
        <w:t xml:space="preserve">  肆 </w:t>
      </w:r>
      <w:r>
        <w:rPr>
          <w:rFonts w:hint="eastAsia" w:ascii="宋体" w:hAnsi="宋体" w:eastAsia="宋体" w:cs="宋体"/>
          <w:color w:val="auto"/>
          <w:kern w:val="0"/>
          <w:sz w:val="21"/>
          <w:szCs w:val="21"/>
          <w:highlight w:val="none"/>
        </w:rPr>
        <w:t>份，甲、乙双方各执</w:t>
      </w:r>
      <w:r>
        <w:rPr>
          <w:rFonts w:hint="eastAsia" w:ascii="宋体" w:hAnsi="宋体" w:eastAsia="宋体" w:cs="宋体"/>
          <w:color w:val="auto"/>
          <w:kern w:val="0"/>
          <w:sz w:val="21"/>
          <w:szCs w:val="21"/>
          <w:highlight w:val="none"/>
          <w:u w:val="single"/>
        </w:rPr>
        <w:t xml:space="preserve"> 壹  </w:t>
      </w:r>
      <w:r>
        <w:rPr>
          <w:rFonts w:hint="eastAsia" w:ascii="宋体" w:hAnsi="宋体" w:eastAsia="宋体" w:cs="宋体"/>
          <w:color w:val="auto"/>
          <w:kern w:val="0"/>
          <w:sz w:val="21"/>
          <w:szCs w:val="21"/>
          <w:highlight w:val="none"/>
        </w:rPr>
        <w:t>份，甲、乙双方上级监督部门各执</w:t>
      </w:r>
      <w:r>
        <w:rPr>
          <w:rFonts w:hint="eastAsia" w:ascii="宋体" w:hAnsi="宋体" w:eastAsia="宋体" w:cs="宋体"/>
          <w:color w:val="auto"/>
          <w:kern w:val="0"/>
          <w:sz w:val="21"/>
          <w:szCs w:val="21"/>
          <w:highlight w:val="none"/>
          <w:u w:val="single"/>
        </w:rPr>
        <w:t xml:space="preserve"> 壹  </w:t>
      </w:r>
      <w:r>
        <w:rPr>
          <w:rFonts w:hint="eastAsia" w:ascii="宋体" w:hAnsi="宋体" w:eastAsia="宋体" w:cs="宋体"/>
          <w:color w:val="auto"/>
          <w:kern w:val="0"/>
          <w:sz w:val="21"/>
          <w:szCs w:val="21"/>
          <w:highlight w:val="none"/>
        </w:rPr>
        <w:t>份</w:t>
      </w:r>
    </w:p>
    <w:p w14:paraId="2B2927A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p>
    <w:p w14:paraId="087180D1">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甲方（盖章）：</w:t>
      </w:r>
      <w:r>
        <w:rPr>
          <w:rFonts w:hint="eastAsia" w:ascii="宋体" w:hAnsi="宋体" w:eastAsia="宋体" w:cs="宋体"/>
          <w:color w:val="auto"/>
          <w:kern w:val="0"/>
          <w:szCs w:val="21"/>
          <w:highlight w:val="none"/>
        </w:rPr>
        <w:t>东莞市水务</w:t>
      </w:r>
      <w:r>
        <w:rPr>
          <w:rFonts w:hint="eastAsia" w:ascii="宋体" w:hAnsi="宋体" w:eastAsia="宋体" w:cs="宋体"/>
          <w:color w:val="auto"/>
          <w:kern w:val="0"/>
          <w:szCs w:val="21"/>
          <w:highlight w:val="none"/>
          <w:lang w:val="en-US" w:eastAsia="zh-CN"/>
        </w:rPr>
        <w:t>环境投资控股集团管网有限公司</w:t>
      </w:r>
      <w:r>
        <w:rPr>
          <w:rFonts w:hint="eastAsia" w:ascii="宋体" w:hAnsi="宋体" w:eastAsia="宋体" w:cs="宋体"/>
          <w:color w:val="auto"/>
          <w:kern w:val="0"/>
          <w:sz w:val="21"/>
          <w:szCs w:val="21"/>
          <w:highlight w:val="none"/>
        </w:rPr>
        <w:t xml:space="preserve">                      </w:t>
      </w:r>
    </w:p>
    <w:p w14:paraId="5D063C3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法定代表人：                   </w:t>
      </w:r>
    </w:p>
    <w:p w14:paraId="75FA010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auto"/>
          <w:kern w:val="0"/>
          <w:sz w:val="21"/>
          <w:szCs w:val="21"/>
          <w:highlight w:val="none"/>
        </w:rPr>
      </w:pPr>
    </w:p>
    <w:p w14:paraId="6449E43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乙方（盖章）：</w:t>
      </w:r>
    </w:p>
    <w:p w14:paraId="5BE4BB3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法定代表人：                   </w:t>
      </w:r>
    </w:p>
    <w:p w14:paraId="4460701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w:t>
      </w:r>
    </w:p>
    <w:p w14:paraId="70B3697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p>
    <w:p w14:paraId="79D83FA1">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签订日期：        </w:t>
      </w:r>
    </w:p>
    <w:p w14:paraId="099511A2">
      <w:pPr>
        <w:autoSpaceDE w:val="0"/>
        <w:autoSpaceDN w:val="0"/>
        <w:adjustRightInd w:val="0"/>
        <w:jc w:val="left"/>
        <w:rPr>
          <w:rFonts w:ascii="宋体" w:hAnsi="宋体" w:eastAsia="宋体" w:cs="Times New Roman"/>
          <w:b/>
          <w:color w:val="auto"/>
          <w:kern w:val="0"/>
          <w:sz w:val="21"/>
          <w:szCs w:val="21"/>
          <w:highlight w:val="none"/>
        </w:rPr>
      </w:pPr>
    </w:p>
    <w:p w14:paraId="79290D2D">
      <w:pPr>
        <w:widowControl/>
        <w:jc w:val="left"/>
        <w:rPr>
          <w:rFonts w:ascii="宋体" w:hAnsi="宋体" w:eastAsia="宋体" w:cs="Times New Roman"/>
          <w:b/>
          <w:color w:val="auto"/>
          <w:kern w:val="0"/>
          <w:szCs w:val="21"/>
          <w:highlight w:val="none"/>
        </w:rPr>
      </w:pPr>
      <w:r>
        <w:rPr>
          <w:rFonts w:ascii="宋体" w:hAnsi="宋体" w:eastAsia="宋体" w:cs="Times New Roman"/>
          <w:b/>
          <w:color w:val="auto"/>
          <w:kern w:val="0"/>
          <w:szCs w:val="21"/>
          <w:highlight w:val="none"/>
        </w:rPr>
        <w:br w:type="page"/>
      </w:r>
    </w:p>
    <w:p w14:paraId="5BFD8DAE">
      <w:pPr>
        <w:autoSpaceDE w:val="0"/>
        <w:autoSpaceDN w:val="0"/>
        <w:adjustRightInd w:val="0"/>
        <w:jc w:val="left"/>
        <w:rPr>
          <w:rFonts w:hint="eastAsia"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附件2</w:t>
      </w:r>
      <w:r>
        <w:rPr>
          <w:rFonts w:hint="eastAsia" w:ascii="宋体" w:hAnsi="宋体" w:eastAsia="宋体" w:cs="Times New Roman"/>
          <w:b/>
          <w:color w:val="auto"/>
          <w:kern w:val="0"/>
          <w:szCs w:val="21"/>
          <w:highlight w:val="none"/>
          <w:lang w:val="en-US" w:eastAsia="zh-CN"/>
        </w:rPr>
        <w:t>.</w:t>
      </w:r>
      <w:r>
        <w:rPr>
          <w:rFonts w:hint="eastAsia" w:ascii="宋体" w:hAnsi="宋体" w:eastAsia="宋体" w:cs="Times New Roman"/>
          <w:b/>
          <w:color w:val="auto"/>
          <w:kern w:val="0"/>
          <w:szCs w:val="21"/>
          <w:highlight w:val="none"/>
        </w:rPr>
        <w:t>《用户需求书》</w:t>
      </w:r>
    </w:p>
    <w:p w14:paraId="1596B681">
      <w:pPr>
        <w:autoSpaceDE w:val="0"/>
        <w:autoSpaceDN w:val="0"/>
        <w:adjustRightInd w:val="0"/>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附件3</w:t>
      </w:r>
      <w:r>
        <w:rPr>
          <w:rFonts w:hint="eastAsia" w:ascii="宋体" w:hAnsi="宋体" w:eastAsia="宋体" w:cs="Times New Roman"/>
          <w:b/>
          <w:color w:val="auto"/>
          <w:kern w:val="0"/>
          <w:szCs w:val="21"/>
          <w:highlight w:val="none"/>
          <w:lang w:val="en-US" w:eastAsia="zh-CN"/>
        </w:rPr>
        <w:t>.</w:t>
      </w:r>
      <w:r>
        <w:rPr>
          <w:rFonts w:hint="eastAsia" w:ascii="宋体" w:hAnsi="宋体" w:eastAsia="宋体" w:cs="Times New Roman"/>
          <w:b/>
          <w:color w:val="auto"/>
          <w:kern w:val="0"/>
          <w:szCs w:val="21"/>
          <w:highlight w:val="none"/>
        </w:rPr>
        <w:t>中标通知书</w:t>
      </w:r>
    </w:p>
    <w:p w14:paraId="43C40719">
      <w:pPr>
        <w:autoSpaceDE w:val="0"/>
        <w:autoSpaceDN w:val="0"/>
        <w:adjustRightInd w:val="0"/>
        <w:jc w:val="left"/>
        <w:rPr>
          <w:rFonts w:hint="eastAsia"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附件4</w:t>
      </w:r>
      <w:r>
        <w:rPr>
          <w:rFonts w:hint="eastAsia" w:ascii="宋体" w:hAnsi="宋体" w:eastAsia="宋体" w:cs="Times New Roman"/>
          <w:b/>
          <w:color w:val="auto"/>
          <w:kern w:val="0"/>
          <w:szCs w:val="21"/>
          <w:highlight w:val="none"/>
          <w:lang w:val="en-US" w:eastAsia="zh-CN"/>
        </w:rPr>
        <w:t>.</w:t>
      </w:r>
      <w:r>
        <w:rPr>
          <w:rFonts w:hint="eastAsia" w:ascii="宋体" w:hAnsi="宋体" w:eastAsia="宋体" w:cs="Times New Roman"/>
          <w:b/>
          <w:color w:val="auto"/>
          <w:kern w:val="0"/>
          <w:szCs w:val="21"/>
          <w:highlight w:val="none"/>
        </w:rPr>
        <w:t>投标报价表：</w:t>
      </w:r>
    </w:p>
    <w:p w14:paraId="64F96471">
      <w:pPr>
        <w:autoSpaceDE w:val="0"/>
        <w:autoSpaceDN w:val="0"/>
        <w:adjustRightInd w:val="0"/>
        <w:jc w:val="left"/>
        <w:rPr>
          <w:rFonts w:hint="eastAsia" w:ascii="宋体" w:hAnsi="宋体" w:eastAsia="宋体" w:cs="Times New Roman"/>
          <w:b/>
          <w:color w:val="auto"/>
          <w:kern w:val="0"/>
          <w:szCs w:val="21"/>
          <w:highlight w:val="none"/>
        </w:rPr>
      </w:pPr>
    </w:p>
    <w:p w14:paraId="62B4391F">
      <w:pPr>
        <w:autoSpaceDE w:val="0"/>
        <w:autoSpaceDN w:val="0"/>
        <w:adjustRightInd w:val="0"/>
        <w:jc w:val="left"/>
        <w:rPr>
          <w:rFonts w:hint="eastAsia" w:ascii="宋体" w:hAnsi="宋体" w:eastAsia="宋体" w:cs="Times New Roman"/>
          <w:b/>
          <w:color w:val="auto"/>
          <w:kern w:val="0"/>
          <w:szCs w:val="21"/>
          <w:highlight w:val="none"/>
        </w:rPr>
        <w:sectPr>
          <w:footerReference r:id="rId4" w:type="first"/>
          <w:footerReference r:id="rId3" w:type="default"/>
          <w:pgSz w:w="12240" w:h="15840"/>
          <w:pgMar w:top="2098" w:right="1134" w:bottom="1984" w:left="1134" w:header="720" w:footer="720" w:gutter="0"/>
          <w:cols w:space="720" w:num="1"/>
          <w:titlePg/>
          <w:docGrid w:linePitch="326" w:charSpace="0"/>
        </w:sectPr>
      </w:pPr>
    </w:p>
    <w:p w14:paraId="48D568DE">
      <w:pPr>
        <w:widowControl/>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附件</w:t>
      </w:r>
      <w:r>
        <w:rPr>
          <w:rFonts w:hint="eastAsia" w:ascii="宋体" w:hAnsi="宋体" w:eastAsia="宋体" w:cs="Times New Roman"/>
          <w:b/>
          <w:color w:val="auto"/>
          <w:kern w:val="0"/>
          <w:szCs w:val="21"/>
          <w:highlight w:val="none"/>
          <w:lang w:val="en-US" w:eastAsia="zh-CN"/>
        </w:rPr>
        <w:t>5.</w:t>
      </w:r>
      <w:r>
        <w:rPr>
          <w:rFonts w:hint="eastAsia" w:ascii="宋体" w:hAnsi="宋体" w:eastAsia="宋体" w:cs="Times New Roman"/>
          <w:b/>
          <w:color w:val="auto"/>
          <w:kern w:val="0"/>
          <w:szCs w:val="21"/>
          <w:highlight w:val="none"/>
        </w:rPr>
        <w:t>承诺书</w:t>
      </w:r>
    </w:p>
    <w:p w14:paraId="48E3F929">
      <w:pPr>
        <w:jc w:val="center"/>
        <w:rPr>
          <w:rFonts w:ascii="宋体" w:hAnsi="宋体" w:eastAsia="宋体" w:cs="宋体"/>
          <w:b/>
          <w:bCs/>
          <w:color w:val="auto"/>
          <w:kern w:val="44"/>
          <w:sz w:val="32"/>
          <w:szCs w:val="32"/>
          <w:highlight w:val="none"/>
          <w:lang w:val="zh-CN"/>
        </w:rPr>
      </w:pPr>
      <w:r>
        <w:rPr>
          <w:rFonts w:hint="eastAsia" w:ascii="宋体" w:hAnsi="宋体" w:eastAsia="宋体" w:cs="宋体"/>
          <w:b/>
          <w:bCs/>
          <w:color w:val="auto"/>
          <w:kern w:val="44"/>
          <w:sz w:val="32"/>
          <w:szCs w:val="32"/>
          <w:highlight w:val="none"/>
          <w:lang w:val="zh-CN"/>
        </w:rPr>
        <w:t>承诺书</w:t>
      </w:r>
    </w:p>
    <w:p w14:paraId="0A11B431">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p>
    <w:p w14:paraId="7B60504A">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东莞市水务</w:t>
      </w:r>
      <w:r>
        <w:rPr>
          <w:rFonts w:hint="eastAsia" w:ascii="宋体" w:hAnsi="宋体" w:eastAsia="宋体" w:cs="宋体"/>
          <w:color w:val="auto"/>
          <w:kern w:val="0"/>
          <w:szCs w:val="21"/>
          <w:highlight w:val="none"/>
          <w:lang w:val="en-US" w:eastAsia="zh-CN"/>
        </w:rPr>
        <w:t>环境投资控股集团管网有限公司</w:t>
      </w:r>
      <w:r>
        <w:rPr>
          <w:rFonts w:hint="eastAsia" w:ascii="宋体" w:hAnsi="宋体" w:eastAsia="宋体" w:cs="宋体"/>
          <w:color w:val="auto"/>
          <w:kern w:val="0"/>
          <w:szCs w:val="21"/>
          <w:highlight w:val="none"/>
        </w:rPr>
        <w:t xml:space="preserve">： </w:t>
      </w:r>
    </w:p>
    <w:p w14:paraId="0B119130">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我司根据《</w:t>
      </w:r>
      <w:r>
        <w:rPr>
          <w:rFonts w:hint="eastAsia" w:ascii="宋体" w:hAnsi="宋体" w:eastAsia="宋体" w:cs="宋体"/>
          <w:color w:val="auto"/>
          <w:kern w:val="0"/>
          <w:szCs w:val="21"/>
          <w:highlight w:val="none"/>
          <w:lang w:eastAsia="zh-CN"/>
        </w:rPr>
        <w:t>东莞市水务环境投资控股集团管网有限公司2026年防撞缓冲车采购项目（第四次招标）</w:t>
      </w:r>
      <w:r>
        <w:rPr>
          <w:rFonts w:hint="eastAsia" w:ascii="宋体" w:hAnsi="宋体" w:eastAsia="宋体" w:cs="宋体"/>
          <w:color w:val="auto"/>
          <w:kern w:val="0"/>
          <w:szCs w:val="21"/>
          <w:highlight w:val="none"/>
        </w:rPr>
        <w:t>合同》相关条款全力配合贵公司工作，并自愿做出如下承诺：</w:t>
      </w:r>
    </w:p>
    <w:p w14:paraId="144233B2">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一）如我司有拖欠所雇用员工工资等，发生劳资纠纷、上访、闹事或其他影响贵公司生产经营等情况而未及时妥善处理的，我司同意贵公司可直接启用履约担保或从未付款中直接扣除相应款项予以支付或作出相应处理，由此产生的一切法律后果由我司承担；</w:t>
      </w:r>
    </w:p>
    <w:p w14:paraId="10572524">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（二）如我司不履行、怠于履行或没有在约定时间内完成合同项下的全部义务，合同条款中有相应违约条款的，我司承诺将按照合同约定承担违约责任；其他无约定情形的，我司同意按照合同价（含税）的</w:t>
      </w:r>
      <w:r>
        <w:rPr>
          <w:rFonts w:hint="eastAsia" w:ascii="宋体" w:hAnsi="宋体" w:eastAsia="宋体" w:cs="宋体"/>
          <w:color w:val="auto"/>
          <w:kern w:val="0"/>
          <w:szCs w:val="21"/>
          <w:highlight w:val="none"/>
          <w:lang w:eastAsia="zh-CN"/>
        </w:rPr>
        <w:t>3%</w:t>
      </w:r>
      <w:r>
        <w:rPr>
          <w:rFonts w:hint="eastAsia" w:ascii="宋体" w:hAnsi="宋体" w:eastAsia="宋体" w:cs="宋体"/>
          <w:color w:val="auto"/>
          <w:kern w:val="0"/>
          <w:szCs w:val="21"/>
          <w:highlight w:val="none"/>
        </w:rPr>
        <w:t>向贵公司承担违约金。同时，贵公司有权另行委派其他单位实施本项目，由此产生的差价及相关费用等由我司承担；</w:t>
      </w:r>
    </w:p>
    <w:p w14:paraId="7DB9B9C4">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（三）如我司有违反本项目管理及合同约定等行为，我司将同意并接受贵公司根据相关约定对我司进行处罚；</w:t>
      </w:r>
    </w:p>
    <w:p w14:paraId="1BE12059">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（四）</w:t>
      </w:r>
      <w:r>
        <w:rPr>
          <w:rFonts w:hint="eastAsia" w:ascii="宋体" w:hAnsi="宋体" w:eastAsia="宋体" w:cs="Times New Roman"/>
          <w:color w:val="auto"/>
          <w:kern w:val="0"/>
          <w:szCs w:val="21"/>
          <w:highlight w:val="none"/>
        </w:rPr>
        <w:t>我方</w:t>
      </w:r>
      <w:r>
        <w:rPr>
          <w:rFonts w:hint="eastAsia" w:ascii="宋体" w:hAnsi="宋体" w:eastAsia="宋体" w:cs="宋体"/>
          <w:color w:val="auto"/>
          <w:kern w:val="0"/>
          <w:szCs w:val="21"/>
          <w:highlight w:val="none"/>
        </w:rPr>
        <w:t>承诺，若我方存在通过弄虚作假、虚假响应招标文件要求等手段骗取中标的，甲方有权或协助主管部门认定我方严重失信的不良行为，纳入相关</w:t>
      </w:r>
      <w:r>
        <w:rPr>
          <w:rFonts w:ascii="宋体" w:hAnsi="宋体" w:eastAsia="宋体" w:cs="宋体"/>
          <w:color w:val="auto"/>
          <w:kern w:val="0"/>
          <w:szCs w:val="21"/>
          <w:highlight w:val="none"/>
        </w:rPr>
        <w:t>企业信用“黑名单”</w:t>
      </w:r>
      <w:r>
        <w:rPr>
          <w:rFonts w:hint="eastAsia" w:ascii="宋体" w:hAnsi="宋体" w:eastAsia="宋体" w:cs="宋体"/>
          <w:color w:val="auto"/>
          <w:kern w:val="0"/>
          <w:szCs w:val="21"/>
          <w:highlight w:val="none"/>
        </w:rPr>
        <w:t>，限制我方参与依法必须招标项目的投标，并</w:t>
      </w:r>
      <w:r>
        <w:rPr>
          <w:rFonts w:ascii="宋体" w:hAnsi="宋体" w:eastAsia="宋体" w:cs="宋体"/>
          <w:color w:val="auto"/>
          <w:kern w:val="0"/>
          <w:szCs w:val="21"/>
          <w:highlight w:val="none"/>
        </w:rPr>
        <w:t>向</w:t>
      </w:r>
      <w:r>
        <w:rPr>
          <w:rFonts w:hint="eastAsia" w:ascii="宋体" w:hAnsi="宋体" w:eastAsia="宋体" w:cs="宋体"/>
          <w:color w:val="auto"/>
          <w:kern w:val="0"/>
          <w:szCs w:val="21"/>
          <w:highlight w:val="none"/>
        </w:rPr>
        <w:t>行政主管部门报送</w:t>
      </w:r>
      <w:r>
        <w:rPr>
          <w:rFonts w:ascii="宋体" w:hAnsi="宋体" w:eastAsia="宋体" w:cs="宋体"/>
          <w:color w:val="auto"/>
          <w:kern w:val="0"/>
          <w:szCs w:val="21"/>
          <w:highlight w:val="none"/>
        </w:rPr>
        <w:t>结果。</w:t>
      </w:r>
      <w:r>
        <w:rPr>
          <w:rFonts w:hint="eastAsia" w:ascii="宋体" w:hAnsi="宋体" w:eastAsia="宋体" w:cs="宋体"/>
          <w:color w:val="auto"/>
          <w:kern w:val="0"/>
          <w:szCs w:val="21"/>
          <w:highlight w:val="none"/>
        </w:rPr>
        <w:t>同时，甲方有权根据《关于对环境保护领域失信生产经营单位及其有关人员开展联合惩戒的合作备忘录》等规定，通过“信用中国”网站向社会公示我方的失信行为，实现“一处失信、处处受限”。</w:t>
      </w:r>
    </w:p>
    <w:p w14:paraId="5E247F4C">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若我方在投标或履行本合同过程中存在提供虚假材料、虚假响应招标文件要求等弄虚作假行为，或未能根据招标文件投标人须知约定按时提供原件核查的，因此导致我方无法参与东莞市水务</w:t>
      </w:r>
      <w:r>
        <w:rPr>
          <w:rFonts w:hint="eastAsia" w:ascii="宋体" w:hAnsi="宋体" w:eastAsia="宋体" w:cs="宋体"/>
          <w:color w:val="auto"/>
          <w:kern w:val="0"/>
          <w:szCs w:val="21"/>
          <w:highlight w:val="none"/>
          <w:lang w:val="en-US" w:eastAsia="zh-CN"/>
        </w:rPr>
        <w:t>环境投资控股</w:t>
      </w:r>
      <w:r>
        <w:rPr>
          <w:rFonts w:hint="eastAsia" w:ascii="宋体" w:hAnsi="宋体" w:eastAsia="宋体" w:cs="宋体"/>
          <w:color w:val="auto"/>
          <w:kern w:val="0"/>
          <w:szCs w:val="21"/>
          <w:highlight w:val="none"/>
        </w:rPr>
        <w:t>集团有限公司相关招标采购活动的，由我方自行承担全部后果。</w:t>
      </w:r>
    </w:p>
    <w:p w14:paraId="1C7158BB">
      <w:pPr>
        <w:autoSpaceDE w:val="0"/>
        <w:autoSpaceDN w:val="0"/>
        <w:adjustRightInd w:val="0"/>
        <w:spacing w:line="360" w:lineRule="auto"/>
        <w:ind w:right="960"/>
        <w:jc w:val="right"/>
        <w:rPr>
          <w:rFonts w:hint="eastAsia" w:ascii="宋体" w:hAnsi="宋体" w:eastAsia="宋体" w:cs="宋体"/>
          <w:color w:val="auto"/>
          <w:w w:val="105"/>
          <w:kern w:val="0"/>
          <w:szCs w:val="21"/>
          <w:highlight w:val="none"/>
        </w:rPr>
      </w:pPr>
    </w:p>
    <w:p w14:paraId="7BD6B0CB">
      <w:pPr>
        <w:autoSpaceDE w:val="0"/>
        <w:autoSpaceDN w:val="0"/>
        <w:adjustRightInd w:val="0"/>
        <w:spacing w:line="360" w:lineRule="auto"/>
        <w:ind w:right="960"/>
        <w:jc w:val="right"/>
        <w:rPr>
          <w:rFonts w:ascii="宋体" w:hAnsi="宋体" w:eastAsia="宋体" w:cs="宋体"/>
          <w:color w:val="auto"/>
          <w:w w:val="105"/>
          <w:kern w:val="0"/>
          <w:szCs w:val="21"/>
          <w:highlight w:val="none"/>
        </w:rPr>
      </w:pPr>
      <w:r>
        <w:rPr>
          <w:rFonts w:hint="eastAsia" w:ascii="宋体" w:hAnsi="宋体" w:eastAsia="宋体" w:cs="宋体"/>
          <w:color w:val="auto"/>
          <w:w w:val="105"/>
          <w:kern w:val="0"/>
          <w:szCs w:val="21"/>
          <w:highlight w:val="none"/>
        </w:rPr>
        <w:t xml:space="preserve">       </w:t>
      </w:r>
    </w:p>
    <w:p w14:paraId="7CFDEE86">
      <w:pPr>
        <w:autoSpaceDE w:val="0"/>
        <w:autoSpaceDN w:val="0"/>
        <w:adjustRightInd w:val="0"/>
        <w:spacing w:line="480" w:lineRule="auto"/>
        <w:ind w:right="960" w:firstLine="3780" w:firstLineChars="1800"/>
        <w:jc w:val="both"/>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承诺单位（盖章）：</w:t>
      </w:r>
    </w:p>
    <w:p w14:paraId="4D5BCDDF">
      <w:pPr>
        <w:autoSpaceDE w:val="0"/>
        <w:autoSpaceDN w:val="0"/>
        <w:adjustRightInd w:val="0"/>
        <w:spacing w:line="480" w:lineRule="auto"/>
        <w:ind w:right="960" w:firstLine="3780" w:firstLineChars="18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法人代表人</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rPr>
        <w:t>授权代理人（</w:t>
      </w:r>
      <w:r>
        <w:rPr>
          <w:rFonts w:hint="eastAsia" w:ascii="宋体" w:hAnsi="宋体" w:eastAsia="宋体" w:cs="宋体"/>
          <w:color w:val="auto"/>
          <w:kern w:val="0"/>
          <w:szCs w:val="21"/>
          <w:highlight w:val="none"/>
          <w:lang w:val="en-US" w:eastAsia="zh-CN"/>
        </w:rPr>
        <w:t>签章</w:t>
      </w:r>
      <w:r>
        <w:rPr>
          <w:rFonts w:hint="eastAsia" w:ascii="宋体" w:hAnsi="宋体" w:eastAsia="宋体" w:cs="宋体"/>
          <w:color w:val="auto"/>
          <w:kern w:val="0"/>
          <w:szCs w:val="21"/>
          <w:highlight w:val="none"/>
        </w:rPr>
        <w:t>）：</w:t>
      </w:r>
    </w:p>
    <w:p w14:paraId="6401B7E2">
      <w:pPr>
        <w:autoSpaceDE w:val="0"/>
        <w:autoSpaceDN w:val="0"/>
        <w:adjustRightInd w:val="0"/>
        <w:spacing w:line="480" w:lineRule="auto"/>
        <w:ind w:left="4759" w:leftChars="166" w:right="960" w:hanging="4410" w:hangingChars="21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日期：</w:t>
      </w:r>
    </w:p>
    <w:p w14:paraId="3C2197E5">
      <w:pPr>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附件6.招标文件（另附）</w:t>
      </w:r>
    </w:p>
    <w:p w14:paraId="29B3B9C7">
      <w:pPr>
        <w:rPr>
          <w:rFonts w:hint="default"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附件7.投标文件（另附）</w:t>
      </w:r>
    </w:p>
    <w:p w14:paraId="0A46C589">
      <w:pPr>
        <w:spacing w:after="120"/>
        <w:rPr>
          <w:rFonts w:ascii="宋体" w:hAnsi="宋体" w:eastAsia="宋体" w:cs="宋体"/>
          <w:b/>
          <w:bCs/>
          <w:color w:val="auto"/>
          <w:szCs w:val="21"/>
          <w:highlight w:val="none"/>
        </w:rPr>
      </w:pPr>
    </w:p>
    <w:p w14:paraId="33381B92">
      <w:pPr>
        <w:widowControl/>
        <w:jc w:val="left"/>
        <w:rPr>
          <w:color w:val="auto"/>
          <w:highlight w:val="none"/>
        </w:rPr>
      </w:pPr>
    </w:p>
    <w:p w14:paraId="14625166">
      <w:pPr>
        <w:widowControl/>
        <w:jc w:val="left"/>
        <w:rPr>
          <w:color w:val="auto"/>
          <w:highlight w:val="none"/>
        </w:rPr>
      </w:pPr>
    </w:p>
    <w:p w14:paraId="545ACC9D">
      <w:pPr>
        <w:widowControl/>
        <w:jc w:val="left"/>
        <w:rPr>
          <w:color w:val="auto"/>
          <w:highlight w:val="none"/>
        </w:rPr>
      </w:pPr>
    </w:p>
    <w:p w14:paraId="4AA5A429">
      <w:pPr>
        <w:autoSpaceDE w:val="0"/>
        <w:autoSpaceDN w:val="0"/>
        <w:adjustRightInd w:val="0"/>
        <w:snapToGrid w:val="0"/>
        <w:spacing w:line="360" w:lineRule="auto"/>
        <w:jc w:val="both"/>
        <w:rPr>
          <w:rFonts w:ascii="宋体" w:hAnsi="宋体" w:eastAsia="宋体" w:cs="Times New Roman"/>
          <w:color w:val="auto"/>
          <w:kern w:val="0"/>
          <w:sz w:val="24"/>
          <w:szCs w:val="24"/>
          <w:highlight w:val="none"/>
        </w:rPr>
      </w:pPr>
    </w:p>
    <w:p w14:paraId="1A6EE2AD">
      <w:pPr>
        <w:pageBreakBefore/>
        <w:spacing w:before="120" w:beforeLines="50" w:after="120" w:afterLines="50" w:line="360" w:lineRule="auto"/>
        <w:ind w:firstLine="640"/>
        <w:jc w:val="center"/>
        <w:outlineLvl w:val="0"/>
        <w:rPr>
          <w:rFonts w:ascii="宋体" w:hAnsi="宋体" w:eastAsia="宋体" w:cs="Times New Roman"/>
          <w:b/>
          <w:bCs/>
          <w:color w:val="auto"/>
          <w:sz w:val="32"/>
          <w:szCs w:val="32"/>
          <w:highlight w:val="none"/>
          <w:lang w:val="zh-CN"/>
        </w:rPr>
      </w:pPr>
      <w:bookmarkStart w:id="362" w:name="_Toc24427_WPSOffice_Level1"/>
      <w:bookmarkStart w:id="363" w:name="_Toc447044479"/>
      <w:bookmarkStart w:id="364" w:name="_Toc22246"/>
      <w:bookmarkStart w:id="365" w:name="_Toc20895"/>
      <w:bookmarkStart w:id="366" w:name="_Toc447044603"/>
      <w:bookmarkStart w:id="367" w:name="_Toc142508360"/>
      <w:bookmarkStart w:id="368" w:name="_Toc512353083"/>
      <w:bookmarkStart w:id="369" w:name="_Toc4388"/>
      <w:bookmarkStart w:id="370" w:name="_Toc447045090"/>
      <w:r>
        <w:rPr>
          <w:rFonts w:hint="eastAsia" w:ascii="宋体" w:hAnsi="宋体" w:eastAsia="宋体" w:cs="Times New Roman"/>
          <w:b/>
          <w:bCs/>
          <w:color w:val="auto"/>
          <w:sz w:val="32"/>
          <w:szCs w:val="32"/>
          <w:highlight w:val="none"/>
          <w:lang w:val="zh-CN"/>
        </w:rPr>
        <w:t>第五篇</w:t>
      </w:r>
      <w:r>
        <w:rPr>
          <w:rFonts w:ascii="宋体" w:hAnsi="宋体" w:eastAsia="宋体" w:cs="Times New Roman"/>
          <w:b/>
          <w:bCs/>
          <w:color w:val="auto"/>
          <w:sz w:val="32"/>
          <w:szCs w:val="32"/>
          <w:highlight w:val="none"/>
          <w:lang w:val="zh-CN"/>
        </w:rPr>
        <w:t xml:space="preserve"> </w:t>
      </w:r>
      <w:r>
        <w:rPr>
          <w:rFonts w:hint="eastAsia" w:ascii="宋体" w:hAnsi="宋体" w:eastAsia="宋体" w:cs="Times New Roman"/>
          <w:b/>
          <w:bCs/>
          <w:color w:val="auto"/>
          <w:sz w:val="32"/>
          <w:szCs w:val="32"/>
          <w:highlight w:val="none"/>
          <w:lang w:val="zh-CN"/>
        </w:rPr>
        <w:t>相关保函格式</w:t>
      </w:r>
      <w:bookmarkEnd w:id="362"/>
      <w:bookmarkEnd w:id="363"/>
      <w:bookmarkEnd w:id="364"/>
      <w:bookmarkEnd w:id="365"/>
      <w:bookmarkEnd w:id="366"/>
      <w:bookmarkEnd w:id="367"/>
      <w:bookmarkEnd w:id="368"/>
      <w:bookmarkEnd w:id="369"/>
      <w:bookmarkEnd w:id="370"/>
      <w:bookmarkStart w:id="371" w:name="_Toc447044480"/>
      <w:bookmarkStart w:id="372" w:name="_Toc447044604"/>
      <w:bookmarkStart w:id="373" w:name="_Toc447045091"/>
    </w:p>
    <w:p w14:paraId="0D806031">
      <w:pPr>
        <w:autoSpaceDE w:val="0"/>
        <w:autoSpaceDN w:val="0"/>
        <w:adjustRightInd w:val="0"/>
        <w:spacing w:after="120" w:afterLines="50" w:line="360" w:lineRule="auto"/>
        <w:jc w:val="left"/>
        <w:outlineLvl w:val="2"/>
        <w:rPr>
          <w:rFonts w:ascii="宋体" w:hAnsi="宋体" w:eastAsia="宋体" w:cs="Times New Roman"/>
          <w:b/>
          <w:color w:val="auto"/>
          <w:kern w:val="0"/>
          <w:sz w:val="28"/>
          <w:szCs w:val="28"/>
          <w:highlight w:val="none"/>
        </w:rPr>
      </w:pPr>
      <w:bookmarkStart w:id="374" w:name="_Toc26521_WPSOffice_Level2"/>
      <w:bookmarkStart w:id="375" w:name="_Toc22351"/>
      <w:r>
        <w:rPr>
          <w:rFonts w:hint="eastAsia" w:ascii="宋体" w:hAnsi="宋体" w:eastAsia="宋体" w:cs="Times New Roman"/>
          <w:b/>
          <w:color w:val="auto"/>
          <w:kern w:val="0"/>
          <w:sz w:val="28"/>
          <w:szCs w:val="28"/>
          <w:highlight w:val="none"/>
        </w:rPr>
        <w:t>一、不可撤销银行履约保函格式</w:t>
      </w:r>
      <w:bookmarkEnd w:id="371"/>
      <w:bookmarkEnd w:id="372"/>
      <w:bookmarkEnd w:id="373"/>
      <w:bookmarkEnd w:id="374"/>
      <w:bookmarkEnd w:id="375"/>
    </w:p>
    <w:p w14:paraId="3BC8DE10">
      <w:pPr>
        <w:autoSpaceDE w:val="0"/>
        <w:autoSpaceDN w:val="0"/>
        <w:adjustRightInd w:val="0"/>
        <w:jc w:val="center"/>
        <w:rPr>
          <w:rFonts w:ascii="宋体" w:hAnsi="宋体" w:eastAsia="宋体" w:cs="Times New Roman"/>
          <w:b/>
          <w:color w:val="auto"/>
          <w:kern w:val="0"/>
          <w:sz w:val="30"/>
          <w:szCs w:val="30"/>
          <w:highlight w:val="none"/>
        </w:rPr>
      </w:pPr>
      <w:r>
        <w:rPr>
          <w:rFonts w:hint="eastAsia" w:ascii="宋体" w:hAnsi="宋体" w:eastAsia="宋体" w:cs="Times New Roman"/>
          <w:b/>
          <w:color w:val="auto"/>
          <w:kern w:val="0"/>
          <w:sz w:val="30"/>
          <w:szCs w:val="30"/>
          <w:highlight w:val="none"/>
        </w:rPr>
        <w:t>不可撤销银行履约保函</w:t>
      </w:r>
    </w:p>
    <w:p w14:paraId="0FB07BE4">
      <w:pPr>
        <w:widowControl/>
        <w:autoSpaceDE w:val="0"/>
        <w:autoSpaceDN w:val="0"/>
        <w:adjustRightInd w:val="0"/>
        <w:spacing w:line="360" w:lineRule="auto"/>
        <w:jc w:val="left"/>
        <w:rPr>
          <w:rFonts w:ascii="宋体" w:hAnsi="宋体" w:eastAsia="宋体" w:cs="宋体"/>
          <w:color w:val="auto"/>
          <w:kern w:val="0"/>
          <w:szCs w:val="21"/>
          <w:highlight w:val="none"/>
        </w:rPr>
      </w:pPr>
    </w:p>
    <w:p w14:paraId="58636A68">
      <w:pPr>
        <w:autoSpaceDE w:val="0"/>
        <w:autoSpaceDN w:val="0"/>
        <w:adjustRightInd w:val="0"/>
        <w:spacing w:line="360" w:lineRule="auto"/>
        <w:ind w:firstLine="6300"/>
        <w:jc w:val="left"/>
        <w:rPr>
          <w:rFonts w:ascii="宋体" w:hAnsi="宋体" w:eastAsia="宋体" w:cs="Times New Roman"/>
          <w:color w:val="auto"/>
          <w:kern w:val="0"/>
          <w:szCs w:val="21"/>
          <w:highlight w:val="none"/>
          <w:u w:val="single"/>
        </w:rPr>
      </w:pPr>
      <w:r>
        <w:rPr>
          <w:rFonts w:ascii="宋体" w:hAnsi="宋体" w:eastAsia="宋体" w:cs="Times New Roman"/>
          <w:color w:val="auto"/>
          <w:kern w:val="0"/>
          <w:szCs w:val="21"/>
          <w:highlight w:val="none"/>
        </w:rPr>
        <w:t>银行编号：</w:t>
      </w:r>
    </w:p>
    <w:p w14:paraId="434F4573">
      <w:pPr>
        <w:widowControl/>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致：</w:t>
      </w:r>
      <w:r>
        <w:rPr>
          <w:rFonts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rPr>
        <w:t>（下称“受益人”）</w:t>
      </w:r>
    </w:p>
    <w:p w14:paraId="5A01BBEE">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鉴于</w:t>
      </w:r>
      <w:r>
        <w:rPr>
          <w:rFonts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申请人</w:t>
      </w:r>
      <w:r>
        <w:rPr>
          <w:rFonts w:ascii="宋体" w:hAnsi="宋体" w:eastAsia="宋体" w:cs="宋体"/>
          <w:color w:val="auto"/>
          <w:kern w:val="0"/>
          <w:szCs w:val="21"/>
          <w:highlight w:val="none"/>
          <w:u w:val="single"/>
        </w:rPr>
        <w:t xml:space="preserve">的名称与地址）  </w:t>
      </w:r>
      <w:r>
        <w:rPr>
          <w:rFonts w:hint="eastAsia" w:ascii="宋体" w:hAnsi="宋体" w:eastAsia="宋体" w:cs="宋体"/>
          <w:color w:val="auto"/>
          <w:kern w:val="0"/>
          <w:szCs w:val="21"/>
          <w:highlight w:val="none"/>
        </w:rPr>
        <w:t>（下称“申请人”），已保证按拟签订的</w:t>
      </w:r>
      <w:r>
        <w:rPr>
          <w:rFonts w:ascii="宋体" w:hAnsi="宋体" w:eastAsia="宋体" w:cs="宋体"/>
          <w:color w:val="auto"/>
          <w:kern w:val="0"/>
          <w:szCs w:val="21"/>
          <w:highlight w:val="none"/>
          <w:u w:val="single"/>
        </w:rPr>
        <w:t>项目名称</w:t>
      </w:r>
      <w:r>
        <w:rPr>
          <w:rFonts w:hint="eastAsia" w:ascii="宋体" w:hAnsi="宋体" w:eastAsia="宋体" w:cs="宋体"/>
          <w:color w:val="auto"/>
          <w:kern w:val="0"/>
          <w:szCs w:val="21"/>
          <w:highlight w:val="none"/>
          <w:u w:val="single"/>
          <w:lang w:val="en-US" w:eastAsia="zh-CN"/>
        </w:rPr>
        <w:t xml:space="preserve">       </w:t>
      </w:r>
      <w:r>
        <w:rPr>
          <w:rFonts w:ascii="宋体" w:hAnsi="宋体" w:eastAsia="宋体" w:cs="宋体"/>
          <w:color w:val="auto"/>
          <w:kern w:val="0"/>
          <w:szCs w:val="21"/>
          <w:highlight w:val="none"/>
          <w:u w:val="single"/>
        </w:rPr>
        <w:t>（招标编号：         ）</w:t>
      </w:r>
      <w:r>
        <w:rPr>
          <w:rFonts w:hint="eastAsia" w:ascii="宋体" w:hAnsi="宋体" w:eastAsia="宋体" w:cs="宋体"/>
          <w:color w:val="auto"/>
          <w:kern w:val="0"/>
          <w:szCs w:val="21"/>
          <w:highlight w:val="none"/>
        </w:rPr>
        <w:t>合同（招标文件）中规定的义务履行合同。</w:t>
      </w:r>
    </w:p>
    <w:p w14:paraId="38A7CA58">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根据上述合同（招标文件）规定，申请人应向受益人提供一份金额为人民币（大写）</w:t>
      </w:r>
      <w:r>
        <w:rPr>
          <w:rFonts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RMB</w:t>
      </w:r>
      <w:r>
        <w:rPr>
          <w:rFonts w:ascii="宋体" w:hAnsi="宋体" w:eastAsia="宋体" w:cs="宋体"/>
          <w:color w:val="auto"/>
          <w:kern w:val="0"/>
          <w:szCs w:val="21"/>
          <w:highlight w:val="none"/>
          <w:u w:val="single"/>
        </w:rPr>
        <w:t>元）</w:t>
      </w:r>
      <w:r>
        <w:rPr>
          <w:rFonts w:hint="eastAsia" w:ascii="宋体" w:hAnsi="宋体" w:eastAsia="宋体" w:cs="宋体"/>
          <w:color w:val="auto"/>
          <w:kern w:val="0"/>
          <w:szCs w:val="21"/>
          <w:highlight w:val="none"/>
        </w:rPr>
        <w:t>的无条件、不可撤销银行履约保函，作为申请人履行上述合同的担保。</w:t>
      </w:r>
    </w:p>
    <w:p w14:paraId="6689CB57">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w:t>
      </w:r>
      <w:r>
        <w:rPr>
          <w:rFonts w:ascii="宋体" w:hAnsi="宋体" w:eastAsia="宋体" w:cs="宋体"/>
          <w:color w:val="auto"/>
          <w:kern w:val="0"/>
          <w:szCs w:val="21"/>
          <w:highlight w:val="none"/>
          <w:u w:val="single"/>
        </w:rPr>
        <w:t xml:space="preserve">     （银行名称）</w:t>
      </w:r>
      <w:r>
        <w:rPr>
          <w:rFonts w:hint="eastAsia" w:ascii="宋体" w:hAnsi="宋体" w:eastAsia="宋体" w:cs="宋体"/>
          <w:color w:val="auto"/>
          <w:kern w:val="0"/>
          <w:szCs w:val="21"/>
          <w:highlight w:val="none"/>
        </w:rPr>
        <w:t>，受申请人的委托，无条件和不可撤销地在受益人出具本保函原件且提出因申请人没有履行上述合同规定，而要求我方承担保证责任</w:t>
      </w:r>
      <w:r>
        <w:rPr>
          <w:rFonts w:hint="eastAsia" w:ascii="宋体" w:hAnsi="宋体" w:eastAsia="宋体" w:cs="宋体"/>
          <w:color w:val="auto"/>
          <w:kern w:val="0"/>
          <w:szCs w:val="21"/>
          <w:highlight w:val="none"/>
          <w:lang w:val="en-US" w:eastAsia="zh-CN"/>
        </w:rPr>
        <w:t>后，</w:t>
      </w:r>
      <w:r>
        <w:rPr>
          <w:rFonts w:hint="eastAsia" w:ascii="宋体" w:hAnsi="宋体" w:eastAsia="宋体" w:cs="宋体"/>
          <w:color w:val="auto"/>
          <w:kern w:val="0"/>
          <w:szCs w:val="21"/>
          <w:highlight w:val="none"/>
        </w:rPr>
        <w:t>在保函限额内向受益人支付不超过人民币（大写）_________（¥_______元）的款项。</w:t>
      </w:r>
    </w:p>
    <w:p w14:paraId="7B93D49A">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在向我行提出要求前，我行将不坚持要求受益人首先向申请人提出上述款项的索赔。</w:t>
      </w:r>
    </w:p>
    <w:p w14:paraId="0A8148D1">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我方还同意，任何受益人与申请人之间可能对合同条款的修改、规范或其他合同文件的变动补充，都不能免除我方按本保函所承担的责任。因此，有关上述变动、补充和修改无须通知或征得我方同意。</w:t>
      </w:r>
    </w:p>
    <w:p w14:paraId="5B3FE5A7">
      <w:pPr>
        <w:widowControl/>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本保函</w:t>
      </w:r>
      <w:r>
        <w:rPr>
          <w:rFonts w:hint="eastAsia" w:ascii="宋体" w:hAnsi="宋体" w:eastAsia="宋体" w:cs="Times New Roman"/>
          <w:color w:val="auto"/>
          <w:kern w:val="0"/>
          <w:szCs w:val="21"/>
          <w:highlight w:val="none"/>
        </w:rPr>
        <w:t>应自合同签订之日起至完成全部供货（含最终验收合格）且结算完毕之后二十八（28）日内保持有效。</w:t>
      </w:r>
    </w:p>
    <w:p w14:paraId="7108C366">
      <w:pPr>
        <w:widowControl/>
        <w:autoSpaceDE w:val="0"/>
        <w:autoSpaceDN w:val="0"/>
        <w:adjustRightInd w:val="0"/>
        <w:spacing w:line="360" w:lineRule="auto"/>
        <w:ind w:firstLine="437"/>
        <w:jc w:val="left"/>
        <w:rPr>
          <w:rFonts w:ascii="宋体" w:hAnsi="宋体" w:eastAsia="宋体" w:cs="宋体"/>
          <w:color w:val="auto"/>
          <w:kern w:val="0"/>
          <w:szCs w:val="21"/>
          <w:highlight w:val="none"/>
        </w:rPr>
      </w:pPr>
    </w:p>
    <w:p w14:paraId="75C5A95C">
      <w:pPr>
        <w:widowControl/>
        <w:autoSpaceDE w:val="0"/>
        <w:autoSpaceDN w:val="0"/>
        <w:adjustRightInd w:val="0"/>
        <w:spacing w:line="360" w:lineRule="auto"/>
        <w:ind w:firstLine="2520" w:firstLineChars="1200"/>
        <w:jc w:val="left"/>
        <w:rPr>
          <w:rFonts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担</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保</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银</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行：</w:t>
      </w:r>
      <w:r>
        <w:rPr>
          <w:rFonts w:ascii="宋体" w:hAnsi="宋体" w:eastAsia="宋体" w:cs="宋体"/>
          <w:color w:val="auto"/>
          <w:kern w:val="0"/>
          <w:szCs w:val="21"/>
          <w:highlight w:val="none"/>
          <w:u w:val="single"/>
        </w:rPr>
        <w:t xml:space="preserve">          银行全称          (盖章)   </w:t>
      </w:r>
    </w:p>
    <w:p w14:paraId="416BB81D">
      <w:pPr>
        <w:widowControl/>
        <w:autoSpaceDE w:val="0"/>
        <w:autoSpaceDN w:val="0"/>
        <w:adjustRightInd w:val="0"/>
        <w:spacing w:line="360" w:lineRule="auto"/>
        <w:ind w:firstLine="2520" w:firstLineChars="1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法定代表人或其授权的代表人：</w:t>
      </w:r>
      <w:r>
        <w:rPr>
          <w:rFonts w:ascii="宋体" w:hAnsi="宋体" w:eastAsia="宋体" w:cs="宋体"/>
          <w:color w:val="auto"/>
          <w:kern w:val="0"/>
          <w:szCs w:val="21"/>
          <w:highlight w:val="none"/>
          <w:u w:val="single"/>
        </w:rPr>
        <w:t xml:space="preserve">       (职务)         </w:t>
      </w:r>
    </w:p>
    <w:p w14:paraId="206E5BE8">
      <w:pPr>
        <w:widowControl/>
        <w:autoSpaceDE w:val="0"/>
        <w:autoSpaceDN w:val="0"/>
        <w:adjustRightInd w:val="0"/>
        <w:spacing w:line="360" w:lineRule="auto"/>
        <w:ind w:firstLine="5502" w:firstLineChars="2620"/>
        <w:jc w:val="left"/>
        <w:rPr>
          <w:rFonts w:ascii="宋体" w:hAnsi="宋体" w:eastAsia="宋体" w:cs="宋体"/>
          <w:color w:val="auto"/>
          <w:kern w:val="0"/>
          <w:szCs w:val="21"/>
          <w:highlight w:val="none"/>
          <w:u w:val="single"/>
        </w:rPr>
      </w:pPr>
      <w:r>
        <w:rPr>
          <w:rFonts w:ascii="宋体" w:hAnsi="宋体" w:eastAsia="宋体" w:cs="宋体"/>
          <w:color w:val="auto"/>
          <w:kern w:val="0"/>
          <w:szCs w:val="21"/>
          <w:highlight w:val="none"/>
          <w:u w:val="single"/>
        </w:rPr>
        <w:t xml:space="preserve">       (姓名)         </w:t>
      </w:r>
    </w:p>
    <w:p w14:paraId="1EAA16C0">
      <w:pPr>
        <w:widowControl/>
        <w:autoSpaceDE w:val="0"/>
        <w:autoSpaceDN w:val="0"/>
        <w:adjustRightInd w:val="0"/>
        <w:spacing w:line="360" w:lineRule="auto"/>
        <w:ind w:firstLine="5502" w:firstLineChars="2620"/>
        <w:jc w:val="left"/>
        <w:rPr>
          <w:rFonts w:ascii="宋体" w:hAnsi="宋体" w:eastAsia="宋体" w:cs="宋体"/>
          <w:color w:val="auto"/>
          <w:kern w:val="0"/>
          <w:szCs w:val="21"/>
          <w:highlight w:val="none"/>
          <w:u w:val="single"/>
        </w:rPr>
      </w:pPr>
      <w:r>
        <w:rPr>
          <w:rFonts w:ascii="宋体" w:hAnsi="宋体" w:eastAsia="宋体" w:cs="宋体"/>
          <w:color w:val="auto"/>
          <w:kern w:val="0"/>
          <w:szCs w:val="21"/>
          <w:highlight w:val="none"/>
          <w:u w:val="single"/>
        </w:rPr>
        <w:t xml:space="preserve">       (签章)         </w:t>
      </w:r>
    </w:p>
    <w:p w14:paraId="4DE1845A">
      <w:pPr>
        <w:autoSpaceDE w:val="0"/>
        <w:autoSpaceDN w:val="0"/>
        <w:adjustRightInd w:val="0"/>
        <w:spacing w:line="360" w:lineRule="auto"/>
        <w:ind w:left="840" w:firstLine="420" w:firstLineChars="200"/>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 xml:space="preserve">                                        </w:t>
      </w:r>
      <w:r>
        <w:rPr>
          <w:rFonts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0FF297B1">
      <w:pPr>
        <w:widowControl/>
        <w:autoSpaceDE w:val="0"/>
        <w:autoSpaceDN w:val="0"/>
        <w:adjustRightInd w:val="0"/>
        <w:spacing w:line="360" w:lineRule="auto"/>
        <w:jc w:val="left"/>
        <w:rPr>
          <w:rFonts w:ascii="宋体" w:hAnsi="宋体" w:eastAsia="宋体" w:cs="宋体"/>
          <w:color w:val="auto"/>
          <w:kern w:val="0"/>
          <w:szCs w:val="21"/>
          <w:highlight w:val="none"/>
        </w:rPr>
      </w:pPr>
    </w:p>
    <w:p w14:paraId="2D0E4E6B">
      <w:pPr>
        <w:widowControl/>
        <w:autoSpaceDE w:val="0"/>
        <w:autoSpaceDN w:val="0"/>
        <w:adjustRightInd w:val="0"/>
        <w:spacing w:line="360" w:lineRule="auto"/>
        <w:jc w:val="left"/>
        <w:rPr>
          <w:rFonts w:ascii="宋体" w:hAnsi="宋体" w:eastAsia="宋体" w:cs="宋体"/>
          <w:color w:val="auto"/>
          <w:kern w:val="0"/>
          <w:szCs w:val="21"/>
          <w:highlight w:val="none"/>
        </w:rPr>
      </w:pPr>
    </w:p>
    <w:p w14:paraId="38E5546C">
      <w:pPr>
        <w:autoSpaceDE w:val="0"/>
        <w:autoSpaceDN w:val="0"/>
        <w:adjustRightInd w:val="0"/>
        <w:spacing w:line="360" w:lineRule="auto"/>
        <w:ind w:right="368" w:rightChars="175"/>
        <w:jc w:val="left"/>
        <w:rPr>
          <w:rFonts w:ascii="宋体" w:hAnsi="宋体" w:eastAsia="宋体" w:cs="Times New Roman"/>
          <w:color w:val="auto"/>
          <w:kern w:val="0"/>
          <w:szCs w:val="21"/>
          <w:highlight w:val="none"/>
        </w:rPr>
        <w:sectPr>
          <w:footerReference r:id="rId6" w:type="first"/>
          <w:footerReference r:id="rId5" w:type="default"/>
          <w:pgSz w:w="12240" w:h="15840"/>
          <w:pgMar w:top="1191" w:right="1043" w:bottom="1191" w:left="1043" w:header="720" w:footer="720" w:gutter="0"/>
          <w:cols w:space="720" w:num="1"/>
          <w:titlePg/>
          <w:docGrid w:linePitch="326" w:charSpace="0"/>
        </w:sectPr>
      </w:pPr>
    </w:p>
    <w:p w14:paraId="0F64852B">
      <w:pPr>
        <w:numPr>
          <w:ilvl w:val="0"/>
          <w:numId w:val="0"/>
        </w:numPr>
        <w:outlineLvl w:val="2"/>
        <w:rPr>
          <w:rFonts w:hint="eastAsia" w:ascii="宋体" w:hAnsi="宋体" w:eastAsia="宋体" w:cs="Times New Roman"/>
          <w:b/>
          <w:color w:val="auto"/>
          <w:kern w:val="0"/>
          <w:sz w:val="28"/>
          <w:szCs w:val="28"/>
          <w:highlight w:val="none"/>
          <w:lang w:val="en-US" w:eastAsia="zh-CN"/>
        </w:rPr>
      </w:pPr>
      <w:bookmarkStart w:id="376" w:name="_Toc10962"/>
      <w:r>
        <w:rPr>
          <w:rFonts w:hint="eastAsia" w:ascii="宋体" w:hAnsi="宋体" w:eastAsia="宋体" w:cs="Times New Roman"/>
          <w:b/>
          <w:color w:val="auto"/>
          <w:kern w:val="0"/>
          <w:sz w:val="28"/>
          <w:szCs w:val="28"/>
          <w:highlight w:val="none"/>
          <w:lang w:val="en-US" w:eastAsia="zh-CN" w:bidi="ar-SA"/>
        </w:rPr>
        <w:t>二、</w:t>
      </w:r>
      <w:r>
        <w:rPr>
          <w:rFonts w:hint="eastAsia" w:ascii="宋体" w:hAnsi="宋体" w:eastAsia="宋体" w:cs="Times New Roman"/>
          <w:b/>
          <w:color w:val="auto"/>
          <w:kern w:val="0"/>
          <w:sz w:val="28"/>
          <w:szCs w:val="28"/>
          <w:highlight w:val="none"/>
          <w:lang w:val="en-US" w:eastAsia="zh-CN"/>
        </w:rPr>
        <w:t>履约保证保险凭证格式</w:t>
      </w:r>
      <w:bookmarkEnd w:id="376"/>
    </w:p>
    <w:p w14:paraId="53CAA667">
      <w:pPr>
        <w:autoSpaceDE w:val="0"/>
        <w:autoSpaceDN w:val="0"/>
        <w:adjustRightInd w:val="0"/>
        <w:jc w:val="center"/>
        <w:rPr>
          <w:rFonts w:hint="eastAsia" w:ascii="宋体" w:hAnsi="宋体" w:eastAsia="宋体" w:cs="Times New Roman"/>
          <w:b/>
          <w:color w:val="auto"/>
          <w:kern w:val="0"/>
          <w:sz w:val="30"/>
          <w:szCs w:val="30"/>
          <w:highlight w:val="none"/>
          <w:lang w:val="en-US" w:eastAsia="zh-CN"/>
        </w:rPr>
      </w:pPr>
    </w:p>
    <w:p w14:paraId="7632BD6B">
      <w:pPr>
        <w:autoSpaceDE w:val="0"/>
        <w:autoSpaceDN w:val="0"/>
        <w:adjustRightInd w:val="0"/>
        <w:jc w:val="center"/>
        <w:rPr>
          <w:rFonts w:hint="eastAsia" w:ascii="宋体" w:hAnsi="宋体" w:eastAsia="宋体" w:cs="Times New Roman"/>
          <w:b/>
          <w:color w:val="auto"/>
          <w:kern w:val="0"/>
          <w:sz w:val="30"/>
          <w:szCs w:val="30"/>
          <w:highlight w:val="none"/>
          <w:lang w:val="en-US" w:eastAsia="zh-CN"/>
        </w:rPr>
      </w:pPr>
      <w:r>
        <w:rPr>
          <w:rFonts w:hint="eastAsia" w:ascii="宋体" w:hAnsi="宋体" w:eastAsia="宋体" w:cs="Times New Roman"/>
          <w:b/>
          <w:color w:val="auto"/>
          <w:kern w:val="0"/>
          <w:sz w:val="30"/>
          <w:szCs w:val="30"/>
          <w:highlight w:val="none"/>
          <w:lang w:val="en-US" w:eastAsia="zh-CN"/>
        </w:rPr>
        <w:t>履约保证保险凭证</w:t>
      </w:r>
    </w:p>
    <w:p w14:paraId="2C6AB4EE">
      <w:pPr>
        <w:autoSpaceDE w:val="0"/>
        <w:autoSpaceDN w:val="0"/>
        <w:adjustRightInd w:val="0"/>
        <w:spacing w:line="360" w:lineRule="auto"/>
        <w:ind w:firstLine="437"/>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 xml:space="preserve">                                      </w:t>
      </w:r>
    </w:p>
    <w:p w14:paraId="4D9F3B35">
      <w:pPr>
        <w:autoSpaceDE w:val="0"/>
        <w:autoSpaceDN w:val="0"/>
        <w:adjustRightInd w:val="0"/>
        <w:spacing w:line="360" w:lineRule="auto"/>
        <w:ind w:firstLine="43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                               编号：</w:t>
      </w:r>
    </w:p>
    <w:p w14:paraId="5ADC14C3">
      <w:pPr>
        <w:autoSpaceDE w:val="0"/>
        <w:autoSpaceDN w:val="0"/>
        <w:adjustRightInd w:val="0"/>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致：</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（下称“受益人”）： </w:t>
      </w:r>
    </w:p>
    <w:p w14:paraId="234BD45D">
      <w:pPr>
        <w:autoSpaceDE w:val="0"/>
        <w:autoSpaceDN w:val="0"/>
        <w:adjustRightInd w:val="0"/>
        <w:spacing w:line="360" w:lineRule="auto"/>
        <w:ind w:firstLine="437"/>
        <w:jc w:val="left"/>
        <w:rPr>
          <w:rFonts w:hint="eastAsia" w:ascii="宋体" w:hAnsi="宋体" w:eastAsia="宋体" w:cs="宋体"/>
          <w:color w:val="auto"/>
          <w:kern w:val="0"/>
          <w:szCs w:val="21"/>
          <w:highlight w:val="none"/>
          <w:lang w:val="en-US" w:eastAsia="zh-CN"/>
        </w:rPr>
      </w:pPr>
    </w:p>
    <w:p w14:paraId="4F2B5E62">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鉴于</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（下称“申请人”）已与贵方签订了</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lang w:eastAsia="zh-CN"/>
        </w:rPr>
        <w:t>项目</w:t>
      </w:r>
      <w:r>
        <w:rPr>
          <w:rFonts w:hint="eastAsia" w:ascii="宋体" w:hAnsi="宋体" w:eastAsia="宋体" w:cs="宋体"/>
          <w:color w:val="auto"/>
          <w:kern w:val="0"/>
          <w:szCs w:val="21"/>
          <w:highlight w:val="none"/>
          <w:u w:val="single"/>
          <w:lang w:val="en-US" w:eastAsia="zh-CN"/>
        </w:rPr>
        <w:t xml:space="preserve"> </w:t>
      </w:r>
      <w:r>
        <w:rPr>
          <w:rFonts w:ascii="宋体" w:hAnsi="宋体" w:eastAsia="宋体" w:cs="Times New Roman"/>
          <w:color w:val="auto"/>
          <w:kern w:val="0"/>
          <w:szCs w:val="21"/>
          <w:highlight w:val="none"/>
          <w:u w:val="single"/>
        </w:rPr>
        <w:t>（招标编号：        ）</w:t>
      </w:r>
      <w:r>
        <w:rPr>
          <w:rFonts w:hint="eastAsia" w:ascii="宋体" w:hAnsi="宋体" w:eastAsia="宋体" w:cs="Times New Roman"/>
          <w:color w:val="auto"/>
          <w:kern w:val="0"/>
          <w:szCs w:val="21"/>
          <w:highlight w:val="none"/>
        </w:rPr>
        <w:t>合同</w:t>
      </w:r>
      <w:r>
        <w:rPr>
          <w:rFonts w:hint="eastAsia" w:ascii="宋体" w:hAnsi="宋体" w:eastAsia="宋体" w:cs="宋体"/>
          <w:color w:val="auto"/>
          <w:kern w:val="0"/>
          <w:szCs w:val="21"/>
          <w:highlight w:val="none"/>
          <w:lang w:val="en-US" w:eastAsia="zh-CN"/>
        </w:rPr>
        <w:t>。我方已接受申请人的请求，并出具《履约保证保险》保险单。</w:t>
      </w:r>
      <w:r>
        <w:rPr>
          <w:rFonts w:hint="default" w:ascii="宋体" w:hAnsi="宋体" w:eastAsia="宋体" w:cs="宋体"/>
          <w:color w:val="auto"/>
          <w:kern w:val="0"/>
          <w:szCs w:val="21"/>
          <w:highlight w:val="none"/>
          <w:lang w:val="en-US" w:eastAsia="zh-CN"/>
        </w:rPr>
        <w:t xml:space="preserve"> </w:t>
      </w:r>
    </w:p>
    <w:p w14:paraId="3F55BBDC">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一、保证保险金额 </w:t>
      </w:r>
    </w:p>
    <w:p w14:paraId="0C35409B">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我方承担的履约保证保险的保险金额（最高限额）为人民币（大写）</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元 （</w:t>
      </w:r>
      <w:r>
        <w:rPr>
          <w:rFonts w:hint="default" w:ascii="宋体" w:hAnsi="宋体" w:eastAsia="宋体" w:cs="宋体"/>
          <w:color w:val="auto"/>
          <w:kern w:val="0"/>
          <w:szCs w:val="21"/>
          <w:highlight w:val="none"/>
          <w:lang w:val="en-US" w:eastAsia="zh-CN"/>
        </w:rPr>
        <w:t>¥</w:t>
      </w:r>
      <w:r>
        <w:rPr>
          <w:rFonts w:hint="eastAsia" w:ascii="宋体" w:hAnsi="宋体" w:eastAsia="宋体" w:cs="宋体"/>
          <w:b/>
          <w:color w:val="auto"/>
          <w:kern w:val="0"/>
          <w:szCs w:val="21"/>
          <w:highlight w:val="none"/>
          <w:u w:val="single"/>
        </w:rPr>
        <w:t xml:space="preserve">               </w:t>
      </w:r>
      <w:r>
        <w:rPr>
          <w:rFonts w:hint="default"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lang w:val="en-US" w:eastAsia="zh-CN"/>
        </w:rPr>
        <w:t xml:space="preserve">）。 </w:t>
      </w:r>
    </w:p>
    <w:p w14:paraId="00F3C33F">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二、保证保险的责任范围 </w:t>
      </w:r>
    </w:p>
    <w:p w14:paraId="15102FD9">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在保险期间内，申请人因自身原因未按照与贵方签订的</w:t>
      </w:r>
      <w:r>
        <w:rPr>
          <w:rFonts w:hint="eastAsia" w:ascii="宋体" w:hAnsi="宋体" w:eastAsia="宋体" w:cs="宋体"/>
          <w:color w:val="auto"/>
          <w:kern w:val="0"/>
          <w:szCs w:val="21"/>
          <w:highlight w:val="none"/>
          <w:u w:val="single"/>
          <w:lang w:eastAsia="zh-CN"/>
        </w:rPr>
        <w:t>东莞市水务环境投资控股集团管网有限公司2026年防撞缓冲车采购项目（第四次招标）</w:t>
      </w:r>
      <w:r>
        <w:rPr>
          <w:rFonts w:ascii="宋体" w:hAnsi="宋体" w:eastAsia="宋体" w:cs="Times New Roman"/>
          <w:color w:val="auto"/>
          <w:kern w:val="0"/>
          <w:szCs w:val="21"/>
          <w:highlight w:val="none"/>
          <w:u w:val="single"/>
        </w:rPr>
        <w:t>（招标编号：        ）</w:t>
      </w:r>
      <w:r>
        <w:rPr>
          <w:rFonts w:hint="eastAsia" w:ascii="宋体" w:hAnsi="宋体" w:eastAsia="宋体" w:cs="Times New Roman"/>
          <w:color w:val="auto"/>
          <w:kern w:val="0"/>
          <w:szCs w:val="21"/>
          <w:highlight w:val="none"/>
        </w:rPr>
        <w:t>合同</w:t>
      </w:r>
      <w:r>
        <w:rPr>
          <w:rFonts w:hint="eastAsia" w:ascii="宋体" w:hAnsi="宋体" w:eastAsia="宋体" w:cs="宋体"/>
          <w:color w:val="auto"/>
          <w:kern w:val="0"/>
          <w:szCs w:val="21"/>
          <w:highlight w:val="none"/>
          <w:lang w:val="en-US" w:eastAsia="zh-CN"/>
        </w:rPr>
        <w:t xml:space="preserve">履行相关义务，给贵方造成损失的，贵方可向我方提出索赔，我方按照保险合同的约定承担损失赔偿责任。 </w:t>
      </w:r>
    </w:p>
    <w:p w14:paraId="5E2F3A43">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三、代偿的安排 </w:t>
      </w:r>
    </w:p>
    <w:p w14:paraId="71B040D3">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贵方要求我方承担保证保险责任的，我方无条件和不可撤销地在贵方出具本履约保证保险原件且提出因申请人没有履行上述合同规定，而要求我方承担保证责任后，在保险限额内向贵方支付不超过人民币（大写）_________（¥_______元）的款项。</w:t>
      </w:r>
    </w:p>
    <w:p w14:paraId="35527038">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四、生效时间 </w:t>
      </w:r>
    </w:p>
    <w:p w14:paraId="40FB9866">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本保险凭证自我方法定代表人（或其授权代理人）签字并加盖保险承保章之日起生效。 </w:t>
      </w:r>
    </w:p>
    <w:p w14:paraId="3A27AB10">
      <w:pPr>
        <w:numPr>
          <w:ilvl w:val="0"/>
          <w:numId w:val="0"/>
        </w:numPr>
        <w:autoSpaceDE w:val="0"/>
        <w:autoSpaceDN w:val="0"/>
        <w:adjustRightInd w:val="0"/>
        <w:spacing w:line="360" w:lineRule="auto"/>
        <w:ind w:firstLine="437" w:firstLineChars="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1"/>
          <w:szCs w:val="21"/>
          <w:highlight w:val="none"/>
          <w:lang w:val="en-US" w:eastAsia="zh-CN" w:bidi="ar-SA"/>
        </w:rPr>
        <w:t>五、</w:t>
      </w:r>
      <w:r>
        <w:rPr>
          <w:rFonts w:hint="eastAsia" w:ascii="宋体" w:hAnsi="宋体" w:eastAsia="宋体" w:cs="宋体"/>
          <w:color w:val="auto"/>
          <w:kern w:val="0"/>
          <w:szCs w:val="21"/>
          <w:highlight w:val="none"/>
          <w:lang w:val="en-US" w:eastAsia="zh-CN"/>
        </w:rPr>
        <w:t>其他</w:t>
      </w:r>
    </w:p>
    <w:p w14:paraId="1EC42B92">
      <w:pPr>
        <w:autoSpaceDE w:val="0"/>
        <w:autoSpaceDN w:val="0"/>
        <w:adjustRightInd w:val="0"/>
        <w:spacing w:line="360" w:lineRule="auto"/>
        <w:ind w:firstLine="437"/>
        <w:jc w:val="left"/>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本</w:t>
      </w:r>
      <w:r>
        <w:rPr>
          <w:rFonts w:hint="eastAsia" w:ascii="宋体" w:hAnsi="宋体" w:eastAsia="宋体" w:cs="宋体"/>
          <w:color w:val="auto"/>
          <w:kern w:val="0"/>
          <w:szCs w:val="21"/>
          <w:highlight w:val="none"/>
          <w:lang w:val="en-US" w:eastAsia="zh-CN"/>
        </w:rPr>
        <w:t>履约保证保险</w:t>
      </w:r>
      <w:r>
        <w:rPr>
          <w:rFonts w:hint="eastAsia" w:ascii="宋体" w:hAnsi="宋体" w:eastAsia="宋体" w:cs="Times New Roman"/>
          <w:color w:val="auto"/>
          <w:kern w:val="0"/>
          <w:szCs w:val="21"/>
          <w:highlight w:val="none"/>
        </w:rPr>
        <w:t>应自合同签订之日起至完成全部供货（含最终验收合格）且结算完毕之后二十八（28）日内保持有效。</w:t>
      </w:r>
    </w:p>
    <w:p w14:paraId="3E443D1C">
      <w:pPr>
        <w:outlineLvl w:val="9"/>
        <w:rPr>
          <w:rFonts w:hint="default"/>
          <w:color w:val="auto"/>
          <w:highlight w:val="none"/>
          <w:lang w:val="en-US" w:eastAsia="zh-CN"/>
        </w:rPr>
      </w:pPr>
    </w:p>
    <w:p w14:paraId="53FA2A18">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附：《</w:t>
      </w:r>
      <w:r>
        <w:rPr>
          <w:rFonts w:hint="default" w:ascii="宋体" w:hAnsi="宋体" w:eastAsia="宋体" w:cs="宋体"/>
          <w:color w:val="auto"/>
          <w:kern w:val="0"/>
          <w:szCs w:val="21"/>
          <w:highlight w:val="none"/>
          <w:lang w:val="en-US" w:eastAsia="zh-CN"/>
        </w:rPr>
        <w:t xml:space="preserve">XXX </w:t>
      </w:r>
      <w:r>
        <w:rPr>
          <w:rFonts w:hint="eastAsia" w:ascii="宋体" w:hAnsi="宋体" w:eastAsia="宋体" w:cs="宋体"/>
          <w:color w:val="auto"/>
          <w:kern w:val="0"/>
          <w:szCs w:val="21"/>
          <w:highlight w:val="none"/>
          <w:lang w:val="en-US" w:eastAsia="zh-CN"/>
        </w:rPr>
        <w:t>保险有限公司履约保证保险（</w:t>
      </w:r>
      <w:r>
        <w:rPr>
          <w:rFonts w:hint="default" w:ascii="宋体" w:hAnsi="宋体" w:eastAsia="宋体" w:cs="宋体"/>
          <w:color w:val="auto"/>
          <w:kern w:val="0"/>
          <w:szCs w:val="21"/>
          <w:highlight w:val="none"/>
          <w:lang w:val="en-US" w:eastAsia="zh-CN"/>
        </w:rPr>
        <w:t xml:space="preserve">X </w:t>
      </w:r>
      <w:r>
        <w:rPr>
          <w:rFonts w:hint="eastAsia" w:ascii="宋体" w:hAnsi="宋体" w:eastAsia="宋体" w:cs="宋体"/>
          <w:color w:val="auto"/>
          <w:kern w:val="0"/>
          <w:szCs w:val="21"/>
          <w:highlight w:val="none"/>
          <w:lang w:val="en-US" w:eastAsia="zh-CN"/>
        </w:rPr>
        <w:t xml:space="preserve">款）条款》及保单 </w:t>
      </w:r>
    </w:p>
    <w:p w14:paraId="1F08ACF6">
      <w:pPr>
        <w:autoSpaceDE w:val="0"/>
        <w:autoSpaceDN w:val="0"/>
        <w:adjustRightInd w:val="0"/>
        <w:spacing w:line="360" w:lineRule="auto"/>
        <w:ind w:firstLine="437"/>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 xml:space="preserve">                                            </w:t>
      </w:r>
    </w:p>
    <w:p w14:paraId="66D13BAB">
      <w:pPr>
        <w:autoSpaceDE w:val="0"/>
        <w:autoSpaceDN w:val="0"/>
        <w:adjustRightInd w:val="0"/>
        <w:spacing w:line="360" w:lineRule="auto"/>
        <w:ind w:firstLine="43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                                             保险人：（盖章）</w:t>
      </w:r>
    </w:p>
    <w:p w14:paraId="2FC2E1D4">
      <w:pPr>
        <w:autoSpaceDE w:val="0"/>
        <w:autoSpaceDN w:val="0"/>
        <w:adjustRightInd w:val="0"/>
        <w:spacing w:line="360" w:lineRule="auto"/>
        <w:ind w:firstLine="437"/>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法定代表人或授权代理人：</w:t>
      </w:r>
      <w:r>
        <w:rPr>
          <w:rFonts w:hint="default" w:ascii="宋体" w:hAnsi="宋体" w:eastAsia="宋体" w:cs="宋体"/>
          <w:color w:val="auto"/>
          <w:kern w:val="0"/>
          <w:szCs w:val="21"/>
          <w:highlight w:val="none"/>
          <w:lang w:val="en-US" w:eastAsia="zh-CN"/>
        </w:rPr>
        <w:t xml:space="preserve">________ </w:t>
      </w:r>
    </w:p>
    <w:p w14:paraId="1837F0CD">
      <w:pPr>
        <w:jc w:val="righ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年</w:t>
      </w:r>
      <w:r>
        <w:rPr>
          <w:rFonts w:hint="default"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lang w:val="en-US" w:eastAsia="zh-CN"/>
        </w:rPr>
        <w:t>月</w:t>
      </w:r>
      <w:r>
        <w:rPr>
          <w:rFonts w:hint="default"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lang w:val="en-US" w:eastAsia="zh-CN"/>
        </w:rPr>
        <w:t>日</w:t>
      </w:r>
    </w:p>
    <w:p w14:paraId="6078BF31">
      <w:pPr>
        <w:jc w:val="both"/>
        <w:rPr>
          <w:rFonts w:hint="eastAsia" w:ascii="宋体" w:hAnsi="宋体" w:eastAsia="宋体" w:cs="Times New Roman"/>
          <w:b/>
          <w:color w:val="auto"/>
          <w:kern w:val="0"/>
          <w:sz w:val="28"/>
          <w:szCs w:val="28"/>
          <w:highlight w:val="none"/>
        </w:rPr>
      </w:pPr>
      <w:r>
        <w:rPr>
          <w:rFonts w:hint="eastAsia" w:ascii="宋体" w:hAnsi="宋体" w:eastAsia="宋体" w:cs="Times New Roman"/>
          <w:b/>
          <w:color w:val="auto"/>
          <w:kern w:val="0"/>
          <w:sz w:val="28"/>
          <w:szCs w:val="28"/>
          <w:highlight w:val="none"/>
        </w:rPr>
        <w:br w:type="page"/>
      </w:r>
    </w:p>
    <w:p w14:paraId="6AFB56FD">
      <w:pPr>
        <w:autoSpaceDE w:val="0"/>
        <w:autoSpaceDN w:val="0"/>
        <w:adjustRightInd w:val="0"/>
        <w:spacing w:after="120" w:afterLines="50" w:line="360" w:lineRule="auto"/>
        <w:jc w:val="left"/>
        <w:outlineLvl w:val="2"/>
        <w:rPr>
          <w:rFonts w:ascii="宋体" w:hAnsi="宋体" w:eastAsia="宋体" w:cs="Times New Roman"/>
          <w:b/>
          <w:color w:val="auto"/>
          <w:kern w:val="0"/>
          <w:sz w:val="28"/>
          <w:szCs w:val="28"/>
          <w:highlight w:val="none"/>
        </w:rPr>
      </w:pPr>
      <w:bookmarkStart w:id="377" w:name="_Toc5059"/>
      <w:r>
        <w:rPr>
          <w:rFonts w:hint="eastAsia" w:ascii="宋体" w:hAnsi="宋体" w:eastAsia="宋体" w:cs="Times New Roman"/>
          <w:b/>
          <w:color w:val="auto"/>
          <w:kern w:val="0"/>
          <w:sz w:val="28"/>
          <w:szCs w:val="28"/>
          <w:highlight w:val="none"/>
          <w:lang w:val="en-US" w:eastAsia="zh-CN"/>
        </w:rPr>
        <w:t>三</w:t>
      </w:r>
      <w:r>
        <w:rPr>
          <w:rFonts w:hint="eastAsia" w:ascii="宋体" w:hAnsi="宋体" w:eastAsia="宋体" w:cs="Times New Roman"/>
          <w:b/>
          <w:color w:val="auto"/>
          <w:kern w:val="0"/>
          <w:sz w:val="28"/>
          <w:szCs w:val="28"/>
          <w:highlight w:val="none"/>
        </w:rPr>
        <w:t>、担保公司履约担保书格式</w:t>
      </w:r>
      <w:bookmarkEnd w:id="377"/>
    </w:p>
    <w:p w14:paraId="73323A36">
      <w:pPr>
        <w:autoSpaceDE w:val="0"/>
        <w:autoSpaceDN w:val="0"/>
        <w:adjustRightInd w:val="0"/>
        <w:jc w:val="center"/>
        <w:rPr>
          <w:rFonts w:ascii="宋体" w:hAnsi="宋体" w:eastAsia="宋体" w:cs="Times New Roman"/>
          <w:b/>
          <w:color w:val="auto"/>
          <w:kern w:val="0"/>
          <w:sz w:val="30"/>
          <w:szCs w:val="30"/>
          <w:highlight w:val="none"/>
        </w:rPr>
      </w:pPr>
      <w:r>
        <w:rPr>
          <w:rFonts w:hint="eastAsia" w:ascii="宋体" w:hAnsi="宋体" w:eastAsia="宋体" w:cs="Times New Roman"/>
          <w:b/>
          <w:color w:val="auto"/>
          <w:kern w:val="0"/>
          <w:sz w:val="30"/>
          <w:szCs w:val="30"/>
          <w:highlight w:val="none"/>
        </w:rPr>
        <w:t>担保公司履约担保书</w:t>
      </w:r>
    </w:p>
    <w:p w14:paraId="44290845">
      <w:pPr>
        <w:widowControl/>
        <w:autoSpaceDE w:val="0"/>
        <w:autoSpaceDN w:val="0"/>
        <w:adjustRightInd w:val="0"/>
        <w:spacing w:before="100" w:beforeAutospacing="1" w:after="100" w:afterAutospacing="1"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致：</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rPr>
        <w:t>（下称“受益人”）</w:t>
      </w:r>
    </w:p>
    <w:p w14:paraId="3734371A">
      <w:pPr>
        <w:autoSpaceDE w:val="0"/>
        <w:autoSpaceDN w:val="0"/>
        <w:adjustRightInd w:val="0"/>
        <w:spacing w:line="360" w:lineRule="auto"/>
        <w:ind w:firstLine="437"/>
        <w:jc w:val="left"/>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鉴于</w:t>
      </w:r>
      <w:r>
        <w:rPr>
          <w:rFonts w:ascii="宋体" w:hAnsi="宋体" w:eastAsia="宋体" w:cs="Times New Roman"/>
          <w:color w:val="auto"/>
          <w:kern w:val="0"/>
          <w:szCs w:val="21"/>
          <w:highlight w:val="none"/>
          <w:u w:val="single"/>
        </w:rPr>
        <w:t xml:space="preserve">  （</w:t>
      </w:r>
      <w:r>
        <w:rPr>
          <w:rFonts w:hint="eastAsia" w:ascii="宋体" w:hAnsi="宋体" w:eastAsia="宋体" w:cs="Times New Roman"/>
          <w:color w:val="auto"/>
          <w:kern w:val="0"/>
          <w:szCs w:val="21"/>
          <w:highlight w:val="none"/>
          <w:u w:val="single"/>
        </w:rPr>
        <w:t>申请人</w:t>
      </w:r>
      <w:r>
        <w:rPr>
          <w:rFonts w:ascii="宋体" w:hAnsi="宋体" w:eastAsia="宋体" w:cs="Times New Roman"/>
          <w:color w:val="auto"/>
          <w:kern w:val="0"/>
          <w:szCs w:val="21"/>
          <w:highlight w:val="none"/>
          <w:u w:val="single"/>
        </w:rPr>
        <w:t xml:space="preserve">的名称与地址）  </w:t>
      </w:r>
      <w:r>
        <w:rPr>
          <w:rFonts w:ascii="宋体" w:hAnsi="宋体" w:eastAsia="宋体" w:cs="Times New Roman"/>
          <w:color w:val="auto"/>
          <w:kern w:val="0"/>
          <w:szCs w:val="21"/>
          <w:highlight w:val="none"/>
        </w:rPr>
        <w:t>（下称“</w:t>
      </w:r>
      <w:r>
        <w:rPr>
          <w:rFonts w:hint="eastAsia" w:ascii="宋体" w:hAnsi="宋体" w:eastAsia="宋体" w:cs="Times New Roman"/>
          <w:color w:val="auto"/>
          <w:kern w:val="0"/>
          <w:szCs w:val="21"/>
          <w:highlight w:val="none"/>
        </w:rPr>
        <w:t>申请人</w:t>
      </w:r>
      <w:r>
        <w:rPr>
          <w:rFonts w:ascii="宋体" w:hAnsi="宋体" w:eastAsia="宋体" w:cs="Times New Roman"/>
          <w:color w:val="auto"/>
          <w:kern w:val="0"/>
          <w:szCs w:val="21"/>
          <w:highlight w:val="none"/>
        </w:rPr>
        <w:t>”），已保证按</w:t>
      </w:r>
      <w:r>
        <w:rPr>
          <w:rFonts w:hint="eastAsia" w:ascii="宋体" w:hAnsi="宋体" w:eastAsia="宋体" w:cs="宋体"/>
          <w:color w:val="auto"/>
          <w:kern w:val="0"/>
          <w:szCs w:val="21"/>
          <w:highlight w:val="none"/>
        </w:rPr>
        <w:t>拟签订的</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lang w:eastAsia="zh-CN"/>
        </w:rPr>
        <w:t>项目</w:t>
      </w:r>
      <w:r>
        <w:rPr>
          <w:rFonts w:ascii="宋体" w:hAnsi="宋体" w:eastAsia="宋体" w:cs="Times New Roman"/>
          <w:color w:val="auto"/>
          <w:kern w:val="0"/>
          <w:szCs w:val="21"/>
          <w:highlight w:val="none"/>
          <w:u w:val="single"/>
        </w:rPr>
        <w:t>（招标编号：        ）</w:t>
      </w:r>
      <w:r>
        <w:rPr>
          <w:rFonts w:hint="eastAsia" w:ascii="宋体" w:hAnsi="宋体" w:eastAsia="宋体" w:cs="Times New Roman"/>
          <w:color w:val="auto"/>
          <w:kern w:val="0"/>
          <w:szCs w:val="21"/>
          <w:highlight w:val="none"/>
        </w:rPr>
        <w:t>合同（招标文件）</w:t>
      </w:r>
      <w:r>
        <w:rPr>
          <w:rFonts w:ascii="宋体" w:hAnsi="宋体" w:eastAsia="宋体" w:cs="Times New Roman"/>
          <w:color w:val="auto"/>
          <w:kern w:val="0"/>
          <w:szCs w:val="21"/>
          <w:highlight w:val="none"/>
        </w:rPr>
        <w:t>中规定的义务履行合同。</w:t>
      </w:r>
    </w:p>
    <w:p w14:paraId="3046417A">
      <w:pPr>
        <w:widowControl/>
        <w:autoSpaceDE w:val="0"/>
        <w:autoSpaceDN w:val="0"/>
        <w:adjustRightInd w:val="0"/>
        <w:spacing w:line="360" w:lineRule="auto"/>
        <w:ind w:firstLine="567" w:firstLineChars="270"/>
        <w:jc w:val="left"/>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根据上述合同（招标文件）规定，</w:t>
      </w:r>
      <w:r>
        <w:rPr>
          <w:rFonts w:hint="eastAsia" w:ascii="宋体" w:hAnsi="宋体" w:eastAsia="宋体" w:cs="Times New Roman"/>
          <w:color w:val="auto"/>
          <w:kern w:val="0"/>
          <w:szCs w:val="21"/>
          <w:highlight w:val="none"/>
        </w:rPr>
        <w:t>申请人</w:t>
      </w:r>
      <w:r>
        <w:rPr>
          <w:rFonts w:ascii="宋体" w:hAnsi="宋体" w:eastAsia="宋体" w:cs="Times New Roman"/>
          <w:color w:val="auto"/>
          <w:kern w:val="0"/>
          <w:szCs w:val="21"/>
          <w:highlight w:val="none"/>
        </w:rPr>
        <w:t>应向受益人提供一份金额为人民币</w:t>
      </w:r>
      <w:r>
        <w:rPr>
          <w:rFonts w:hint="eastAsia" w:ascii="宋体" w:hAnsi="宋体" w:eastAsia="宋体" w:cs="宋体"/>
          <w:color w:val="auto"/>
          <w:kern w:val="0"/>
          <w:szCs w:val="21"/>
          <w:highlight w:val="none"/>
        </w:rPr>
        <w:t>（大写）</w:t>
      </w:r>
      <w:r>
        <w:rPr>
          <w:rFonts w:ascii="宋体" w:hAnsi="宋体" w:eastAsia="宋体" w:cs="Times New Roman"/>
          <w:color w:val="auto"/>
          <w:kern w:val="0"/>
          <w:szCs w:val="21"/>
          <w:highlight w:val="none"/>
          <w:u w:val="single"/>
        </w:rPr>
        <w:t xml:space="preserve">     （RMB元）</w:t>
      </w:r>
      <w:r>
        <w:rPr>
          <w:rFonts w:ascii="宋体" w:hAnsi="宋体" w:eastAsia="宋体" w:cs="Times New Roman"/>
          <w:color w:val="auto"/>
          <w:kern w:val="0"/>
          <w:szCs w:val="21"/>
          <w:highlight w:val="none"/>
        </w:rPr>
        <w:t>的</w:t>
      </w:r>
      <w:r>
        <w:rPr>
          <w:rFonts w:hint="eastAsia" w:ascii="宋体" w:hAnsi="宋体" w:eastAsia="宋体" w:cs="Times New Roman"/>
          <w:color w:val="auto"/>
          <w:kern w:val="0"/>
          <w:szCs w:val="21"/>
          <w:highlight w:val="none"/>
        </w:rPr>
        <w:t>无条件、</w:t>
      </w:r>
      <w:r>
        <w:rPr>
          <w:rFonts w:ascii="宋体" w:hAnsi="宋体" w:eastAsia="宋体" w:cs="Times New Roman"/>
          <w:bCs/>
          <w:color w:val="auto"/>
          <w:kern w:val="0"/>
          <w:szCs w:val="21"/>
          <w:highlight w:val="none"/>
        </w:rPr>
        <w:t>不可撤销</w:t>
      </w:r>
      <w:r>
        <w:rPr>
          <w:rFonts w:ascii="宋体" w:hAnsi="宋体" w:eastAsia="宋体" w:cs="Times New Roman"/>
          <w:color w:val="auto"/>
          <w:kern w:val="0"/>
          <w:szCs w:val="21"/>
          <w:highlight w:val="none"/>
        </w:rPr>
        <w:t>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，作为</w:t>
      </w:r>
      <w:r>
        <w:rPr>
          <w:rFonts w:hint="eastAsia" w:ascii="宋体" w:hAnsi="宋体" w:eastAsia="宋体" w:cs="Times New Roman"/>
          <w:color w:val="auto"/>
          <w:kern w:val="0"/>
          <w:szCs w:val="21"/>
          <w:highlight w:val="none"/>
        </w:rPr>
        <w:t>申请人</w:t>
      </w:r>
      <w:r>
        <w:rPr>
          <w:rFonts w:ascii="宋体" w:hAnsi="宋体" w:eastAsia="宋体" w:cs="Times New Roman"/>
          <w:color w:val="auto"/>
          <w:kern w:val="0"/>
          <w:szCs w:val="21"/>
          <w:highlight w:val="none"/>
        </w:rPr>
        <w:t>履行上述合同的担保</w:t>
      </w:r>
      <w:r>
        <w:rPr>
          <w:rFonts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Hans"/>
        </w:rPr>
        <w:t>我方</w:t>
      </w:r>
      <w:r>
        <w:rPr>
          <w:rFonts w:ascii="宋体" w:hAnsi="宋体" w:eastAsia="宋体" w:cs="宋体"/>
          <w:color w:val="auto"/>
          <w:kern w:val="0"/>
          <w:szCs w:val="21"/>
          <w:highlight w:val="none"/>
          <w:u w:val="single"/>
        </w:rPr>
        <w:t xml:space="preserve">  </w:t>
      </w:r>
      <w:r>
        <w:rPr>
          <w:rFonts w:ascii="宋体" w:hAnsi="宋体" w:eastAsia="宋体" w:cs="Times New Roman"/>
          <w:color w:val="auto"/>
          <w:kern w:val="0"/>
          <w:szCs w:val="21"/>
          <w:highlight w:val="none"/>
          <w:u w:val="single"/>
        </w:rPr>
        <w:t>（</w:t>
      </w:r>
      <w:r>
        <w:rPr>
          <w:rFonts w:hint="eastAsia" w:ascii="宋体" w:hAnsi="宋体" w:eastAsia="宋体" w:cs="Times New Roman"/>
          <w:color w:val="auto"/>
          <w:kern w:val="0"/>
          <w:szCs w:val="21"/>
          <w:highlight w:val="none"/>
          <w:u w:val="single"/>
        </w:rPr>
        <w:t>担保公司</w:t>
      </w:r>
      <w:r>
        <w:rPr>
          <w:rFonts w:ascii="宋体" w:hAnsi="宋体" w:eastAsia="宋体" w:cs="Times New Roman"/>
          <w:color w:val="auto"/>
          <w:kern w:val="0"/>
          <w:szCs w:val="21"/>
          <w:highlight w:val="none"/>
          <w:u w:val="single"/>
        </w:rPr>
        <w:t>名称）</w:t>
      </w:r>
      <w:r>
        <w:rPr>
          <w:rFonts w:hint="eastAsia" w:ascii="宋体" w:hAnsi="宋体" w:eastAsia="宋体" w:cs="Times New Roman"/>
          <w:color w:val="auto"/>
          <w:kern w:val="0"/>
          <w:szCs w:val="21"/>
          <w:highlight w:val="none"/>
          <w:u w:val="single"/>
        </w:rPr>
        <w:t xml:space="preserve">  </w:t>
      </w: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lang w:eastAsia="zh-Hans"/>
        </w:rPr>
        <w:t>本合同项下的保证责任为连带责任保证</w:t>
      </w:r>
      <w:r>
        <w:rPr>
          <w:rFonts w:hint="eastAsia" w:ascii="宋体" w:hAnsi="宋体" w:eastAsia="宋体" w:cs="宋体"/>
          <w:color w:val="auto"/>
          <w:kern w:val="0"/>
          <w:szCs w:val="21"/>
          <w:highlight w:val="none"/>
        </w:rPr>
        <w:t>。</w:t>
      </w:r>
    </w:p>
    <w:p w14:paraId="32F629C5">
      <w:pPr>
        <w:autoSpaceDE w:val="0"/>
        <w:autoSpaceDN w:val="0"/>
        <w:adjustRightInd w:val="0"/>
        <w:spacing w:line="360" w:lineRule="auto"/>
        <w:ind w:firstLine="437"/>
        <w:jc w:val="left"/>
        <w:rPr>
          <w:rFonts w:ascii="宋体" w:hAnsi="宋体" w:eastAsia="宋体" w:cs="宋体"/>
          <w:color w:val="auto"/>
          <w:kern w:val="0"/>
          <w:szCs w:val="21"/>
          <w:highlight w:val="none"/>
        </w:rPr>
      </w:pPr>
      <w:r>
        <w:rPr>
          <w:rFonts w:ascii="宋体" w:hAnsi="宋体" w:eastAsia="宋体" w:cs="Times New Roman"/>
          <w:color w:val="auto"/>
          <w:kern w:val="0"/>
          <w:szCs w:val="21"/>
          <w:highlight w:val="none"/>
        </w:rPr>
        <w:t>我方</w:t>
      </w:r>
      <w:r>
        <w:rPr>
          <w:rFonts w:ascii="宋体" w:hAnsi="宋体" w:eastAsia="宋体" w:cs="Times New Roman"/>
          <w:color w:val="auto"/>
          <w:kern w:val="0"/>
          <w:szCs w:val="21"/>
          <w:highlight w:val="none"/>
          <w:u w:val="single"/>
        </w:rPr>
        <w:t xml:space="preserve">  （</w:t>
      </w:r>
      <w:r>
        <w:rPr>
          <w:rFonts w:hint="eastAsia" w:ascii="宋体" w:hAnsi="宋体" w:eastAsia="宋体" w:cs="Times New Roman"/>
          <w:color w:val="auto"/>
          <w:kern w:val="0"/>
          <w:szCs w:val="21"/>
          <w:highlight w:val="none"/>
          <w:u w:val="single"/>
        </w:rPr>
        <w:t>担保公司</w:t>
      </w:r>
      <w:r>
        <w:rPr>
          <w:rFonts w:ascii="宋体" w:hAnsi="宋体" w:eastAsia="宋体" w:cs="Times New Roman"/>
          <w:color w:val="auto"/>
          <w:kern w:val="0"/>
          <w:szCs w:val="21"/>
          <w:highlight w:val="none"/>
          <w:u w:val="single"/>
        </w:rPr>
        <w:t xml:space="preserve">名称）  </w:t>
      </w:r>
      <w:r>
        <w:rPr>
          <w:rFonts w:ascii="宋体" w:hAnsi="宋体" w:eastAsia="宋体" w:cs="Times New Roman"/>
          <w:color w:val="auto"/>
          <w:kern w:val="0"/>
          <w:szCs w:val="21"/>
          <w:highlight w:val="none"/>
        </w:rPr>
        <w:t>，受</w:t>
      </w:r>
      <w:r>
        <w:rPr>
          <w:rFonts w:hint="eastAsia" w:ascii="宋体" w:hAnsi="宋体" w:eastAsia="宋体" w:cs="Times New Roman"/>
          <w:color w:val="auto"/>
          <w:kern w:val="0"/>
          <w:szCs w:val="21"/>
          <w:highlight w:val="none"/>
        </w:rPr>
        <w:t>申请人</w:t>
      </w:r>
      <w:r>
        <w:rPr>
          <w:rFonts w:ascii="宋体" w:hAnsi="宋体" w:eastAsia="宋体" w:cs="Times New Roman"/>
          <w:color w:val="auto"/>
          <w:kern w:val="0"/>
          <w:szCs w:val="21"/>
          <w:highlight w:val="none"/>
        </w:rPr>
        <w:t>的委托，</w:t>
      </w:r>
      <w:r>
        <w:rPr>
          <w:rFonts w:hint="eastAsia" w:ascii="宋体" w:hAnsi="宋体" w:eastAsia="宋体" w:cs="宋体"/>
          <w:color w:val="auto"/>
          <w:kern w:val="0"/>
          <w:szCs w:val="21"/>
          <w:highlight w:val="none"/>
        </w:rPr>
        <w:t>无条件和不可撤销地在受益人出具本担保书原件且提出因申请人没有履行上述合同规定，在担保书限额内向受益人支付不超过人民币（大写）_________（¥</w:t>
      </w:r>
      <w:r>
        <w:rPr>
          <w:rFonts w:ascii="宋体" w:hAnsi="宋体" w:eastAsia="宋体" w:cs="宋体"/>
          <w:color w:val="auto"/>
          <w:kern w:val="0"/>
          <w:szCs w:val="21"/>
          <w:highlight w:val="none"/>
        </w:rPr>
        <w:t>_______元）</w:t>
      </w:r>
      <w:r>
        <w:rPr>
          <w:rFonts w:hint="eastAsia" w:ascii="宋体" w:hAnsi="宋体" w:eastAsia="宋体" w:cs="宋体"/>
          <w:color w:val="auto"/>
          <w:kern w:val="0"/>
          <w:szCs w:val="21"/>
          <w:highlight w:val="none"/>
        </w:rPr>
        <w:t>的款项。</w:t>
      </w:r>
    </w:p>
    <w:p w14:paraId="2BDB4D2A">
      <w:pPr>
        <w:autoSpaceDE w:val="0"/>
        <w:autoSpaceDN w:val="0"/>
        <w:adjustRightInd w:val="0"/>
        <w:spacing w:line="360" w:lineRule="auto"/>
        <w:ind w:firstLine="437"/>
        <w:jc w:val="left"/>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我方还同意，任何受益人与</w:t>
      </w:r>
      <w:r>
        <w:rPr>
          <w:rFonts w:hint="eastAsia" w:ascii="宋体" w:hAnsi="宋体" w:eastAsia="宋体" w:cs="Times New Roman"/>
          <w:color w:val="auto"/>
          <w:kern w:val="0"/>
          <w:szCs w:val="21"/>
          <w:highlight w:val="none"/>
        </w:rPr>
        <w:t>申请人</w:t>
      </w:r>
      <w:r>
        <w:rPr>
          <w:rFonts w:ascii="宋体" w:hAnsi="宋体" w:eastAsia="宋体" w:cs="Times New Roman"/>
          <w:color w:val="auto"/>
          <w:kern w:val="0"/>
          <w:szCs w:val="21"/>
          <w:highlight w:val="none"/>
        </w:rPr>
        <w:t>之间可能对合同条款的修改、规范或其他合同文件的变动补充，都不能免除我方按本</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函所承担的责任。因此，有关上述变动、补充和修改无须通知</w:t>
      </w:r>
      <w:r>
        <w:rPr>
          <w:rFonts w:hint="eastAsia" w:ascii="宋体" w:hAnsi="宋体" w:eastAsia="宋体" w:cs="Times New Roman"/>
          <w:color w:val="auto"/>
          <w:kern w:val="0"/>
          <w:szCs w:val="21"/>
          <w:highlight w:val="none"/>
        </w:rPr>
        <w:t>或征得</w:t>
      </w:r>
      <w:r>
        <w:rPr>
          <w:rFonts w:ascii="宋体" w:hAnsi="宋体" w:eastAsia="宋体" w:cs="Times New Roman"/>
          <w:color w:val="auto"/>
          <w:kern w:val="0"/>
          <w:szCs w:val="21"/>
          <w:highlight w:val="none"/>
        </w:rPr>
        <w:t>我方</w:t>
      </w:r>
      <w:r>
        <w:rPr>
          <w:rFonts w:hint="eastAsia" w:ascii="宋体" w:hAnsi="宋体" w:eastAsia="宋体" w:cs="Times New Roman"/>
          <w:color w:val="auto"/>
          <w:kern w:val="0"/>
          <w:szCs w:val="21"/>
          <w:highlight w:val="none"/>
        </w:rPr>
        <w:t>同意</w:t>
      </w:r>
      <w:r>
        <w:rPr>
          <w:rFonts w:ascii="宋体" w:hAnsi="宋体" w:eastAsia="宋体" w:cs="Times New Roman"/>
          <w:color w:val="auto"/>
          <w:kern w:val="0"/>
          <w:szCs w:val="21"/>
          <w:highlight w:val="none"/>
        </w:rPr>
        <w:t>。</w:t>
      </w:r>
    </w:p>
    <w:p w14:paraId="5B39DC55">
      <w:pPr>
        <w:autoSpaceDE w:val="0"/>
        <w:autoSpaceDN w:val="0"/>
        <w:adjustRightInd w:val="0"/>
        <w:spacing w:line="360" w:lineRule="auto"/>
        <w:ind w:firstLine="437"/>
        <w:jc w:val="left"/>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本保函</w:t>
      </w:r>
      <w:r>
        <w:rPr>
          <w:rFonts w:hint="eastAsia" w:ascii="宋体" w:hAnsi="宋体" w:eastAsia="宋体" w:cs="Times New Roman"/>
          <w:color w:val="auto"/>
          <w:kern w:val="0"/>
          <w:szCs w:val="21"/>
          <w:highlight w:val="none"/>
        </w:rPr>
        <w:t>应自合同签订之日起至完成全部供货（含最终验收合格）且结算完毕之后二十八（28）日内保持有效。</w:t>
      </w:r>
    </w:p>
    <w:p w14:paraId="53966956">
      <w:pPr>
        <w:autoSpaceDE w:val="0"/>
        <w:autoSpaceDN w:val="0"/>
        <w:adjustRightInd w:val="0"/>
        <w:spacing w:line="360" w:lineRule="auto"/>
        <w:jc w:val="left"/>
        <w:rPr>
          <w:rFonts w:ascii="宋体" w:hAnsi="宋体" w:eastAsia="宋体" w:cs="Times New Roman"/>
          <w:color w:val="auto"/>
          <w:kern w:val="0"/>
          <w:szCs w:val="21"/>
          <w:highlight w:val="none"/>
        </w:rPr>
      </w:pPr>
    </w:p>
    <w:p w14:paraId="424B9597">
      <w:pPr>
        <w:autoSpaceDE w:val="0"/>
        <w:autoSpaceDN w:val="0"/>
        <w:adjustRightInd w:val="0"/>
        <w:spacing w:line="360" w:lineRule="auto"/>
        <w:ind w:firstLine="3990" w:firstLineChars="19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法定代表人或其授权的代理人：（签字或盖私章）</w:t>
      </w:r>
    </w:p>
    <w:p w14:paraId="3B5631BC">
      <w:pPr>
        <w:autoSpaceDE w:val="0"/>
        <w:autoSpaceDN w:val="0"/>
        <w:adjustRightInd w:val="0"/>
        <w:spacing w:line="360" w:lineRule="auto"/>
        <w:ind w:firstLine="3990" w:firstLineChars="19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担保公司盖章：</w:t>
      </w:r>
    </w:p>
    <w:p w14:paraId="4FB69832">
      <w:pPr>
        <w:autoSpaceDE w:val="0"/>
        <w:autoSpaceDN w:val="0"/>
        <w:adjustRightInd w:val="0"/>
        <w:spacing w:line="360" w:lineRule="auto"/>
        <w:ind w:firstLine="3990" w:firstLineChars="19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联系电话：</w:t>
      </w:r>
    </w:p>
    <w:p w14:paraId="1890CEB3">
      <w:pPr>
        <w:autoSpaceDE w:val="0"/>
        <w:autoSpaceDN w:val="0"/>
        <w:adjustRightInd w:val="0"/>
        <w:spacing w:line="360" w:lineRule="auto"/>
        <w:ind w:firstLine="3990" w:firstLineChars="19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地址：</w:t>
      </w:r>
    </w:p>
    <w:p w14:paraId="7DB31086">
      <w:pPr>
        <w:autoSpaceDE w:val="0"/>
        <w:autoSpaceDN w:val="0"/>
        <w:adjustRightInd w:val="0"/>
        <w:spacing w:line="360" w:lineRule="auto"/>
        <w:ind w:firstLine="3990" w:firstLineChars="1900"/>
        <w:jc w:val="left"/>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日期：    年   月   日</w:t>
      </w:r>
    </w:p>
    <w:p w14:paraId="2349B44A">
      <w:pPr>
        <w:autoSpaceDE/>
        <w:autoSpaceDN/>
        <w:adjustRightInd/>
        <w:spacing w:line="240" w:lineRule="auto"/>
        <w:ind w:firstLine="0" w:firstLineChars="0"/>
        <w:jc w:val="left"/>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br w:type="page"/>
      </w:r>
    </w:p>
    <w:p w14:paraId="23556F0C">
      <w:pPr>
        <w:tabs>
          <w:tab w:val="left" w:pos="567"/>
        </w:tabs>
        <w:autoSpaceDE w:val="0"/>
        <w:autoSpaceDN w:val="0"/>
        <w:adjustRightInd w:val="0"/>
        <w:spacing w:line="360" w:lineRule="auto"/>
        <w:ind w:left="0" w:leftChars="0" w:firstLine="0" w:firstLineChars="0"/>
        <w:jc w:val="left"/>
        <w:outlineLvl w:val="2"/>
        <w:rPr>
          <w:rFonts w:hint="eastAsia" w:ascii="宋体" w:hAnsi="宋体" w:eastAsia="宋体" w:cs="宋体"/>
          <w:b/>
          <w:color w:val="auto"/>
          <w:kern w:val="0"/>
          <w:sz w:val="32"/>
          <w:szCs w:val="32"/>
          <w:highlight w:val="none"/>
          <w:lang w:val="en-US" w:eastAsia="zh-CN"/>
        </w:rPr>
      </w:pPr>
      <w:bookmarkStart w:id="378" w:name="_Toc15094"/>
      <w:bookmarkStart w:id="379" w:name="_Toc8142"/>
      <w:bookmarkStart w:id="380" w:name="_Toc17462"/>
      <w:r>
        <w:rPr>
          <w:rFonts w:hint="eastAsia" w:ascii="宋体" w:hAnsi="宋体" w:eastAsia="宋体" w:cs="宋体"/>
          <w:b/>
          <w:color w:val="auto"/>
          <w:kern w:val="0"/>
          <w:sz w:val="32"/>
          <w:szCs w:val="32"/>
          <w:highlight w:val="none"/>
          <w:lang w:val="en-US" w:eastAsia="zh-CN"/>
        </w:rPr>
        <w:t>四、不可撤销银行质量保函格式</w:t>
      </w:r>
      <w:bookmarkEnd w:id="378"/>
      <w:bookmarkEnd w:id="379"/>
      <w:bookmarkEnd w:id="380"/>
    </w:p>
    <w:p w14:paraId="306E0E2A">
      <w:pPr>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不可撤销银行质量保函</w:t>
      </w:r>
    </w:p>
    <w:p w14:paraId="3386869D">
      <w:pPr>
        <w:widowControl/>
        <w:spacing w:line="360" w:lineRule="auto"/>
        <w:rPr>
          <w:rFonts w:hint="eastAsia" w:ascii="宋体" w:hAnsi="宋体" w:eastAsia="宋体" w:cs="宋体"/>
          <w:color w:val="auto"/>
          <w:sz w:val="21"/>
          <w:szCs w:val="21"/>
          <w:highlight w:val="none"/>
          <w:lang w:eastAsia="zh-CN"/>
        </w:rPr>
      </w:pPr>
    </w:p>
    <w:p w14:paraId="64D839FD">
      <w:pPr>
        <w:spacing w:line="360" w:lineRule="auto"/>
        <w:ind w:firstLine="6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银行编号：</w:t>
      </w:r>
    </w:p>
    <w:p w14:paraId="7DD0B075">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b/>
          <w:color w:val="auto"/>
          <w:sz w:val="21"/>
          <w:szCs w:val="21"/>
          <w:highlight w:val="none"/>
          <w:u w:val="single"/>
        </w:rPr>
        <w:t xml:space="preserve">                    </w:t>
      </w:r>
      <w:r>
        <w:rPr>
          <w:rFonts w:hint="eastAsia" w:ascii="宋体" w:hAnsi="宋体" w:eastAsia="宋体" w:cs="宋体"/>
          <w:color w:val="auto"/>
          <w:sz w:val="21"/>
          <w:szCs w:val="21"/>
          <w:highlight w:val="none"/>
        </w:rPr>
        <w:t>（下称“受益人”）</w:t>
      </w:r>
    </w:p>
    <w:p w14:paraId="0D1971CC">
      <w:pPr>
        <w:widowControl/>
        <w:spacing w:line="360" w:lineRule="auto"/>
        <w:ind w:firstLine="567" w:firstLineChars="2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鉴于</w:t>
      </w:r>
      <w:r>
        <w:rPr>
          <w:rFonts w:hint="eastAsia" w:ascii="宋体" w:hAnsi="宋体" w:eastAsia="宋体" w:cs="宋体"/>
          <w:color w:val="auto"/>
          <w:sz w:val="21"/>
          <w:szCs w:val="21"/>
          <w:highlight w:val="none"/>
          <w:u w:val="single"/>
        </w:rPr>
        <w:t xml:space="preserve">  （申请人的名称与地址）  </w:t>
      </w:r>
      <w:r>
        <w:rPr>
          <w:rFonts w:hint="eastAsia" w:ascii="宋体" w:hAnsi="宋体" w:eastAsia="宋体" w:cs="宋体"/>
          <w:color w:val="auto"/>
          <w:sz w:val="21"/>
          <w:szCs w:val="21"/>
          <w:highlight w:val="none"/>
        </w:rPr>
        <w:t>（下称“申请人”），已保证按拟签订的</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lang w:eastAsia="zh-CN"/>
        </w:rPr>
        <w:t>项目</w:t>
      </w:r>
      <w:r>
        <w:rPr>
          <w:rFonts w:ascii="宋体" w:hAnsi="宋体" w:eastAsia="宋体" w:cs="宋体"/>
          <w:color w:val="auto"/>
          <w:kern w:val="0"/>
          <w:szCs w:val="21"/>
          <w:highlight w:val="none"/>
          <w:u w:val="single"/>
        </w:rPr>
        <w:t>（招标编号：</w:t>
      </w:r>
      <w:r>
        <w:rPr>
          <w:rFonts w:hint="eastAsia" w:ascii="宋体" w:hAnsi="宋体" w:eastAsia="宋体" w:cs="Times New Roman"/>
          <w:color w:val="auto"/>
          <w:szCs w:val="21"/>
          <w:highlight w:val="none"/>
          <w:u w:val="single"/>
          <w:lang w:val="en-US" w:eastAsia="zh-CN"/>
        </w:rPr>
        <w:t xml:space="preserve">               </w:t>
      </w:r>
      <w:r>
        <w:rPr>
          <w:rFonts w:ascii="宋体" w:hAnsi="宋体" w:eastAsia="宋体" w:cs="宋体"/>
          <w:color w:val="auto"/>
          <w:kern w:val="0"/>
          <w:szCs w:val="21"/>
          <w:highlight w:val="none"/>
          <w:u w:val="single"/>
        </w:rPr>
        <w:t>）</w:t>
      </w:r>
      <w:r>
        <w:rPr>
          <w:rFonts w:hint="eastAsia" w:ascii="宋体" w:hAnsi="宋体" w:eastAsia="宋体" w:cs="宋体"/>
          <w:color w:val="auto"/>
          <w:sz w:val="21"/>
          <w:szCs w:val="21"/>
          <w:highlight w:val="none"/>
        </w:rPr>
        <w:t>合同（招标文件）中规定的义务履行合同。</w:t>
      </w:r>
    </w:p>
    <w:p w14:paraId="2B55781B">
      <w:pPr>
        <w:widowControl/>
        <w:spacing w:line="360" w:lineRule="auto"/>
        <w:ind w:firstLine="567" w:firstLineChars="2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根据上述合同（招标文件）规定，申请人应向受益人提供一份金额为人民币（大写）</w:t>
      </w:r>
      <w:r>
        <w:rPr>
          <w:rFonts w:hint="eastAsia" w:ascii="宋体" w:hAnsi="宋体" w:eastAsia="宋体" w:cs="宋体"/>
          <w:color w:val="auto"/>
          <w:sz w:val="21"/>
          <w:szCs w:val="21"/>
          <w:highlight w:val="none"/>
          <w:u w:val="single"/>
        </w:rPr>
        <w:t xml:space="preserve">      （RMB元）</w:t>
      </w:r>
      <w:r>
        <w:rPr>
          <w:rFonts w:hint="eastAsia" w:ascii="宋体" w:hAnsi="宋体" w:eastAsia="宋体" w:cs="宋体"/>
          <w:color w:val="auto"/>
          <w:sz w:val="21"/>
          <w:szCs w:val="21"/>
          <w:highlight w:val="none"/>
        </w:rPr>
        <w:t>的无条件、不可撤销银行质量保函，作为申请人履行上述合同的担保。</w:t>
      </w:r>
    </w:p>
    <w:p w14:paraId="094D7CDC">
      <w:pPr>
        <w:widowControl/>
        <w:spacing w:line="360" w:lineRule="auto"/>
        <w:ind w:firstLine="567" w:firstLineChars="2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w:t>
      </w:r>
      <w:r>
        <w:rPr>
          <w:rFonts w:hint="eastAsia" w:ascii="宋体" w:hAnsi="宋体" w:eastAsia="宋体" w:cs="宋体"/>
          <w:color w:val="auto"/>
          <w:sz w:val="21"/>
          <w:szCs w:val="21"/>
          <w:highlight w:val="none"/>
          <w:u w:val="single"/>
        </w:rPr>
        <w:t xml:space="preserve">     （银行名称）</w:t>
      </w:r>
      <w:r>
        <w:rPr>
          <w:rFonts w:hint="eastAsia" w:ascii="宋体" w:hAnsi="宋体" w:eastAsia="宋体" w:cs="宋体"/>
          <w:color w:val="auto"/>
          <w:sz w:val="21"/>
          <w:szCs w:val="21"/>
          <w:highlight w:val="none"/>
        </w:rPr>
        <w:t>，受申请人的委托，无条件和不可撤销地在受益人出具本保函原件且提出因申请人没有履行上述合同规定，而要求我方承担保证责任之日起【 】个工作日内，在保函限额内向受益人支付不超过人民币（大写）_________（¥_______元）的款项。</w:t>
      </w:r>
    </w:p>
    <w:p w14:paraId="2447972E">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在向我行提出要求前，我行将不坚持要求受益人首先向申请人提出上述款项的索赔。</w:t>
      </w:r>
    </w:p>
    <w:p w14:paraId="2D4E69B2">
      <w:pPr>
        <w:widowControl/>
        <w:spacing w:line="360" w:lineRule="auto"/>
        <w:ind w:firstLine="43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我方还同意，任何受益人与申请人之间可能对合同条款的修改、规范或其他合同文件的变动补充，都不能免除我方按本保函所承担的责任。因此，有关上述变动、补充和修改无须通知或征得我方同意。</w:t>
      </w:r>
    </w:p>
    <w:p w14:paraId="3467E0FD">
      <w:pPr>
        <w:widowControl/>
        <w:spacing w:line="360" w:lineRule="auto"/>
        <w:ind w:firstLine="43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本保函应自受益人在车辆验收证明上签字确认验收合格之日起质保期届满后一个月内保持有效。</w:t>
      </w:r>
    </w:p>
    <w:p w14:paraId="0AA69956">
      <w:pPr>
        <w:widowControl/>
        <w:spacing w:line="360" w:lineRule="auto"/>
        <w:ind w:firstLine="2520" w:firstLineChars="1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担 保 银 行：</w:t>
      </w:r>
      <w:r>
        <w:rPr>
          <w:rFonts w:hint="eastAsia" w:ascii="宋体" w:hAnsi="宋体" w:eastAsia="宋体" w:cs="宋体"/>
          <w:color w:val="auto"/>
          <w:sz w:val="21"/>
          <w:szCs w:val="21"/>
          <w:highlight w:val="none"/>
          <w:u w:val="single"/>
        </w:rPr>
        <w:t xml:space="preserve">          银行全称          (盖章)   </w:t>
      </w:r>
    </w:p>
    <w:p w14:paraId="185585CD">
      <w:pPr>
        <w:widowControl/>
        <w:spacing w:line="360" w:lineRule="auto"/>
        <w:ind w:firstLine="2520" w:firstLineChars="1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法定代表人或其授权的代表人：</w:t>
      </w:r>
      <w:r>
        <w:rPr>
          <w:rFonts w:hint="eastAsia" w:ascii="宋体" w:hAnsi="宋体" w:eastAsia="宋体" w:cs="宋体"/>
          <w:color w:val="auto"/>
          <w:sz w:val="21"/>
          <w:szCs w:val="21"/>
          <w:highlight w:val="none"/>
          <w:u w:val="single"/>
        </w:rPr>
        <w:t xml:space="preserve">       (职务)         </w:t>
      </w:r>
    </w:p>
    <w:p w14:paraId="0DC1C423">
      <w:pPr>
        <w:widowControl/>
        <w:spacing w:line="360" w:lineRule="auto"/>
        <w:ind w:firstLine="5502" w:firstLineChars="262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(姓名)         </w:t>
      </w:r>
    </w:p>
    <w:p w14:paraId="12F9629C">
      <w:pPr>
        <w:widowControl/>
        <w:spacing w:line="360" w:lineRule="auto"/>
        <w:ind w:firstLine="5502" w:firstLineChars="262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(签章)         </w:t>
      </w:r>
    </w:p>
    <w:p w14:paraId="0863686C">
      <w:pPr>
        <w:widowControl/>
        <w:spacing w:line="360" w:lineRule="auto"/>
        <w:ind w:firstLine="5502" w:firstLineChars="2620"/>
        <w:rPr>
          <w:rFonts w:hint="eastAsia" w:ascii="宋体" w:hAnsi="宋体" w:eastAsia="宋体" w:cs="宋体"/>
          <w:b/>
          <w:color w:val="auto"/>
          <w:sz w:val="30"/>
          <w:szCs w:val="30"/>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5FA3B40">
      <w:pPr>
        <w:pStyle w:val="2"/>
        <w:rPr>
          <w:color w:val="auto"/>
          <w:highlight w:val="none"/>
        </w:rPr>
      </w:pPr>
    </w:p>
    <w:p w14:paraId="597EAA75">
      <w:pPr>
        <w:autoSpaceDE w:val="0"/>
        <w:autoSpaceDN w:val="0"/>
        <w:adjustRightInd w:val="0"/>
        <w:spacing w:line="360" w:lineRule="auto"/>
        <w:ind w:right="368" w:rightChars="175"/>
        <w:jc w:val="left"/>
        <w:rPr>
          <w:rFonts w:ascii="宋体" w:hAnsi="宋体" w:eastAsia="宋体" w:cs="Times New Roman"/>
          <w:color w:val="auto"/>
          <w:kern w:val="0"/>
          <w:szCs w:val="21"/>
          <w:highlight w:val="none"/>
        </w:rPr>
      </w:pPr>
    </w:p>
    <w:p w14:paraId="2A000441">
      <w:pPr>
        <w:autoSpaceDE w:val="0"/>
        <w:autoSpaceDN w:val="0"/>
        <w:adjustRightInd w:val="0"/>
        <w:spacing w:line="360" w:lineRule="auto"/>
        <w:ind w:right="368" w:rightChars="175"/>
        <w:jc w:val="left"/>
        <w:rPr>
          <w:rFonts w:ascii="宋体" w:hAnsi="宋体" w:eastAsia="宋体" w:cs="Times New Roman"/>
          <w:color w:val="auto"/>
          <w:kern w:val="0"/>
          <w:szCs w:val="21"/>
          <w:highlight w:val="none"/>
        </w:rPr>
      </w:pPr>
    </w:p>
    <w:p w14:paraId="2EF4DECF">
      <w:pPr>
        <w:autoSpaceDE w:val="0"/>
        <w:autoSpaceDN w:val="0"/>
        <w:adjustRightInd w:val="0"/>
        <w:spacing w:line="360" w:lineRule="auto"/>
        <w:jc w:val="left"/>
        <w:rPr>
          <w:rFonts w:ascii="宋体" w:hAnsi="宋体" w:eastAsia="宋体" w:cs="Times New Roman"/>
          <w:color w:val="auto"/>
          <w:kern w:val="0"/>
          <w:szCs w:val="21"/>
          <w:highlight w:val="none"/>
        </w:rPr>
      </w:pPr>
    </w:p>
    <w:p w14:paraId="0C5BC6C5">
      <w:pPr>
        <w:autoSpaceDE w:val="0"/>
        <w:autoSpaceDN w:val="0"/>
        <w:adjustRightInd w:val="0"/>
        <w:spacing w:line="360" w:lineRule="auto"/>
        <w:ind w:firstLine="0" w:firstLineChars="0"/>
        <w:jc w:val="left"/>
        <w:rPr>
          <w:rFonts w:ascii="宋体" w:hAnsi="宋体" w:eastAsia="宋体" w:cs="Times New Roman"/>
          <w:color w:val="auto"/>
          <w:kern w:val="0"/>
          <w:szCs w:val="21"/>
          <w:highlight w:val="none"/>
        </w:rPr>
      </w:pPr>
    </w:p>
    <w:p w14:paraId="503E63BF">
      <w:pPr>
        <w:pageBreakBefore/>
        <w:tabs>
          <w:tab w:val="left" w:pos="1080"/>
        </w:tabs>
        <w:autoSpaceDE w:val="0"/>
        <w:autoSpaceDN w:val="0"/>
        <w:adjustRightInd w:val="0"/>
        <w:spacing w:line="360" w:lineRule="auto"/>
        <w:ind w:left="357" w:leftChars="-100" w:hanging="567"/>
        <w:jc w:val="center"/>
        <w:outlineLvl w:val="0"/>
        <w:rPr>
          <w:rFonts w:ascii="宋体" w:hAnsi="宋体" w:eastAsia="宋体" w:cs="宋体"/>
          <w:b/>
          <w:bCs/>
          <w:color w:val="auto"/>
          <w:kern w:val="44"/>
          <w:sz w:val="32"/>
          <w:szCs w:val="32"/>
          <w:highlight w:val="none"/>
        </w:rPr>
      </w:pPr>
      <w:bookmarkStart w:id="381" w:name="_Toc142508361"/>
      <w:bookmarkStart w:id="382" w:name="_Toc8165"/>
      <w:bookmarkStart w:id="383" w:name="_Toc32761_WPSOffice_Level1"/>
      <w:bookmarkStart w:id="384" w:name="_Toc12794"/>
      <w:bookmarkStart w:id="385" w:name="_Toc486167708"/>
      <w:bookmarkStart w:id="386" w:name="_Toc14839"/>
      <w:bookmarkStart w:id="387" w:name="_Toc450662895"/>
      <w:r>
        <w:rPr>
          <w:rFonts w:hint="eastAsia" w:ascii="宋体" w:hAnsi="宋体" w:eastAsia="宋体" w:cs="宋体"/>
          <w:b/>
          <w:bCs/>
          <w:color w:val="auto"/>
          <w:kern w:val="44"/>
          <w:sz w:val="32"/>
          <w:szCs w:val="32"/>
          <w:highlight w:val="none"/>
          <w:lang w:val="zh-CN"/>
        </w:rPr>
        <w:t>第六篇 投标文件格式</w:t>
      </w:r>
      <w:bookmarkEnd w:id="381"/>
      <w:bookmarkEnd w:id="382"/>
      <w:bookmarkEnd w:id="383"/>
      <w:bookmarkEnd w:id="384"/>
      <w:bookmarkEnd w:id="385"/>
      <w:bookmarkEnd w:id="386"/>
      <w:bookmarkEnd w:id="387"/>
    </w:p>
    <w:p w14:paraId="12696243">
      <w:pPr>
        <w:pStyle w:val="19"/>
        <w:spacing w:line="360" w:lineRule="auto"/>
        <w:jc w:val="center"/>
        <w:rPr>
          <w:rFonts w:hint="eastAsia" w:ascii="宋体" w:hAnsi="宋体" w:eastAsia="宋体" w:cs="宋体"/>
          <w:b/>
          <w:color w:val="auto"/>
          <w:kern w:val="0"/>
          <w:sz w:val="32"/>
          <w:szCs w:val="32"/>
          <w:highlight w:val="none"/>
        </w:rPr>
      </w:pPr>
      <w:bookmarkStart w:id="388" w:name="_Toc94107202"/>
      <w:bookmarkStart w:id="389" w:name="_Toc533708121"/>
      <w:bookmarkStart w:id="390" w:name="_Toc102860411"/>
      <w:bookmarkStart w:id="391" w:name="_Toc140596921"/>
      <w:bookmarkStart w:id="392" w:name="_Toc21133_WPSOffice_Level2"/>
      <w:bookmarkStart w:id="393" w:name="_Toc104991868"/>
      <w:bookmarkStart w:id="394" w:name="_Toc142508362"/>
      <w:bookmarkStart w:id="395" w:name="_Toc486167709"/>
      <w:bookmarkStart w:id="396" w:name="_Toc1977721"/>
      <w:bookmarkStart w:id="397" w:name="_Toc102860067"/>
      <w:r>
        <w:rPr>
          <w:rFonts w:hint="eastAsia" w:ascii="宋体" w:hAnsi="宋体" w:eastAsia="宋体" w:cs="宋体"/>
          <w:b/>
          <w:color w:val="auto"/>
          <w:kern w:val="0"/>
          <w:sz w:val="32"/>
          <w:szCs w:val="32"/>
          <w:highlight w:val="none"/>
        </w:rPr>
        <w:br w:type="page"/>
      </w:r>
    </w:p>
    <w:p w14:paraId="5941C8E6">
      <w:pPr>
        <w:pStyle w:val="19"/>
        <w:spacing w:line="360" w:lineRule="auto"/>
        <w:jc w:val="center"/>
        <w:rPr>
          <w:rFonts w:hint="eastAsia" w:ascii="宋体" w:hAnsi="宋体" w:eastAsia="宋体" w:cs="宋体"/>
          <w:b/>
          <w:color w:val="auto"/>
          <w:kern w:val="0"/>
          <w:sz w:val="32"/>
          <w:szCs w:val="32"/>
          <w:highlight w:val="none"/>
        </w:rPr>
      </w:pPr>
    </w:p>
    <w:p w14:paraId="3BB2A493">
      <w:pPr>
        <w:pStyle w:val="19"/>
        <w:spacing w:line="360" w:lineRule="auto"/>
        <w:jc w:val="center"/>
        <w:rPr>
          <w:rFonts w:hint="eastAsia" w:ascii="宋体" w:hAnsi="宋体" w:eastAsia="宋体" w:cs="宋体"/>
          <w:b/>
          <w:color w:val="auto"/>
          <w:kern w:val="0"/>
          <w:sz w:val="32"/>
          <w:szCs w:val="32"/>
          <w:highlight w:val="none"/>
        </w:rPr>
      </w:pPr>
    </w:p>
    <w:p w14:paraId="17073DE8">
      <w:pPr>
        <w:pStyle w:val="19"/>
        <w:spacing w:line="360" w:lineRule="auto"/>
        <w:jc w:val="center"/>
        <w:rPr>
          <w:rFonts w:hint="eastAsia" w:ascii="宋体" w:hAnsi="宋体" w:eastAsia="宋体" w:cs="宋体"/>
          <w:b/>
          <w:color w:val="auto"/>
          <w:kern w:val="0"/>
          <w:sz w:val="32"/>
          <w:szCs w:val="32"/>
          <w:highlight w:val="none"/>
        </w:rPr>
      </w:pPr>
    </w:p>
    <w:p w14:paraId="24B663B1">
      <w:pPr>
        <w:pStyle w:val="19"/>
        <w:spacing w:line="360" w:lineRule="auto"/>
        <w:jc w:val="center"/>
        <w:rPr>
          <w:rFonts w:hint="eastAsia" w:ascii="宋体" w:hAnsi="宋体" w:eastAsia="宋体" w:cs="宋体"/>
          <w:color w:val="auto"/>
          <w:sz w:val="84"/>
          <w:highlight w:val="none"/>
        </w:rPr>
      </w:pPr>
    </w:p>
    <w:p w14:paraId="7B1C3BD1">
      <w:pPr>
        <w:pStyle w:val="19"/>
        <w:spacing w:line="360" w:lineRule="auto"/>
        <w:jc w:val="center"/>
        <w:rPr>
          <w:rFonts w:hint="eastAsia" w:ascii="宋体" w:hAnsi="宋体" w:eastAsia="宋体" w:cs="宋体"/>
          <w:color w:val="auto"/>
          <w:sz w:val="84"/>
          <w:highlight w:val="none"/>
        </w:rPr>
      </w:pPr>
      <w:r>
        <w:rPr>
          <w:rFonts w:hint="eastAsia" w:ascii="宋体" w:hAnsi="宋体" w:eastAsia="宋体" w:cs="宋体"/>
          <w:color w:val="auto"/>
          <w:sz w:val="84"/>
          <w:highlight w:val="none"/>
        </w:rPr>
        <w:t>投 标 文 件</w:t>
      </w:r>
    </w:p>
    <w:p w14:paraId="53DF832A">
      <w:pPr>
        <w:pStyle w:val="19"/>
        <w:spacing w:line="360" w:lineRule="auto"/>
        <w:rPr>
          <w:rFonts w:hint="eastAsia" w:ascii="宋体" w:hAnsi="宋体" w:eastAsia="宋体" w:cs="宋体"/>
          <w:color w:val="auto"/>
          <w:highlight w:val="none"/>
        </w:rPr>
      </w:pPr>
    </w:p>
    <w:p w14:paraId="0CED9A0D">
      <w:pPr>
        <w:pStyle w:val="19"/>
        <w:spacing w:line="360" w:lineRule="auto"/>
        <w:rPr>
          <w:rFonts w:hint="eastAsia" w:ascii="宋体" w:hAnsi="宋体" w:eastAsia="宋体" w:cs="宋体"/>
          <w:color w:val="auto"/>
          <w:highlight w:val="none"/>
        </w:rPr>
      </w:pPr>
    </w:p>
    <w:p w14:paraId="54E9362F">
      <w:pPr>
        <w:pStyle w:val="19"/>
        <w:spacing w:line="360" w:lineRule="auto"/>
        <w:rPr>
          <w:rFonts w:hint="eastAsia" w:ascii="宋体" w:hAnsi="宋体" w:eastAsia="宋体" w:cs="宋体"/>
          <w:color w:val="auto"/>
          <w:highlight w:val="none"/>
        </w:rPr>
      </w:pPr>
    </w:p>
    <w:p w14:paraId="2F6D98C6">
      <w:pPr>
        <w:pStyle w:val="19"/>
        <w:spacing w:line="360" w:lineRule="auto"/>
        <w:rPr>
          <w:rFonts w:hint="eastAsia" w:ascii="宋体" w:hAnsi="宋体" w:eastAsia="宋体" w:cs="宋体"/>
          <w:color w:val="auto"/>
          <w:highlight w:val="none"/>
        </w:rPr>
      </w:pPr>
    </w:p>
    <w:p w14:paraId="3E0F26E3">
      <w:pPr>
        <w:pStyle w:val="19"/>
        <w:spacing w:line="360" w:lineRule="auto"/>
        <w:rPr>
          <w:rFonts w:hint="eastAsia" w:ascii="宋体" w:hAnsi="宋体" w:eastAsia="宋体" w:cs="宋体"/>
          <w:color w:val="auto"/>
          <w:highlight w:val="none"/>
        </w:rPr>
      </w:pPr>
    </w:p>
    <w:p w14:paraId="051E1560">
      <w:pPr>
        <w:pStyle w:val="19"/>
        <w:spacing w:line="360" w:lineRule="auto"/>
        <w:rPr>
          <w:rFonts w:hint="eastAsia" w:ascii="宋体" w:hAnsi="宋体" w:eastAsia="宋体" w:cs="宋体"/>
          <w:color w:val="auto"/>
          <w:highlight w:val="none"/>
        </w:rPr>
      </w:pPr>
    </w:p>
    <w:p w14:paraId="778B0D67">
      <w:pPr>
        <w:pStyle w:val="19"/>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招标编号：</w:t>
      </w:r>
      <w:r>
        <w:rPr>
          <w:rFonts w:hint="eastAsia" w:ascii="宋体" w:hAnsi="宋体" w:eastAsia="宋体" w:cs="宋体"/>
          <w:color w:val="auto"/>
          <w:sz w:val="30"/>
          <w:highlight w:val="none"/>
          <w:u w:val="single"/>
        </w:rPr>
        <w:t xml:space="preserve">                      </w:t>
      </w:r>
    </w:p>
    <w:p w14:paraId="5E7C8B74">
      <w:pPr>
        <w:pStyle w:val="19"/>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项目名称：</w:t>
      </w:r>
      <w:r>
        <w:rPr>
          <w:rFonts w:hint="eastAsia" w:ascii="宋体" w:hAnsi="宋体" w:eastAsia="宋体" w:cs="宋体"/>
          <w:color w:val="auto"/>
          <w:sz w:val="30"/>
          <w:highlight w:val="none"/>
          <w:u w:val="single"/>
        </w:rPr>
        <w:t xml:space="preserve">                      </w:t>
      </w:r>
    </w:p>
    <w:p w14:paraId="0AEF6E75">
      <w:pPr>
        <w:pStyle w:val="19"/>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投标文件内容：</w:t>
      </w:r>
      <w:r>
        <w:rPr>
          <w:rFonts w:hint="eastAsia" w:ascii="宋体" w:hAnsi="宋体" w:eastAsia="宋体" w:cs="宋体"/>
          <w:color w:val="auto"/>
          <w:sz w:val="30"/>
          <w:highlight w:val="none"/>
          <w:u w:val="single"/>
        </w:rPr>
        <w:t xml:space="preserve"> 投标文件商务部分 </w:t>
      </w:r>
    </w:p>
    <w:p w14:paraId="1D885505">
      <w:pPr>
        <w:pStyle w:val="19"/>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招标人：</w:t>
      </w:r>
      <w:r>
        <w:rPr>
          <w:rFonts w:hint="eastAsia" w:ascii="宋体" w:hAnsi="宋体" w:eastAsia="宋体" w:cs="宋体"/>
          <w:color w:val="auto"/>
          <w:sz w:val="30"/>
          <w:highlight w:val="none"/>
          <w:u w:val="single"/>
        </w:rPr>
        <w:t xml:space="preserve">                        </w:t>
      </w:r>
    </w:p>
    <w:p w14:paraId="114CA78F">
      <w:pPr>
        <w:pStyle w:val="19"/>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投标人：</w:t>
      </w:r>
      <w:r>
        <w:rPr>
          <w:rFonts w:hint="eastAsia" w:ascii="宋体" w:hAnsi="宋体" w:eastAsia="宋体" w:cs="宋体"/>
          <w:color w:val="auto"/>
          <w:sz w:val="30"/>
          <w:highlight w:val="none"/>
          <w:u w:val="single"/>
        </w:rPr>
        <w:t xml:space="preserve">                        </w:t>
      </w:r>
    </w:p>
    <w:p w14:paraId="361EADF3">
      <w:pPr>
        <w:pStyle w:val="19"/>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日  期：</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年</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月</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日</w:t>
      </w:r>
    </w:p>
    <w:p w14:paraId="2E19A077">
      <w:pPr>
        <w:pStyle w:val="19"/>
        <w:spacing w:line="360" w:lineRule="auto"/>
        <w:rPr>
          <w:rFonts w:hint="eastAsia" w:ascii="宋体" w:hAnsi="宋体" w:eastAsia="宋体" w:cs="宋体"/>
          <w:color w:val="auto"/>
          <w:highlight w:val="none"/>
        </w:rPr>
      </w:pPr>
    </w:p>
    <w:p w14:paraId="5DA5CBBB">
      <w:pPr>
        <w:pStyle w:val="19"/>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AADE3E1">
      <w:pPr>
        <w:pStyle w:val="19"/>
        <w:spacing w:line="360" w:lineRule="auto"/>
        <w:rPr>
          <w:rFonts w:hint="eastAsia" w:ascii="宋体" w:hAnsi="宋体" w:eastAsia="宋体" w:cs="宋体"/>
          <w:color w:val="auto"/>
          <w:highlight w:val="none"/>
        </w:rPr>
      </w:pPr>
    </w:p>
    <w:p w14:paraId="23A78DD7">
      <w:pPr>
        <w:pBdr>
          <w:top w:val="none" w:color="auto" w:sz="0" w:space="0"/>
          <w:left w:val="none" w:color="auto" w:sz="0" w:space="0"/>
          <w:bottom w:val="none" w:color="auto" w:sz="0" w:space="0"/>
          <w:right w:val="none" w:color="auto" w:sz="0" w:space="0"/>
          <w:between w:val="none" w:color="auto" w:sz="0" w:space="0"/>
        </w:pBdr>
        <w:spacing w:line="480" w:lineRule="auto"/>
        <w:ind w:firstLine="675" w:firstLineChars="224"/>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投标文件商务评审部分索引表</w:t>
      </w:r>
    </w:p>
    <w:tbl>
      <w:tblPr>
        <w:tblStyle w:val="36"/>
        <w:tblW w:w="4999"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108" w:type="dxa"/>
          <w:bottom w:w="0" w:type="dxa"/>
          <w:right w:w="108" w:type="dxa"/>
        </w:tblCellMar>
      </w:tblPr>
      <w:tblGrid>
        <w:gridCol w:w="1379"/>
        <w:gridCol w:w="2773"/>
        <w:gridCol w:w="1786"/>
        <w:gridCol w:w="4430"/>
      </w:tblGrid>
      <w:tr w14:paraId="599389B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204" w:hRule="atLeast"/>
          <w:jc w:val="center"/>
        </w:trPr>
        <w:tc>
          <w:tcPr>
            <w:tcW w:w="665" w:type="pct"/>
            <w:vAlign w:val="center"/>
          </w:tcPr>
          <w:p w14:paraId="3714E7DE">
            <w:pPr>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序号</w:t>
            </w:r>
          </w:p>
        </w:tc>
        <w:tc>
          <w:tcPr>
            <w:tcW w:w="1337" w:type="pct"/>
            <w:vAlign w:val="center"/>
          </w:tcPr>
          <w:p w14:paraId="1973BB93">
            <w:pPr>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评标项目</w:t>
            </w:r>
          </w:p>
        </w:tc>
        <w:tc>
          <w:tcPr>
            <w:tcW w:w="861" w:type="pct"/>
            <w:vAlign w:val="center"/>
          </w:tcPr>
          <w:p w14:paraId="4AED99FA">
            <w:pPr>
              <w:adjustRightInd w:val="0"/>
              <w:snapToGrid w:val="0"/>
              <w:spacing w:line="360" w:lineRule="auto"/>
              <w:jc w:val="center"/>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招标文件上的满分值</w:t>
            </w:r>
          </w:p>
        </w:tc>
        <w:tc>
          <w:tcPr>
            <w:tcW w:w="2136" w:type="pct"/>
            <w:tcBorders>
              <w:left w:val="single" w:color="auto" w:sz="4" w:space="0"/>
            </w:tcBorders>
            <w:vAlign w:val="center"/>
          </w:tcPr>
          <w:p w14:paraId="6DB27332">
            <w:pPr>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页码索引</w:t>
            </w:r>
          </w:p>
        </w:tc>
      </w:tr>
      <w:tr w14:paraId="740CD03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541" w:hRule="atLeast"/>
          <w:jc w:val="center"/>
        </w:trPr>
        <w:tc>
          <w:tcPr>
            <w:tcW w:w="665" w:type="pct"/>
            <w:vAlign w:val="center"/>
          </w:tcPr>
          <w:p w14:paraId="1899CB46">
            <w:pPr>
              <w:adjustRightInd w:val="0"/>
              <w:snapToGrid w:val="0"/>
              <w:spacing w:line="360" w:lineRule="auto"/>
              <w:jc w:val="center"/>
              <w:rPr>
                <w:rFonts w:hint="eastAsia" w:ascii="宋体" w:hAnsi="宋体" w:eastAsia="宋体" w:cs="宋体"/>
                <w:bCs/>
                <w:color w:val="auto"/>
                <w:szCs w:val="21"/>
                <w:highlight w:val="none"/>
              </w:rPr>
            </w:pPr>
          </w:p>
        </w:tc>
        <w:tc>
          <w:tcPr>
            <w:tcW w:w="1337" w:type="pct"/>
            <w:vAlign w:val="center"/>
          </w:tcPr>
          <w:p w14:paraId="393C3048">
            <w:pPr>
              <w:adjustRightInd w:val="0"/>
              <w:snapToGrid w:val="0"/>
              <w:spacing w:line="360" w:lineRule="auto"/>
              <w:jc w:val="center"/>
              <w:rPr>
                <w:rFonts w:hint="eastAsia" w:ascii="宋体" w:hAnsi="宋体" w:eastAsia="宋体" w:cs="宋体"/>
                <w:bCs/>
                <w:color w:val="auto"/>
                <w:szCs w:val="21"/>
                <w:highlight w:val="none"/>
              </w:rPr>
            </w:pPr>
          </w:p>
        </w:tc>
        <w:tc>
          <w:tcPr>
            <w:tcW w:w="861" w:type="pct"/>
            <w:vAlign w:val="center"/>
          </w:tcPr>
          <w:p w14:paraId="5C7E6253">
            <w:pPr>
              <w:adjustRightInd w:val="0"/>
              <w:snapToGrid w:val="0"/>
              <w:spacing w:line="360" w:lineRule="auto"/>
              <w:jc w:val="center"/>
              <w:rPr>
                <w:rFonts w:hint="eastAsia" w:ascii="宋体" w:hAnsi="宋体" w:eastAsia="宋体" w:cs="宋体"/>
                <w:bCs/>
                <w:color w:val="auto"/>
                <w:szCs w:val="21"/>
                <w:highlight w:val="none"/>
              </w:rPr>
            </w:pPr>
          </w:p>
        </w:tc>
        <w:tc>
          <w:tcPr>
            <w:tcW w:w="2136" w:type="pct"/>
            <w:tcBorders>
              <w:left w:val="single" w:color="auto" w:sz="4" w:space="0"/>
            </w:tcBorders>
            <w:vAlign w:val="center"/>
          </w:tcPr>
          <w:p w14:paraId="3FD4AFE1">
            <w:pPr>
              <w:adjustRightInd w:val="0"/>
              <w:snapToGrid w:val="0"/>
              <w:spacing w:line="360" w:lineRule="auto"/>
              <w:jc w:val="center"/>
              <w:rPr>
                <w:rFonts w:hint="eastAsia" w:ascii="宋体" w:hAnsi="宋体" w:eastAsia="宋体" w:cs="宋体"/>
                <w:bCs/>
                <w:color w:val="auto"/>
                <w:szCs w:val="21"/>
                <w:highlight w:val="none"/>
              </w:rPr>
            </w:pPr>
          </w:p>
        </w:tc>
      </w:tr>
      <w:tr w14:paraId="11063EF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761" w:hRule="atLeast"/>
          <w:jc w:val="center"/>
        </w:trPr>
        <w:tc>
          <w:tcPr>
            <w:tcW w:w="665" w:type="pct"/>
            <w:vAlign w:val="center"/>
          </w:tcPr>
          <w:p w14:paraId="3DEE17B6">
            <w:pPr>
              <w:jc w:val="center"/>
              <w:rPr>
                <w:rFonts w:hint="eastAsia" w:ascii="宋体" w:hAnsi="宋体" w:eastAsia="宋体" w:cs="宋体"/>
                <w:bCs/>
                <w:color w:val="auto"/>
                <w:szCs w:val="21"/>
                <w:highlight w:val="none"/>
              </w:rPr>
            </w:pPr>
          </w:p>
        </w:tc>
        <w:tc>
          <w:tcPr>
            <w:tcW w:w="1337" w:type="pct"/>
            <w:vAlign w:val="center"/>
          </w:tcPr>
          <w:p w14:paraId="17D0360A">
            <w:pPr>
              <w:jc w:val="center"/>
              <w:rPr>
                <w:rFonts w:hint="eastAsia" w:ascii="宋体" w:hAnsi="宋体" w:eastAsia="宋体" w:cs="宋体"/>
                <w:bCs/>
                <w:color w:val="auto"/>
                <w:szCs w:val="21"/>
                <w:highlight w:val="none"/>
              </w:rPr>
            </w:pPr>
          </w:p>
        </w:tc>
        <w:tc>
          <w:tcPr>
            <w:tcW w:w="861" w:type="pct"/>
            <w:vAlign w:val="center"/>
          </w:tcPr>
          <w:p w14:paraId="09A10996">
            <w:pPr>
              <w:jc w:val="center"/>
              <w:rPr>
                <w:rFonts w:hint="eastAsia" w:ascii="宋体" w:hAnsi="宋体" w:eastAsia="宋体" w:cs="宋体"/>
                <w:bCs/>
                <w:color w:val="auto"/>
                <w:szCs w:val="21"/>
                <w:highlight w:val="none"/>
              </w:rPr>
            </w:pPr>
          </w:p>
        </w:tc>
        <w:tc>
          <w:tcPr>
            <w:tcW w:w="2136" w:type="pct"/>
            <w:tcBorders>
              <w:left w:val="single" w:color="auto" w:sz="4" w:space="0"/>
            </w:tcBorders>
            <w:vAlign w:val="center"/>
          </w:tcPr>
          <w:p w14:paraId="6EFFFF2C">
            <w:pPr>
              <w:adjustRightInd w:val="0"/>
              <w:snapToGrid w:val="0"/>
              <w:spacing w:line="360" w:lineRule="auto"/>
              <w:ind w:firstLine="105" w:firstLineChars="50"/>
              <w:jc w:val="center"/>
              <w:rPr>
                <w:rFonts w:hint="eastAsia" w:ascii="宋体" w:hAnsi="宋体" w:eastAsia="宋体" w:cs="宋体"/>
                <w:bCs/>
                <w:color w:val="auto"/>
                <w:szCs w:val="21"/>
                <w:highlight w:val="none"/>
              </w:rPr>
            </w:pPr>
          </w:p>
        </w:tc>
      </w:tr>
      <w:tr w14:paraId="2710FAB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2029" w:hRule="atLeast"/>
          <w:jc w:val="center"/>
        </w:trPr>
        <w:tc>
          <w:tcPr>
            <w:tcW w:w="665" w:type="pct"/>
            <w:vAlign w:val="center"/>
          </w:tcPr>
          <w:p w14:paraId="3CBD108D">
            <w:pPr>
              <w:adjustRightInd w:val="0"/>
              <w:snapToGrid w:val="0"/>
              <w:spacing w:line="360" w:lineRule="auto"/>
              <w:jc w:val="center"/>
              <w:rPr>
                <w:rFonts w:hint="eastAsia" w:ascii="宋体" w:hAnsi="宋体" w:eastAsia="宋体" w:cs="宋体"/>
                <w:bCs/>
                <w:color w:val="auto"/>
                <w:szCs w:val="21"/>
                <w:highlight w:val="none"/>
              </w:rPr>
            </w:pPr>
          </w:p>
        </w:tc>
        <w:tc>
          <w:tcPr>
            <w:tcW w:w="1337" w:type="pct"/>
            <w:vAlign w:val="center"/>
          </w:tcPr>
          <w:p w14:paraId="5DF0FB05">
            <w:pPr>
              <w:adjustRightInd w:val="0"/>
              <w:snapToGrid w:val="0"/>
              <w:spacing w:line="360" w:lineRule="auto"/>
              <w:jc w:val="center"/>
              <w:rPr>
                <w:rFonts w:hint="eastAsia" w:ascii="宋体" w:hAnsi="宋体" w:eastAsia="宋体" w:cs="宋体"/>
                <w:bCs/>
                <w:color w:val="auto"/>
                <w:szCs w:val="21"/>
                <w:highlight w:val="none"/>
              </w:rPr>
            </w:pPr>
          </w:p>
        </w:tc>
        <w:tc>
          <w:tcPr>
            <w:tcW w:w="861" w:type="pct"/>
            <w:vAlign w:val="center"/>
          </w:tcPr>
          <w:p w14:paraId="53695550">
            <w:pPr>
              <w:adjustRightInd w:val="0"/>
              <w:snapToGrid w:val="0"/>
              <w:spacing w:line="360" w:lineRule="auto"/>
              <w:jc w:val="center"/>
              <w:rPr>
                <w:rFonts w:hint="eastAsia" w:ascii="宋体" w:hAnsi="宋体" w:eastAsia="宋体" w:cs="宋体"/>
                <w:bCs/>
                <w:color w:val="auto"/>
                <w:szCs w:val="21"/>
                <w:highlight w:val="none"/>
              </w:rPr>
            </w:pPr>
          </w:p>
        </w:tc>
        <w:tc>
          <w:tcPr>
            <w:tcW w:w="2136" w:type="pct"/>
            <w:tcBorders>
              <w:left w:val="single" w:color="auto" w:sz="4" w:space="0"/>
            </w:tcBorders>
            <w:vAlign w:val="center"/>
          </w:tcPr>
          <w:p w14:paraId="7D969BA6">
            <w:pPr>
              <w:spacing w:line="360" w:lineRule="auto"/>
              <w:ind w:firstLine="8" w:firstLineChars="4"/>
              <w:jc w:val="center"/>
              <w:rPr>
                <w:rFonts w:hint="eastAsia" w:ascii="宋体" w:hAnsi="宋体" w:eastAsia="宋体" w:cs="宋体"/>
                <w:bCs/>
                <w:color w:val="auto"/>
                <w:szCs w:val="21"/>
                <w:highlight w:val="none"/>
              </w:rPr>
            </w:pPr>
          </w:p>
        </w:tc>
      </w:tr>
      <w:tr w14:paraId="6D47A22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033" w:hRule="atLeast"/>
          <w:jc w:val="center"/>
        </w:trPr>
        <w:tc>
          <w:tcPr>
            <w:tcW w:w="665" w:type="pct"/>
            <w:tcBorders>
              <w:top w:val="single" w:color="auto" w:sz="6" w:space="0"/>
              <w:left w:val="single" w:color="auto" w:sz="4" w:space="0"/>
              <w:bottom w:val="outset" w:color="808080" w:sz="6" w:space="0"/>
              <w:right w:val="single" w:color="auto" w:sz="6" w:space="0"/>
            </w:tcBorders>
            <w:vAlign w:val="center"/>
          </w:tcPr>
          <w:p w14:paraId="39AA1395">
            <w:pPr>
              <w:adjustRightInd w:val="0"/>
              <w:snapToGrid w:val="0"/>
              <w:spacing w:line="360" w:lineRule="auto"/>
              <w:jc w:val="center"/>
              <w:rPr>
                <w:rFonts w:hint="eastAsia" w:ascii="宋体" w:hAnsi="宋体" w:eastAsia="宋体" w:cs="宋体"/>
                <w:bCs/>
                <w:color w:val="auto"/>
                <w:szCs w:val="21"/>
                <w:highlight w:val="none"/>
              </w:rPr>
            </w:pPr>
          </w:p>
        </w:tc>
        <w:tc>
          <w:tcPr>
            <w:tcW w:w="1337" w:type="pct"/>
            <w:tcBorders>
              <w:top w:val="single" w:color="auto" w:sz="6" w:space="0"/>
              <w:left w:val="single" w:color="auto" w:sz="6" w:space="0"/>
              <w:bottom w:val="outset" w:color="808080" w:sz="6" w:space="0"/>
              <w:right w:val="single" w:color="auto" w:sz="6" w:space="0"/>
            </w:tcBorders>
            <w:vAlign w:val="center"/>
          </w:tcPr>
          <w:p w14:paraId="36F7DA09">
            <w:pPr>
              <w:adjustRightInd w:val="0"/>
              <w:snapToGrid w:val="0"/>
              <w:spacing w:line="360" w:lineRule="auto"/>
              <w:jc w:val="center"/>
              <w:rPr>
                <w:rFonts w:hint="eastAsia" w:ascii="宋体" w:hAnsi="宋体" w:eastAsia="宋体" w:cs="宋体"/>
                <w:bCs/>
                <w:color w:val="auto"/>
                <w:szCs w:val="21"/>
                <w:highlight w:val="none"/>
              </w:rPr>
            </w:pPr>
          </w:p>
        </w:tc>
        <w:tc>
          <w:tcPr>
            <w:tcW w:w="861" w:type="pct"/>
            <w:tcBorders>
              <w:top w:val="single" w:color="auto" w:sz="6" w:space="0"/>
              <w:left w:val="single" w:color="auto" w:sz="6" w:space="0"/>
              <w:bottom w:val="outset" w:color="808080" w:sz="6" w:space="0"/>
              <w:right w:val="single" w:color="auto" w:sz="6" w:space="0"/>
            </w:tcBorders>
            <w:vAlign w:val="center"/>
          </w:tcPr>
          <w:p w14:paraId="7A2FE188">
            <w:pPr>
              <w:adjustRightInd w:val="0"/>
              <w:snapToGrid w:val="0"/>
              <w:spacing w:line="360" w:lineRule="auto"/>
              <w:jc w:val="center"/>
              <w:rPr>
                <w:rFonts w:hint="eastAsia" w:ascii="宋体" w:hAnsi="宋体" w:eastAsia="宋体" w:cs="宋体"/>
                <w:bCs/>
                <w:color w:val="auto"/>
                <w:szCs w:val="21"/>
                <w:highlight w:val="none"/>
              </w:rPr>
            </w:pPr>
          </w:p>
        </w:tc>
        <w:tc>
          <w:tcPr>
            <w:tcW w:w="2136" w:type="pct"/>
            <w:tcBorders>
              <w:top w:val="single" w:color="auto" w:sz="6" w:space="0"/>
              <w:left w:val="single" w:color="auto" w:sz="4" w:space="0"/>
              <w:bottom w:val="outset" w:color="808080" w:sz="6" w:space="0"/>
              <w:right w:val="single" w:color="auto" w:sz="6" w:space="0"/>
            </w:tcBorders>
            <w:vAlign w:val="center"/>
          </w:tcPr>
          <w:p w14:paraId="049E7D49">
            <w:pPr>
              <w:adjustRightInd w:val="0"/>
              <w:snapToGrid w:val="0"/>
              <w:spacing w:line="360" w:lineRule="auto"/>
              <w:jc w:val="center"/>
              <w:rPr>
                <w:rFonts w:hint="eastAsia" w:ascii="宋体" w:hAnsi="宋体" w:eastAsia="宋体" w:cs="宋体"/>
                <w:bCs/>
                <w:color w:val="auto"/>
                <w:szCs w:val="21"/>
                <w:highlight w:val="none"/>
              </w:rPr>
            </w:pPr>
          </w:p>
        </w:tc>
      </w:tr>
      <w:tr w14:paraId="4E242D2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966" w:hRule="atLeast"/>
          <w:jc w:val="center"/>
        </w:trPr>
        <w:tc>
          <w:tcPr>
            <w:tcW w:w="2002" w:type="pct"/>
            <w:gridSpan w:val="2"/>
            <w:tcBorders>
              <w:bottom w:val="single" w:color="auto" w:sz="4" w:space="0"/>
            </w:tcBorders>
            <w:vAlign w:val="center"/>
          </w:tcPr>
          <w:p w14:paraId="2146133D">
            <w:pPr>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合计</w:t>
            </w:r>
          </w:p>
        </w:tc>
        <w:tc>
          <w:tcPr>
            <w:tcW w:w="861" w:type="pct"/>
            <w:tcBorders>
              <w:bottom w:val="single" w:color="auto" w:sz="4" w:space="0"/>
            </w:tcBorders>
            <w:vAlign w:val="center"/>
          </w:tcPr>
          <w:p w14:paraId="150B029D">
            <w:pPr>
              <w:adjustRightInd w:val="0"/>
              <w:snapToGrid w:val="0"/>
              <w:spacing w:line="360" w:lineRule="auto"/>
              <w:jc w:val="center"/>
              <w:rPr>
                <w:rFonts w:hint="eastAsia" w:ascii="宋体" w:hAnsi="宋体" w:eastAsia="宋体" w:cs="宋体"/>
                <w:bCs/>
                <w:color w:val="auto"/>
                <w:szCs w:val="21"/>
                <w:highlight w:val="none"/>
              </w:rPr>
            </w:pPr>
          </w:p>
        </w:tc>
        <w:tc>
          <w:tcPr>
            <w:tcW w:w="2136" w:type="pct"/>
            <w:tcBorders>
              <w:left w:val="single" w:color="auto" w:sz="4" w:space="0"/>
              <w:bottom w:val="single" w:color="auto" w:sz="4" w:space="0"/>
            </w:tcBorders>
            <w:vAlign w:val="center"/>
          </w:tcPr>
          <w:p w14:paraId="31CF5971">
            <w:pPr>
              <w:spacing w:line="360" w:lineRule="auto"/>
              <w:jc w:val="center"/>
              <w:rPr>
                <w:rFonts w:hint="eastAsia" w:ascii="宋体" w:hAnsi="宋体" w:eastAsia="宋体" w:cs="宋体"/>
                <w:bCs/>
                <w:color w:val="auto"/>
                <w:szCs w:val="21"/>
                <w:highlight w:val="none"/>
              </w:rPr>
            </w:pPr>
          </w:p>
        </w:tc>
      </w:tr>
    </w:tbl>
    <w:p w14:paraId="3B92A6C5">
      <w:pPr>
        <w:pStyle w:val="19"/>
        <w:spacing w:line="360" w:lineRule="auto"/>
        <w:rPr>
          <w:rFonts w:hint="eastAsia" w:ascii="宋体" w:hAnsi="宋体" w:eastAsia="宋体" w:cs="宋体"/>
          <w:color w:val="auto"/>
          <w:highlight w:val="none"/>
        </w:rPr>
      </w:pPr>
    </w:p>
    <w:p w14:paraId="108D9D44">
      <w:pPr>
        <w:pStyle w:val="19"/>
        <w:spacing w:line="360" w:lineRule="auto"/>
        <w:rPr>
          <w:rFonts w:hint="eastAsia" w:ascii="宋体" w:hAnsi="宋体" w:eastAsia="宋体" w:cs="宋体"/>
          <w:color w:val="auto"/>
          <w:highlight w:val="none"/>
        </w:rPr>
      </w:pPr>
    </w:p>
    <w:p w14:paraId="339EC6BE">
      <w:pPr>
        <w:widowControl/>
        <w:jc w:val="left"/>
        <w:rPr>
          <w:rFonts w:hint="eastAsia" w:ascii="宋体" w:hAnsi="宋体" w:eastAsia="宋体" w:cs="宋体"/>
          <w:b/>
          <w:color w:val="auto"/>
          <w:kern w:val="0"/>
          <w:sz w:val="32"/>
          <w:szCs w:val="32"/>
          <w:highlight w:val="none"/>
        </w:rPr>
      </w:pPr>
      <w:r>
        <w:rPr>
          <w:rFonts w:hint="eastAsia" w:ascii="宋体" w:hAnsi="宋体" w:eastAsia="宋体" w:cs="宋体"/>
          <w:color w:val="auto"/>
          <w:highlight w:val="none"/>
        </w:rPr>
        <w:br w:type="page"/>
      </w:r>
    </w:p>
    <w:p w14:paraId="3B071F33">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bookmarkStart w:id="398" w:name="_Toc13331"/>
      <w:bookmarkStart w:id="399" w:name="_Toc20244"/>
      <w:bookmarkStart w:id="400" w:name="_Toc18706"/>
      <w:r>
        <w:rPr>
          <w:rFonts w:hint="eastAsia" w:ascii="宋体" w:hAnsi="宋体" w:eastAsia="宋体" w:cs="宋体"/>
          <w:b/>
          <w:color w:val="auto"/>
          <w:kern w:val="0"/>
          <w:sz w:val="32"/>
          <w:szCs w:val="32"/>
          <w:highlight w:val="none"/>
        </w:rPr>
        <w:t>一、投标函格式</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1AAFAC8A">
      <w:pPr>
        <w:autoSpaceDE w:val="0"/>
        <w:autoSpaceDN w:val="0"/>
        <w:adjustRightInd w:val="0"/>
        <w:spacing w:line="360" w:lineRule="auto"/>
        <w:jc w:val="center"/>
        <w:rPr>
          <w:rFonts w:hint="eastAsia" w:ascii="宋体" w:hAnsi="宋体" w:eastAsia="宋体" w:cs="宋体"/>
          <w:b/>
          <w:bCs/>
          <w:color w:val="auto"/>
          <w:sz w:val="30"/>
          <w:szCs w:val="30"/>
          <w:highlight w:val="none"/>
          <w:lang w:eastAsia="zh-CN"/>
        </w:rPr>
      </w:pPr>
      <w:bookmarkStart w:id="401" w:name="_Toc16695_WPSOffice_Level3"/>
      <w:r>
        <w:rPr>
          <w:rFonts w:hint="eastAsia" w:ascii="宋体" w:hAnsi="宋体" w:eastAsia="宋体" w:cs="宋体"/>
          <w:b/>
          <w:bCs/>
          <w:color w:val="auto"/>
          <w:sz w:val="30"/>
          <w:szCs w:val="30"/>
          <w:highlight w:val="none"/>
          <w:lang w:val="zh-CN"/>
        </w:rPr>
        <w:t>投 标 函</w:t>
      </w:r>
      <w:bookmarkEnd w:id="401"/>
    </w:p>
    <w:p w14:paraId="726B7BE5">
      <w:pPr>
        <w:autoSpaceDE w:val="0"/>
        <w:autoSpaceDN w:val="0"/>
        <w:adjustRightInd w:val="0"/>
        <w:spacing w:line="360" w:lineRule="auto"/>
        <w:rPr>
          <w:rFonts w:ascii="宋体" w:hAnsi="宋体" w:eastAsia="宋体" w:cs="宋体"/>
          <w:color w:val="auto"/>
          <w:szCs w:val="21"/>
          <w:highlight w:val="none"/>
          <w:lang w:val="zh-CN"/>
        </w:rPr>
      </w:pPr>
    </w:p>
    <w:p w14:paraId="7C2B0C0E">
      <w:pPr>
        <w:autoSpaceDE w:val="0"/>
        <w:autoSpaceDN w:val="0"/>
        <w:adjustRightInd w:val="0"/>
        <w:spacing w:line="360" w:lineRule="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rPr>
        <w:t>致：</w:t>
      </w:r>
      <w:r>
        <w:rPr>
          <w:rFonts w:hint="eastAsia" w:ascii="宋体" w:hAnsi="宋体" w:eastAsia="宋体" w:cs="宋体"/>
          <w:color w:val="auto"/>
          <w:kern w:val="0"/>
          <w:szCs w:val="21"/>
          <w:highlight w:val="none"/>
          <w:u w:val="single"/>
          <w:lang w:eastAsia="zh-CN"/>
        </w:rPr>
        <w:t>东莞市水务环境投资控股集团管网有限公司</w:t>
      </w:r>
    </w:p>
    <w:p w14:paraId="42292ED5">
      <w:pPr>
        <w:autoSpaceDE w:val="0"/>
        <w:autoSpaceDN w:val="0"/>
        <w:adjustRightInd w:val="0"/>
        <w:spacing w:line="360" w:lineRule="auto"/>
        <w:rPr>
          <w:rFonts w:ascii="宋体" w:hAnsi="宋体" w:eastAsia="宋体" w:cs="宋体"/>
          <w:color w:val="auto"/>
          <w:szCs w:val="21"/>
          <w:highlight w:val="none"/>
        </w:rPr>
      </w:pPr>
    </w:p>
    <w:p w14:paraId="352429DE">
      <w:pPr>
        <w:wordWrap w:val="0"/>
        <w:autoSpaceDE w:val="0"/>
        <w:autoSpaceDN w:val="0"/>
        <w:adjustRightInd w:val="0"/>
        <w:spacing w:line="360" w:lineRule="auto"/>
        <w:ind w:firstLine="42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根据贵方为</w:t>
      </w:r>
      <w:r>
        <w:rPr>
          <w:rFonts w:hint="eastAsia" w:ascii="宋体" w:hAnsi="宋体" w:eastAsia="宋体" w:cs="宋体"/>
          <w:color w:val="auto"/>
          <w:kern w:val="0"/>
          <w:szCs w:val="21"/>
          <w:highlight w:val="none"/>
          <w:u w:val="single"/>
          <w:lang w:eastAsia="zh-CN"/>
        </w:rPr>
        <w:t>东莞市水务环境投资控股集团管网有限公司2026年防撞缓冲车采购项目（第四次招标）</w:t>
      </w:r>
      <w:r>
        <w:rPr>
          <w:rFonts w:hint="eastAsia" w:ascii="宋体" w:hAnsi="宋体" w:eastAsia="宋体" w:cs="宋体"/>
          <w:color w:val="auto"/>
          <w:szCs w:val="21"/>
          <w:highlight w:val="none"/>
          <w:u w:val="single"/>
          <w:lang w:val="zh-CN"/>
        </w:rPr>
        <w:t>(招标编号：</w:t>
      </w:r>
      <w:r>
        <w:rPr>
          <w:rFonts w:hint="eastAsia" w:ascii="宋体" w:hAnsi="宋体" w:eastAsia="宋体" w:cs="宋体"/>
          <w:color w:val="auto"/>
          <w:szCs w:val="21"/>
          <w:highlight w:val="none"/>
          <w:u w:val="single"/>
          <w:lang w:val="en-US" w:eastAsia="zh-CN"/>
        </w:rPr>
        <w:t>TC269400L</w:t>
      </w:r>
      <w:r>
        <w:rPr>
          <w:rFonts w:hint="eastAsia" w:ascii="宋体" w:hAnsi="宋体" w:eastAsia="宋体" w:cs="宋体"/>
          <w:color w:val="auto"/>
          <w:szCs w:val="21"/>
          <w:highlight w:val="none"/>
          <w:u w:val="single"/>
          <w:lang w:val="zh-CN"/>
        </w:rPr>
        <w:t>)</w:t>
      </w:r>
      <w:r>
        <w:rPr>
          <w:rFonts w:hint="eastAsia" w:ascii="宋体" w:hAnsi="宋体" w:eastAsia="宋体" w:cs="宋体"/>
          <w:color w:val="auto"/>
          <w:szCs w:val="21"/>
          <w:highlight w:val="none"/>
          <w:lang w:val="zh-CN"/>
        </w:rPr>
        <w:t>的投标邀请，我方（投标人名称）作为投标人正式授权</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授权代表全名，职务）代表我方进行有关本次投标的一切事宜。</w:t>
      </w:r>
    </w:p>
    <w:p w14:paraId="3BF74069">
      <w:pPr>
        <w:autoSpaceDE w:val="0"/>
        <w:autoSpaceDN w:val="0"/>
        <w:adjustRightInd w:val="0"/>
        <w:spacing w:line="360" w:lineRule="auto"/>
        <w:ind w:firstLine="42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在此提交的投标文件，包括如下等内容，并已单独密封封装：</w:t>
      </w:r>
    </w:p>
    <w:p w14:paraId="6F1CD172">
      <w:pPr>
        <w:autoSpaceDE w:val="0"/>
        <w:autoSpaceDN w:val="0"/>
        <w:adjustRightInd w:val="0"/>
        <w:spacing w:line="360" w:lineRule="auto"/>
        <w:ind w:firstLine="315" w:firstLineChars="15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）唱标信封【</w:t>
      </w:r>
      <w:r>
        <w:rPr>
          <w:rFonts w:hint="eastAsia" w:ascii="宋体" w:hAnsi="宋体" w:eastAsia="宋体" w:cs="Times New Roman"/>
          <w:color w:val="auto"/>
          <w:szCs w:val="21"/>
          <w:highlight w:val="none"/>
          <w:u w:val="single"/>
          <w:lang w:val="zh-CN"/>
        </w:rPr>
        <w:t xml:space="preserve">        </w:t>
      </w:r>
      <w:r>
        <w:rPr>
          <w:rFonts w:hint="eastAsia" w:ascii="宋体" w:hAnsi="宋体" w:eastAsia="宋体" w:cs="Times New Roman"/>
          <w:color w:val="auto"/>
          <w:szCs w:val="21"/>
          <w:highlight w:val="none"/>
          <w:lang w:val="zh-CN"/>
        </w:rPr>
        <w:t>份】（含投标文件电子文件）；</w:t>
      </w:r>
    </w:p>
    <w:p w14:paraId="12D76660">
      <w:pPr>
        <w:autoSpaceDE w:val="0"/>
        <w:autoSpaceDN w:val="0"/>
        <w:adjustRightInd w:val="0"/>
        <w:spacing w:line="360" w:lineRule="auto"/>
        <w:ind w:firstLine="315" w:firstLineChars="15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（二）投标文件【正本</w:t>
      </w:r>
      <w:r>
        <w:rPr>
          <w:rFonts w:hint="eastAsia" w:ascii="宋体" w:hAnsi="宋体" w:eastAsia="宋体" w:cs="Times New Roman"/>
          <w:color w:val="auto"/>
          <w:szCs w:val="21"/>
          <w:highlight w:val="none"/>
          <w:u w:val="single"/>
          <w:lang w:val="zh-CN"/>
        </w:rPr>
        <w:t xml:space="preserve">        </w:t>
      </w:r>
      <w:r>
        <w:rPr>
          <w:rFonts w:hint="eastAsia" w:ascii="宋体" w:hAnsi="宋体" w:eastAsia="宋体" w:cs="Times New Roman"/>
          <w:color w:val="auto"/>
          <w:szCs w:val="21"/>
          <w:highlight w:val="none"/>
          <w:lang w:val="zh-CN"/>
        </w:rPr>
        <w:t>份，副本</w:t>
      </w:r>
      <w:r>
        <w:rPr>
          <w:rFonts w:hint="eastAsia" w:ascii="宋体" w:hAnsi="宋体" w:eastAsia="宋体" w:cs="Times New Roman"/>
          <w:color w:val="auto"/>
          <w:szCs w:val="21"/>
          <w:highlight w:val="none"/>
          <w:u w:val="single"/>
          <w:lang w:val="zh-CN"/>
        </w:rPr>
        <w:t xml:space="preserve">        </w:t>
      </w:r>
      <w:r>
        <w:rPr>
          <w:rFonts w:hint="eastAsia" w:ascii="宋体" w:hAnsi="宋体" w:eastAsia="宋体" w:cs="Times New Roman"/>
          <w:color w:val="auto"/>
          <w:szCs w:val="21"/>
          <w:highlight w:val="none"/>
          <w:lang w:val="zh-CN"/>
        </w:rPr>
        <w:t>份】。</w:t>
      </w:r>
    </w:p>
    <w:p w14:paraId="722B3DD1">
      <w:pPr>
        <w:autoSpaceDE w:val="0"/>
        <w:autoSpaceDN w:val="0"/>
        <w:adjustRightInd w:val="0"/>
        <w:spacing w:line="360" w:lineRule="auto"/>
        <w:ind w:firstLine="42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我方已完全明白招标文件的所有条款要求，并重申以下几点：</w:t>
      </w:r>
    </w:p>
    <w:p w14:paraId="23B77EB6">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（—）我方</w:t>
      </w:r>
      <w:r>
        <w:rPr>
          <w:rFonts w:hint="eastAsia" w:ascii="宋体" w:hAnsi="宋体" w:eastAsia="宋体" w:cs="Times New Roman"/>
          <w:color w:val="auto"/>
          <w:szCs w:val="21"/>
          <w:highlight w:val="none"/>
          <w:lang w:val="zh-CN"/>
        </w:rPr>
        <w:t>决定</w:t>
      </w:r>
      <w:r>
        <w:rPr>
          <w:rFonts w:hint="eastAsia" w:ascii="宋体" w:hAnsi="宋体" w:eastAsia="宋体" w:cs="宋体"/>
          <w:color w:val="auto"/>
          <w:szCs w:val="21"/>
          <w:highlight w:val="none"/>
          <w:lang w:val="zh-CN"/>
        </w:rPr>
        <w:t>参加招标编号为</w:t>
      </w:r>
      <w:r>
        <w:rPr>
          <w:rFonts w:hint="eastAsia" w:ascii="宋体" w:hAnsi="宋体" w:eastAsia="宋体" w:cs="宋体"/>
          <w:color w:val="auto"/>
          <w:szCs w:val="21"/>
          <w:highlight w:val="none"/>
          <w:u w:val="single"/>
          <w:lang w:val="en-US" w:eastAsia="zh-CN"/>
        </w:rPr>
        <w:t>TC269400L</w:t>
      </w:r>
      <w:r>
        <w:rPr>
          <w:rFonts w:hint="eastAsia" w:ascii="宋体" w:hAnsi="宋体" w:eastAsia="宋体" w:cs="宋体"/>
          <w:color w:val="auto"/>
          <w:szCs w:val="21"/>
          <w:highlight w:val="none"/>
          <w:lang w:val="zh-CN"/>
        </w:rPr>
        <w:t>的投标；</w:t>
      </w:r>
    </w:p>
    <w:p w14:paraId="29025639">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（二）本投标文件的有效期自递交投标文件截止时间届满后90日有效，如中标，有效期将延至合同终止日为止；</w:t>
      </w:r>
    </w:p>
    <w:p w14:paraId="0E835783">
      <w:pPr>
        <w:autoSpaceDE w:val="0"/>
        <w:autoSpaceDN w:val="0"/>
        <w:adjustRightInd w:val="0"/>
        <w:spacing w:line="360" w:lineRule="auto"/>
        <w:ind w:left="0" w:leftChars="0"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（三）我方已详细研究了招标文件的所有内容包括修正文（如有）和所有已提供的参考资料以及有关附件并完全明白，我方放弃在此方面提出含糊意见或误解的一切权</w:t>
      </w:r>
      <w:r>
        <w:rPr>
          <w:rFonts w:hint="eastAsia" w:ascii="宋体" w:hAnsi="宋体" w:eastAsia="宋体" w:cs="宋体"/>
          <w:color w:val="auto"/>
          <w:szCs w:val="21"/>
          <w:highlight w:val="none"/>
          <w:lang w:val="en-US" w:eastAsia="zh-CN"/>
        </w:rPr>
        <w:t>利</w:t>
      </w:r>
      <w:r>
        <w:rPr>
          <w:rFonts w:hint="eastAsia" w:ascii="宋体" w:hAnsi="宋体" w:eastAsia="宋体" w:cs="宋体"/>
          <w:color w:val="auto"/>
          <w:szCs w:val="21"/>
          <w:highlight w:val="none"/>
          <w:lang w:val="zh-CN"/>
        </w:rPr>
        <w:t>；</w:t>
      </w:r>
    </w:p>
    <w:p w14:paraId="31C19AAD">
      <w:pPr>
        <w:autoSpaceDE w:val="0"/>
        <w:autoSpaceDN w:val="0"/>
        <w:adjustRightInd w:val="0"/>
        <w:spacing w:line="360" w:lineRule="auto"/>
        <w:ind w:left="0" w:leftChars="0"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（四）我方明白并愿意在规定的递交投标文件截止时间和日期之后，投标有效期之内撤回投标，则不予退还我方投标保证金；</w:t>
      </w:r>
    </w:p>
    <w:p w14:paraId="00E86538">
      <w:pPr>
        <w:autoSpaceDE w:val="0"/>
        <w:autoSpaceDN w:val="0"/>
        <w:adjustRightInd w:val="0"/>
        <w:spacing w:line="360" w:lineRule="auto"/>
        <w:ind w:left="0" w:leftChars="0"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（五）我方同意按照贵方可能提出的要求而提供与投标有关的任何其它数据或信息；</w:t>
      </w:r>
    </w:p>
    <w:p w14:paraId="0E8162C6">
      <w:pPr>
        <w:autoSpaceDE w:val="0"/>
        <w:autoSpaceDN w:val="0"/>
        <w:adjustRightInd w:val="0"/>
        <w:spacing w:line="360" w:lineRule="auto"/>
        <w:ind w:left="0" w:leftChars="0"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（六）我方理解贵方不一定接受最低报价或任何贵方可能收到的报价；</w:t>
      </w:r>
    </w:p>
    <w:p w14:paraId="171CC63C">
      <w:pPr>
        <w:autoSpaceDE w:val="0"/>
        <w:autoSpaceDN w:val="0"/>
        <w:adjustRightInd w:val="0"/>
        <w:spacing w:line="360" w:lineRule="auto"/>
        <w:ind w:left="0" w:leftChars="0"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（七）我方如果中标，将保证履行招标文件以及招标文件修改书（如有）中的全部责任和义务，按质、按量、按期完成《合同书》中的全部任务；</w:t>
      </w:r>
    </w:p>
    <w:p w14:paraId="6F962786">
      <w:pPr>
        <w:autoSpaceDE w:val="0"/>
        <w:autoSpaceDN w:val="0"/>
        <w:adjustRightInd w:val="0"/>
        <w:spacing w:line="360" w:lineRule="auto"/>
        <w:ind w:left="0" w:leftChars="0"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（八）保证投标文件中所有资料均真实有效，否则按无效投标处理或可取消中标资格，并愿意接受按弄虚作假骗取中标的有关规定进行处理，并不予退还我方投标保证金；</w:t>
      </w:r>
    </w:p>
    <w:p w14:paraId="31ACD55E">
      <w:pPr>
        <w:autoSpaceDE w:val="0"/>
        <w:autoSpaceDN w:val="0"/>
        <w:adjustRightInd w:val="0"/>
        <w:spacing w:line="360" w:lineRule="auto"/>
        <w:ind w:left="0" w:leftChars="0"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（九）若我方中标后，我方一定按照招标文件的要求和投标文件的承诺签订和履行合同，否则贵方可取消我方中标资格，并依法不予退还我方投标保证金或履约担保，我方愿意接受违约处罚；</w:t>
      </w:r>
    </w:p>
    <w:p w14:paraId="64F165C3">
      <w:pPr>
        <w:autoSpaceDE w:val="0"/>
        <w:autoSpaceDN w:val="0"/>
        <w:adjustRightInd w:val="0"/>
        <w:spacing w:line="360" w:lineRule="auto"/>
        <w:ind w:left="0" w:leftChars="0"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（十）若我方中标后，核查出投标文件内容前后不一致，我方愿按最高标准的承诺履约义务；</w:t>
      </w:r>
    </w:p>
    <w:p w14:paraId="6E953574">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（十一）所有与本投标有关的函件请发往下列地址：</w:t>
      </w:r>
    </w:p>
    <w:p w14:paraId="57B4D9F0">
      <w:pPr>
        <w:autoSpaceDE w:val="0"/>
        <w:autoSpaceDN w:val="0"/>
        <w:adjustRightInd w:val="0"/>
        <w:spacing w:line="360" w:lineRule="auto"/>
        <w:ind w:left="395" w:leftChars="-12" w:hanging="420" w:hangingChars="200"/>
        <w:rPr>
          <w:rFonts w:ascii="宋体" w:hAnsi="宋体" w:eastAsia="宋体" w:cs="宋体"/>
          <w:color w:val="auto"/>
          <w:szCs w:val="21"/>
          <w:highlight w:val="none"/>
          <w:u w:val="single"/>
          <w:lang w:val="zh-CN"/>
        </w:rPr>
      </w:pPr>
    </w:p>
    <w:p w14:paraId="6B9E483E">
      <w:pPr>
        <w:autoSpaceDE w:val="0"/>
        <w:autoSpaceDN w:val="0"/>
        <w:adjustRightInd w:val="0"/>
        <w:spacing w:line="360" w:lineRule="auto"/>
        <w:ind w:firstLine="420" w:firstLineChars="200"/>
        <w:rPr>
          <w:rFonts w:ascii="宋体" w:hAnsi="宋体" w:eastAsia="宋体" w:cs="宋体"/>
          <w:color w:val="auto"/>
          <w:szCs w:val="21"/>
          <w:highlight w:val="none"/>
          <w:u w:val="single"/>
          <w:lang w:val="zh-CN"/>
        </w:rPr>
      </w:pPr>
      <w:r>
        <w:rPr>
          <w:rFonts w:hint="eastAsia" w:ascii="宋体" w:hAnsi="宋体" w:eastAsia="宋体" w:cs="宋体"/>
          <w:color w:val="auto"/>
          <w:szCs w:val="21"/>
          <w:highlight w:val="none"/>
          <w:lang w:val="zh-CN"/>
        </w:rPr>
        <w:t>地  　址：</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邮政编码：</w:t>
      </w:r>
      <w:r>
        <w:rPr>
          <w:rFonts w:hint="eastAsia" w:ascii="宋体" w:hAnsi="宋体" w:eastAsia="宋体" w:cs="宋体"/>
          <w:color w:val="auto"/>
          <w:szCs w:val="21"/>
          <w:highlight w:val="none"/>
          <w:u w:val="single"/>
          <w:lang w:val="zh-CN"/>
        </w:rPr>
        <w:t xml:space="preserve">　　　　　　　　　　 </w:t>
      </w:r>
    </w:p>
    <w:p w14:paraId="6C92BFA3">
      <w:pPr>
        <w:autoSpaceDE w:val="0"/>
        <w:autoSpaceDN w:val="0"/>
        <w:adjustRightInd w:val="0"/>
        <w:spacing w:line="360" w:lineRule="auto"/>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电　　话：</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代表姓名：</w:t>
      </w:r>
      <w:r>
        <w:rPr>
          <w:rFonts w:hint="eastAsia" w:ascii="宋体" w:hAnsi="宋体" w:eastAsia="宋体" w:cs="宋体"/>
          <w:color w:val="auto"/>
          <w:szCs w:val="21"/>
          <w:highlight w:val="none"/>
          <w:u w:val="single"/>
          <w:lang w:val="zh-CN"/>
        </w:rPr>
        <w:t>　　　　　　　　　　　</w:t>
      </w:r>
    </w:p>
    <w:p w14:paraId="0CDA70E3">
      <w:pPr>
        <w:autoSpaceDE w:val="0"/>
        <w:autoSpaceDN w:val="0"/>
        <w:adjustRightInd w:val="0"/>
        <w:spacing w:line="360" w:lineRule="auto"/>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传　　真：</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 xml:space="preserve">        职　　务：</w:t>
      </w:r>
      <w:r>
        <w:rPr>
          <w:rFonts w:hint="eastAsia" w:ascii="宋体" w:hAnsi="宋体" w:eastAsia="宋体" w:cs="宋体"/>
          <w:color w:val="auto"/>
          <w:szCs w:val="21"/>
          <w:highlight w:val="none"/>
          <w:u w:val="single"/>
          <w:lang w:val="zh-CN"/>
        </w:rPr>
        <w:t xml:space="preserve">　　　　　　　　　　 </w:t>
      </w:r>
    </w:p>
    <w:p w14:paraId="6236BD2D">
      <w:pPr>
        <w:autoSpaceDE w:val="0"/>
        <w:autoSpaceDN w:val="0"/>
        <w:adjustRightInd w:val="0"/>
        <w:spacing w:line="360" w:lineRule="auto"/>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en-US" w:eastAsia="zh-CN"/>
        </w:rPr>
        <w:t>电子邮箱：</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p>
    <w:p w14:paraId="0FCB7A79">
      <w:pPr>
        <w:autoSpaceDE w:val="0"/>
        <w:autoSpaceDN w:val="0"/>
        <w:adjustRightInd w:val="0"/>
        <w:spacing w:line="360" w:lineRule="auto"/>
        <w:ind w:firstLine="4960" w:firstLineChars="2362"/>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4"/>
          <w:highlight w:val="none"/>
          <w:lang w:val="zh-CN"/>
        </w:rPr>
        <w:t>加盖投标人法人公章</w:t>
      </w:r>
      <w:r>
        <w:rPr>
          <w:rFonts w:hint="eastAsia" w:ascii="宋体" w:hAnsi="宋体" w:eastAsia="宋体" w:cs="宋体"/>
          <w:color w:val="auto"/>
          <w:szCs w:val="21"/>
          <w:highlight w:val="none"/>
          <w:lang w:val="zh-CN"/>
        </w:rPr>
        <w:t>）</w:t>
      </w:r>
    </w:p>
    <w:p w14:paraId="74C15AAE">
      <w:pPr>
        <w:autoSpaceDE w:val="0"/>
        <w:autoSpaceDN w:val="0"/>
        <w:adjustRightInd w:val="0"/>
        <w:spacing w:line="360" w:lineRule="auto"/>
        <w:ind w:firstLine="4960" w:firstLineChars="2362"/>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法定代表人或其授权代表签名（或盖私章）：</w:t>
      </w:r>
    </w:p>
    <w:p w14:paraId="10817DD8">
      <w:pPr>
        <w:autoSpaceDE w:val="0"/>
        <w:autoSpaceDN w:val="0"/>
        <w:adjustRightInd w:val="0"/>
        <w:spacing w:line="360" w:lineRule="auto"/>
        <w:ind w:firstLine="4960" w:firstLineChars="2362"/>
        <w:rPr>
          <w:rFonts w:ascii="宋体" w:hAnsi="宋体" w:eastAsia="宋体" w:cs="Times New Roman"/>
          <w:color w:val="auto"/>
          <w:sz w:val="24"/>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Times New Roman"/>
          <w:color w:val="auto"/>
          <w:szCs w:val="24"/>
          <w:highlight w:val="none"/>
          <w:lang w:val="zh-CN"/>
        </w:rPr>
        <w:t>期：   年   月   日</w:t>
      </w:r>
    </w:p>
    <w:p w14:paraId="7657C801">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r>
        <w:rPr>
          <w:rFonts w:hint="eastAsia" w:ascii="宋体" w:hAnsi="宋体" w:eastAsia="宋体" w:cs="宋体"/>
          <w:color w:val="auto"/>
          <w:kern w:val="0"/>
          <w:sz w:val="24"/>
          <w:szCs w:val="24"/>
          <w:highlight w:val="none"/>
        </w:rPr>
        <w:br w:type="page"/>
      </w:r>
      <w:bookmarkStart w:id="402" w:name="_Toc486167710"/>
      <w:bookmarkStart w:id="403" w:name="_Toc533708122"/>
      <w:bookmarkStart w:id="404" w:name="_Toc102860412"/>
      <w:bookmarkStart w:id="405" w:name="_Toc28613_WPSOffice_Level2"/>
      <w:bookmarkStart w:id="406" w:name="_Toc8696"/>
      <w:bookmarkStart w:id="407" w:name="_Toc142508363"/>
      <w:bookmarkStart w:id="408" w:name="_Toc1977722"/>
      <w:bookmarkStart w:id="409" w:name="_Toc26795"/>
      <w:bookmarkStart w:id="410" w:name="_Toc94107203"/>
      <w:bookmarkStart w:id="411" w:name="_Toc102860068"/>
      <w:bookmarkStart w:id="412" w:name="_Toc104991869"/>
      <w:bookmarkStart w:id="413" w:name="_Toc140596922"/>
      <w:bookmarkStart w:id="414" w:name="_Toc18834"/>
      <w:r>
        <w:rPr>
          <w:rFonts w:hint="eastAsia" w:ascii="宋体" w:hAnsi="宋体" w:eastAsia="宋体" w:cs="宋体"/>
          <w:b/>
          <w:color w:val="auto"/>
          <w:kern w:val="0"/>
          <w:sz w:val="32"/>
          <w:szCs w:val="32"/>
          <w:highlight w:val="none"/>
        </w:rPr>
        <w:t>二、投标承诺书格式</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3066D639">
      <w:pPr>
        <w:autoSpaceDE w:val="0"/>
        <w:autoSpaceDN w:val="0"/>
        <w:adjustRightInd w:val="0"/>
        <w:spacing w:line="360" w:lineRule="auto"/>
        <w:jc w:val="center"/>
        <w:rPr>
          <w:rFonts w:ascii="宋体" w:hAnsi="宋体" w:eastAsia="宋体" w:cs="Times New Roman"/>
          <w:b/>
          <w:bCs/>
          <w:color w:val="auto"/>
          <w:sz w:val="30"/>
          <w:szCs w:val="30"/>
          <w:highlight w:val="none"/>
          <w:lang w:val="zh-CN"/>
        </w:rPr>
      </w:pPr>
      <w:r>
        <w:rPr>
          <w:rFonts w:hint="eastAsia" w:ascii="宋体" w:hAnsi="宋体" w:eastAsia="宋体" w:cs="Times New Roman"/>
          <w:b/>
          <w:bCs/>
          <w:color w:val="auto"/>
          <w:sz w:val="30"/>
          <w:szCs w:val="30"/>
          <w:highlight w:val="none"/>
          <w:lang w:val="zh-CN"/>
        </w:rPr>
        <w:t>投标承诺书</w:t>
      </w:r>
    </w:p>
    <w:p w14:paraId="40467227">
      <w:pPr>
        <w:widowControl/>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p>
    <w:p w14:paraId="242E4367">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Times New Roman"/>
          <w:color w:val="auto"/>
          <w:kern w:val="0"/>
          <w:szCs w:val="21"/>
          <w:highlight w:val="none"/>
        </w:rPr>
        <w:t>我方</w:t>
      </w:r>
      <w:r>
        <w:rPr>
          <w:rFonts w:hint="eastAsia" w:ascii="宋体" w:hAnsi="宋体" w:eastAsia="宋体" w:cs="Times New Roman"/>
          <w:color w:val="auto"/>
          <w:kern w:val="0"/>
          <w:szCs w:val="21"/>
          <w:highlight w:val="none"/>
          <w:u w:val="single"/>
        </w:rPr>
        <w:t xml:space="preserve">           </w:t>
      </w:r>
      <w:r>
        <w:rPr>
          <w:rFonts w:hint="eastAsia" w:ascii="宋体" w:hAnsi="宋体" w:eastAsia="宋体" w:cs="Times New Roman"/>
          <w:color w:val="auto"/>
          <w:kern w:val="0"/>
          <w:szCs w:val="21"/>
          <w:highlight w:val="none"/>
        </w:rPr>
        <w:t>（投标人名称）已完整阅读了</w:t>
      </w:r>
      <w:r>
        <w:rPr>
          <w:rFonts w:hint="eastAsia" w:ascii="宋体" w:hAnsi="宋体" w:eastAsia="宋体" w:cs="宋体"/>
          <w:color w:val="auto"/>
          <w:kern w:val="0"/>
          <w:szCs w:val="21"/>
          <w:highlight w:val="none"/>
          <w:u w:val="single"/>
          <w:lang w:eastAsia="zh-CN"/>
        </w:rPr>
        <w:t>东莞市水务环境投资控股集团管网有限公司2026年防撞缓冲车采购项目（第四次招标）</w:t>
      </w:r>
      <w:r>
        <w:rPr>
          <w:rFonts w:hint="eastAsia" w:ascii="宋体" w:hAnsi="宋体" w:eastAsia="宋体" w:cs="宋体"/>
          <w:color w:val="auto"/>
          <w:szCs w:val="21"/>
          <w:highlight w:val="none"/>
          <w:u w:val="single"/>
          <w:lang w:val="zh-CN"/>
        </w:rPr>
        <w:t>(招标编号：</w:t>
      </w:r>
      <w:r>
        <w:rPr>
          <w:rFonts w:hint="eastAsia" w:ascii="宋体" w:hAnsi="宋体" w:eastAsia="宋体" w:cs="宋体"/>
          <w:color w:val="auto"/>
          <w:szCs w:val="21"/>
          <w:highlight w:val="none"/>
          <w:u w:val="single"/>
          <w:lang w:val="en-US" w:eastAsia="zh-CN"/>
        </w:rPr>
        <w:t>TC269400L</w:t>
      </w:r>
      <w:r>
        <w:rPr>
          <w:rFonts w:hint="eastAsia" w:ascii="宋体" w:hAnsi="宋体" w:eastAsia="宋体" w:cs="宋体"/>
          <w:color w:val="auto"/>
          <w:szCs w:val="21"/>
          <w:highlight w:val="none"/>
          <w:u w:val="single"/>
          <w:lang w:val="zh-CN"/>
        </w:rPr>
        <w:t>)</w:t>
      </w:r>
      <w:r>
        <w:rPr>
          <w:rFonts w:hint="eastAsia" w:ascii="宋体" w:hAnsi="宋体" w:eastAsia="宋体" w:cs="Times New Roman"/>
          <w:color w:val="auto"/>
          <w:kern w:val="0"/>
          <w:szCs w:val="21"/>
          <w:highlight w:val="none"/>
        </w:rPr>
        <w:t>招标文件的所有内容（包括澄清，以及所有已提供的参考资料和有关附件），并完全理解上述文件所表达的意思，该项目递交投标文件时间截止后，我方承诺不再对上述文件内容进行询问或</w:t>
      </w:r>
      <w:r>
        <w:rPr>
          <w:rFonts w:hint="eastAsia" w:ascii="宋体" w:hAnsi="宋体" w:eastAsia="宋体" w:cs="Times New Roman"/>
          <w:color w:val="auto"/>
          <w:kern w:val="0"/>
          <w:szCs w:val="21"/>
          <w:highlight w:val="none"/>
          <w:lang w:eastAsia="zh-CN"/>
        </w:rPr>
        <w:t>异议</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cr/>
      </w:r>
      <w:r>
        <w:rPr>
          <w:rFonts w:ascii="宋体" w:hAnsi="宋体" w:eastAsia="宋体" w:cs="Times New Roman"/>
          <w:color w:val="auto"/>
          <w:kern w:val="0"/>
          <w:szCs w:val="21"/>
          <w:highlight w:val="none"/>
        </w:rPr>
        <w:t xml:space="preserve">    </w:t>
      </w:r>
      <w:r>
        <w:rPr>
          <w:rFonts w:hint="eastAsia" w:ascii="宋体" w:hAnsi="宋体" w:eastAsia="宋体" w:cs="Times New Roman"/>
          <w:color w:val="auto"/>
          <w:kern w:val="0"/>
          <w:szCs w:val="21"/>
          <w:highlight w:val="none"/>
        </w:rPr>
        <w:t>我方</w:t>
      </w:r>
      <w:r>
        <w:rPr>
          <w:rFonts w:hint="eastAsia" w:ascii="宋体" w:hAnsi="宋体" w:eastAsia="宋体" w:cs="宋体"/>
          <w:color w:val="auto"/>
          <w:kern w:val="0"/>
          <w:szCs w:val="21"/>
          <w:highlight w:val="none"/>
        </w:rPr>
        <w:t>承诺，若我方存在通过弄虚作假、虚假响应招标文件要求等手段骗取中标的，招标人有权或协助主管部门认定我方严重失信的不良行为，纳入相关</w:t>
      </w:r>
      <w:r>
        <w:rPr>
          <w:rFonts w:ascii="宋体" w:hAnsi="宋体" w:eastAsia="宋体" w:cs="宋体"/>
          <w:color w:val="auto"/>
          <w:kern w:val="0"/>
          <w:szCs w:val="21"/>
          <w:highlight w:val="none"/>
        </w:rPr>
        <w:t>企业信用“黑名单”</w:t>
      </w:r>
      <w:r>
        <w:rPr>
          <w:rFonts w:hint="eastAsia" w:ascii="宋体" w:hAnsi="宋体" w:eastAsia="宋体" w:cs="宋体"/>
          <w:color w:val="auto"/>
          <w:kern w:val="0"/>
          <w:szCs w:val="21"/>
          <w:highlight w:val="none"/>
        </w:rPr>
        <w:t>，限制我方参与依法必须招标项目的投标，并</w:t>
      </w:r>
      <w:r>
        <w:rPr>
          <w:rFonts w:ascii="宋体" w:hAnsi="宋体" w:eastAsia="宋体" w:cs="宋体"/>
          <w:color w:val="auto"/>
          <w:kern w:val="0"/>
          <w:szCs w:val="21"/>
          <w:highlight w:val="none"/>
        </w:rPr>
        <w:t>向</w:t>
      </w:r>
      <w:r>
        <w:rPr>
          <w:rFonts w:hint="eastAsia" w:ascii="宋体" w:hAnsi="宋体" w:eastAsia="宋体" w:cs="宋体"/>
          <w:color w:val="auto"/>
          <w:kern w:val="0"/>
          <w:szCs w:val="21"/>
          <w:highlight w:val="none"/>
        </w:rPr>
        <w:t>行政主管部门报送</w:t>
      </w:r>
      <w:r>
        <w:rPr>
          <w:rFonts w:ascii="宋体" w:hAnsi="宋体" w:eastAsia="宋体" w:cs="宋体"/>
          <w:color w:val="auto"/>
          <w:kern w:val="0"/>
          <w:szCs w:val="21"/>
          <w:highlight w:val="none"/>
        </w:rPr>
        <w:t>结果。</w:t>
      </w:r>
      <w:r>
        <w:rPr>
          <w:rFonts w:hint="eastAsia" w:ascii="宋体" w:hAnsi="宋体" w:eastAsia="宋体" w:cs="宋体"/>
          <w:color w:val="auto"/>
          <w:kern w:val="0"/>
          <w:szCs w:val="21"/>
          <w:highlight w:val="none"/>
        </w:rPr>
        <w:t>同时，招标人有权根据《关于对环境保护领域失信生产经营单位及其有关人员开展联合惩戒的合作备忘录》等规定，通过“信用中国”网站向社会公示我方的失信行为，实现“一处失信、处处受限”。</w:t>
      </w:r>
    </w:p>
    <w:p w14:paraId="637946BD">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若我方在投标或履行本合同过程中存在提供虚假材料、虚假响应招标文件要求等弄虚作假行为，或未能根据招标文件投标人须知第2</w:t>
      </w:r>
      <w:r>
        <w:rPr>
          <w:rFonts w:ascii="宋体" w:hAnsi="宋体" w:eastAsia="宋体" w:cs="宋体"/>
          <w:color w:val="auto"/>
          <w:kern w:val="0"/>
          <w:szCs w:val="21"/>
          <w:highlight w:val="none"/>
        </w:rPr>
        <w:t>9.2</w:t>
      </w:r>
      <w:r>
        <w:rPr>
          <w:rFonts w:hint="eastAsia" w:ascii="宋体" w:hAnsi="宋体" w:eastAsia="宋体" w:cs="宋体"/>
          <w:color w:val="auto"/>
          <w:kern w:val="0"/>
          <w:szCs w:val="21"/>
          <w:highlight w:val="none"/>
        </w:rPr>
        <w:t>款约定按时提供原件核查的，因此导致我方无法参与东莞市水务</w:t>
      </w:r>
      <w:r>
        <w:rPr>
          <w:rFonts w:hint="eastAsia" w:ascii="宋体" w:hAnsi="宋体" w:eastAsia="宋体" w:cs="宋体"/>
          <w:color w:val="auto"/>
          <w:kern w:val="0"/>
          <w:szCs w:val="21"/>
          <w:highlight w:val="none"/>
          <w:lang w:val="en-US" w:eastAsia="zh-CN"/>
        </w:rPr>
        <w:t>环境投资控股</w:t>
      </w:r>
      <w:r>
        <w:rPr>
          <w:rFonts w:hint="eastAsia" w:ascii="宋体" w:hAnsi="宋体" w:eastAsia="宋体" w:cs="宋体"/>
          <w:color w:val="auto"/>
          <w:kern w:val="0"/>
          <w:szCs w:val="21"/>
          <w:highlight w:val="none"/>
        </w:rPr>
        <w:t>集团有限公司相关招标采购活动的，由我方自行承担全部后果。</w:t>
      </w:r>
    </w:p>
    <w:p w14:paraId="1786344A">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p>
    <w:p w14:paraId="12F623C4">
      <w:pPr>
        <w:autoSpaceDE w:val="0"/>
        <w:autoSpaceDN w:val="0"/>
        <w:adjustRightInd w:val="0"/>
        <w:spacing w:line="360" w:lineRule="auto"/>
        <w:jc w:val="left"/>
        <w:rPr>
          <w:rFonts w:ascii="宋体" w:hAnsi="宋体" w:eastAsia="宋体" w:cs="Times New Roman"/>
          <w:color w:val="auto"/>
          <w:kern w:val="0"/>
          <w:sz w:val="24"/>
          <w:szCs w:val="24"/>
          <w:highlight w:val="none"/>
        </w:rPr>
      </w:pPr>
    </w:p>
    <w:p w14:paraId="4D262A2E">
      <w:pPr>
        <w:autoSpaceDE w:val="0"/>
        <w:autoSpaceDN w:val="0"/>
        <w:adjustRightInd w:val="0"/>
        <w:spacing w:line="360" w:lineRule="auto"/>
        <w:jc w:val="left"/>
        <w:rPr>
          <w:rFonts w:ascii="宋体" w:hAnsi="宋体" w:eastAsia="宋体" w:cs="Times New Roman"/>
          <w:color w:val="auto"/>
          <w:kern w:val="0"/>
          <w:sz w:val="24"/>
          <w:szCs w:val="24"/>
          <w:highlight w:val="none"/>
        </w:rPr>
      </w:pPr>
    </w:p>
    <w:p w14:paraId="65BB5763">
      <w:pPr>
        <w:autoSpaceDE w:val="0"/>
        <w:autoSpaceDN w:val="0"/>
        <w:adjustRightInd w:val="0"/>
        <w:spacing w:line="360" w:lineRule="auto"/>
        <w:ind w:firstLine="5040"/>
        <w:rPr>
          <w:rFonts w:ascii="宋体" w:hAnsi="宋体" w:eastAsia="宋体" w:cs="Times New Roman"/>
          <w:color w:val="auto"/>
          <w:szCs w:val="24"/>
          <w:highlight w:val="none"/>
        </w:rPr>
      </w:pPr>
      <w:r>
        <w:rPr>
          <w:rFonts w:hint="eastAsia" w:ascii="宋体" w:hAnsi="宋体" w:eastAsia="宋体" w:cs="Times New Roman"/>
          <w:color w:val="auto"/>
          <w:szCs w:val="24"/>
          <w:highlight w:val="none"/>
          <w:lang w:val="zh-CN"/>
        </w:rPr>
        <w:t>投标人：（加盖投标人法人公章）</w:t>
      </w:r>
    </w:p>
    <w:p w14:paraId="0DE8B27E">
      <w:pPr>
        <w:autoSpaceDE w:val="0"/>
        <w:autoSpaceDN w:val="0"/>
        <w:adjustRightInd w:val="0"/>
        <w:spacing w:line="360" w:lineRule="auto"/>
        <w:ind w:firstLine="5040"/>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法定代表人或其授权代表签名（或盖私章）：</w:t>
      </w:r>
    </w:p>
    <w:p w14:paraId="68AEBA3A">
      <w:pPr>
        <w:autoSpaceDE w:val="0"/>
        <w:autoSpaceDN w:val="0"/>
        <w:adjustRightInd w:val="0"/>
        <w:spacing w:line="360" w:lineRule="auto"/>
        <w:ind w:firstLine="5040"/>
        <w:rPr>
          <w:rFonts w:ascii="宋体" w:hAnsi="宋体" w:eastAsia="宋体" w:cs="Times New Roman"/>
          <w:color w:val="auto"/>
          <w:sz w:val="24"/>
          <w:szCs w:val="24"/>
          <w:highlight w:val="none"/>
          <w:lang w:val="zh-CN"/>
        </w:rPr>
      </w:pPr>
      <w:r>
        <w:rPr>
          <w:rFonts w:hint="eastAsia" w:ascii="宋体" w:hAnsi="宋体" w:eastAsia="宋体" w:cs="Times New Roman"/>
          <w:color w:val="auto"/>
          <w:szCs w:val="24"/>
          <w:highlight w:val="none"/>
          <w:lang w:val="zh-CN"/>
        </w:rPr>
        <w:t>日期：   年   月   日</w:t>
      </w:r>
    </w:p>
    <w:p w14:paraId="68204447">
      <w:pPr>
        <w:autoSpaceDE w:val="0"/>
        <w:autoSpaceDN w:val="0"/>
        <w:adjustRightInd w:val="0"/>
        <w:spacing w:line="360" w:lineRule="auto"/>
        <w:ind w:firstLine="480" w:firstLineChars="200"/>
        <w:jc w:val="left"/>
        <w:rPr>
          <w:rFonts w:ascii="宋体" w:hAnsi="宋体" w:eastAsia="宋体" w:cs="宋体"/>
          <w:color w:val="auto"/>
          <w:kern w:val="0"/>
          <w:sz w:val="24"/>
          <w:szCs w:val="24"/>
          <w:highlight w:val="none"/>
        </w:rPr>
      </w:pPr>
    </w:p>
    <w:p w14:paraId="7309D420">
      <w:pPr>
        <w:autoSpaceDE w:val="0"/>
        <w:autoSpaceDN w:val="0"/>
        <w:adjustRightInd w:val="0"/>
        <w:spacing w:line="360" w:lineRule="auto"/>
        <w:jc w:val="left"/>
        <w:rPr>
          <w:rFonts w:ascii="宋体" w:hAnsi="宋体" w:eastAsia="宋体" w:cs="宋体"/>
          <w:color w:val="auto"/>
          <w:kern w:val="0"/>
          <w:sz w:val="24"/>
          <w:szCs w:val="24"/>
          <w:highlight w:val="none"/>
        </w:rPr>
      </w:pPr>
    </w:p>
    <w:p w14:paraId="27D939C9">
      <w:pPr>
        <w:autoSpaceDE w:val="0"/>
        <w:autoSpaceDN w:val="0"/>
        <w:adjustRightInd w:val="0"/>
        <w:spacing w:line="360" w:lineRule="auto"/>
        <w:jc w:val="left"/>
        <w:rPr>
          <w:rFonts w:ascii="宋体" w:hAnsi="宋体" w:eastAsia="宋体" w:cs="宋体"/>
          <w:color w:val="auto"/>
          <w:kern w:val="0"/>
          <w:sz w:val="24"/>
          <w:szCs w:val="24"/>
          <w:highlight w:val="none"/>
        </w:rPr>
      </w:pPr>
      <w:bookmarkStart w:id="415" w:name="_Toc316896755"/>
      <w:bookmarkStart w:id="416" w:name="_Toc311032584"/>
      <w:bookmarkStart w:id="417" w:name="_Toc326768876"/>
    </w:p>
    <w:p w14:paraId="38C6B346">
      <w:pPr>
        <w:pageBreakBefore/>
        <w:autoSpaceDE w:val="0"/>
        <w:autoSpaceDN w:val="0"/>
        <w:adjustRightInd w:val="0"/>
        <w:spacing w:line="360" w:lineRule="auto"/>
        <w:jc w:val="left"/>
        <w:outlineLvl w:val="2"/>
        <w:rPr>
          <w:rFonts w:ascii="宋体" w:hAnsi="宋体" w:eastAsia="宋体" w:cs="宋体"/>
          <w:b/>
          <w:color w:val="auto"/>
          <w:kern w:val="44"/>
          <w:sz w:val="32"/>
          <w:szCs w:val="32"/>
          <w:highlight w:val="none"/>
        </w:rPr>
      </w:pPr>
      <w:bookmarkStart w:id="418" w:name="_Toc86764083"/>
      <w:bookmarkStart w:id="419" w:name="_Toc102860069"/>
      <w:bookmarkStart w:id="420" w:name="_Toc94107204"/>
      <w:bookmarkStart w:id="421" w:name="_Toc142508364"/>
      <w:bookmarkStart w:id="422" w:name="_Toc140596923"/>
      <w:bookmarkStart w:id="423" w:name="_Toc102860413"/>
      <w:bookmarkStart w:id="424" w:name="_Toc104991870"/>
      <w:bookmarkStart w:id="425" w:name="_Toc12590"/>
      <w:bookmarkStart w:id="426" w:name="_Toc7175"/>
      <w:bookmarkStart w:id="427" w:name="_Toc82182546"/>
      <w:bookmarkStart w:id="428" w:name="_Toc9778"/>
      <w:bookmarkStart w:id="429" w:name="_Toc1977723"/>
      <w:bookmarkStart w:id="430" w:name="_Toc7024_WPSOffice_Level2"/>
      <w:bookmarkStart w:id="431" w:name="_Toc486167711"/>
      <w:bookmarkStart w:id="432" w:name="_Toc533708123"/>
      <w:r>
        <w:rPr>
          <w:rFonts w:hint="eastAsia" w:ascii="宋体" w:hAnsi="宋体" w:eastAsia="宋体" w:cs="宋体"/>
          <w:b/>
          <w:color w:val="auto"/>
          <w:kern w:val="44"/>
          <w:sz w:val="32"/>
          <w:szCs w:val="32"/>
          <w:highlight w:val="none"/>
        </w:rPr>
        <w:t>三、供货及/或提供服务过程承诺函格式</w:t>
      </w:r>
      <w:bookmarkEnd w:id="418"/>
      <w:bookmarkEnd w:id="419"/>
      <w:bookmarkEnd w:id="420"/>
      <w:bookmarkEnd w:id="421"/>
      <w:bookmarkEnd w:id="422"/>
      <w:bookmarkEnd w:id="423"/>
      <w:bookmarkEnd w:id="424"/>
      <w:bookmarkEnd w:id="425"/>
      <w:bookmarkEnd w:id="426"/>
      <w:bookmarkEnd w:id="427"/>
      <w:bookmarkEnd w:id="428"/>
    </w:p>
    <w:p w14:paraId="2B678E23">
      <w:pPr>
        <w:autoSpaceDE w:val="0"/>
        <w:autoSpaceDN w:val="0"/>
        <w:adjustRightInd w:val="0"/>
        <w:spacing w:line="360" w:lineRule="auto"/>
        <w:jc w:val="center"/>
        <w:rPr>
          <w:rFonts w:ascii="宋体" w:hAnsi="宋体" w:eastAsia="宋体" w:cs="宋体"/>
          <w:b/>
          <w:color w:val="auto"/>
          <w:kern w:val="44"/>
          <w:sz w:val="30"/>
          <w:szCs w:val="30"/>
          <w:highlight w:val="none"/>
        </w:rPr>
      </w:pPr>
      <w:r>
        <w:rPr>
          <w:rFonts w:hint="eastAsia" w:ascii="宋体" w:hAnsi="宋体" w:eastAsia="宋体" w:cs="宋体"/>
          <w:b/>
          <w:color w:val="auto"/>
          <w:kern w:val="44"/>
          <w:sz w:val="30"/>
          <w:szCs w:val="30"/>
          <w:highlight w:val="none"/>
        </w:rPr>
        <w:t>供货及/或提供服务过程承诺函</w:t>
      </w:r>
    </w:p>
    <w:p w14:paraId="2F88C7D1">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致</w:t>
      </w:r>
      <w:r>
        <w:rPr>
          <w:rFonts w:hint="eastAsia" w:ascii="宋体" w:hAnsi="宋体" w:eastAsia="宋体" w:cs="宋体"/>
          <w:color w:val="auto"/>
          <w:kern w:val="0"/>
          <w:szCs w:val="21"/>
          <w:highlight w:val="none"/>
          <w:lang w:eastAsia="zh-CN"/>
        </w:rPr>
        <w:t>东莞市水务环境投资控股集团管网有限公司</w:t>
      </w:r>
      <w:r>
        <w:rPr>
          <w:rFonts w:hint="eastAsia" w:ascii="宋体" w:hAnsi="宋体" w:eastAsia="宋体" w:cs="宋体"/>
          <w:color w:val="auto"/>
          <w:kern w:val="0"/>
          <w:szCs w:val="21"/>
          <w:highlight w:val="none"/>
        </w:rPr>
        <w:t>：</w:t>
      </w:r>
    </w:p>
    <w:p w14:paraId="73848479">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（投标人名称）为招标人公开招标的</w:t>
      </w:r>
      <w:r>
        <w:rPr>
          <w:rFonts w:hint="eastAsia" w:ascii="宋体" w:hAnsi="宋体" w:eastAsia="宋体" w:cs="宋体"/>
          <w:color w:val="auto"/>
          <w:kern w:val="0"/>
          <w:szCs w:val="21"/>
          <w:highlight w:val="none"/>
          <w:u w:val="single"/>
          <w:lang w:eastAsia="zh-CN"/>
        </w:rPr>
        <w:t>东莞市水务环境投资控股集团管网有限公司2026年防撞缓冲车采购项目（第四次招标）</w:t>
      </w:r>
      <w:r>
        <w:rPr>
          <w:rFonts w:hint="eastAsia" w:ascii="宋体" w:hAnsi="宋体" w:eastAsia="宋体" w:cs="宋体"/>
          <w:color w:val="auto"/>
          <w:szCs w:val="21"/>
          <w:highlight w:val="none"/>
          <w:u w:val="single"/>
          <w:lang w:val="zh-CN"/>
        </w:rPr>
        <w:t>(招标编号：</w:t>
      </w:r>
      <w:r>
        <w:rPr>
          <w:rFonts w:hint="eastAsia" w:ascii="宋体" w:hAnsi="宋体" w:eastAsia="宋体" w:cs="宋体"/>
          <w:color w:val="auto"/>
          <w:szCs w:val="21"/>
          <w:highlight w:val="none"/>
          <w:u w:val="single"/>
          <w:lang w:val="en-US" w:eastAsia="zh-CN"/>
        </w:rPr>
        <w:t>TC269400L</w:t>
      </w:r>
      <w:r>
        <w:rPr>
          <w:rFonts w:hint="eastAsia" w:ascii="宋体" w:hAnsi="宋体" w:eastAsia="宋体" w:cs="宋体"/>
          <w:color w:val="auto"/>
          <w:szCs w:val="21"/>
          <w:highlight w:val="none"/>
          <w:u w:val="single"/>
          <w:lang w:val="zh-CN"/>
        </w:rPr>
        <w:t>)</w:t>
      </w:r>
      <w:r>
        <w:rPr>
          <w:rFonts w:hint="eastAsia" w:ascii="宋体" w:hAnsi="宋体" w:eastAsia="宋体" w:cs="宋体"/>
          <w:color w:val="auto"/>
          <w:kern w:val="0"/>
          <w:szCs w:val="21"/>
          <w:highlight w:val="none"/>
        </w:rPr>
        <w:t>的投标单位，为确保供货及/或提供服务过程中的人身、财产安全，我方承诺，如我方获得中标资格，将严格按照下列要求开展工作。</w:t>
      </w:r>
    </w:p>
    <w:p w14:paraId="394ADB8B">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1、我方承诺将严格遵守国家、地方政府有关安全生产及劳动保护的法律法规、标准、规定，贯彻执行招标人的各项安全管理规章制度。</w:t>
      </w:r>
    </w:p>
    <w:p w14:paraId="2BD10B38">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2、我方承诺将依法参加工伤保险，为安排至招标人从事本项目的工作人员缴纳保险费，并为从事危险作业的人员办理意外伤害保险。</w:t>
      </w:r>
    </w:p>
    <w:p w14:paraId="1467F05E">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我方承诺服从招标人的安全管理，保证作业区域的现场文明安全管理达标，现场临时用电、机器设备、安全防护齐全、完好，并接受和配合招标人的安全监督检查，我方提供到招标人现场作业的所有安全装置、防护设施必须依据经招标人审批后的安全技术方案进行搭设、安装，同时我方无条件保证安全防护设施使用的搭设材料的质量安全，在用于安全防护的物资进场前将有关物资的材质证明报招标人，经招标人确认后方可使用。</w:t>
      </w:r>
    </w:p>
    <w:p w14:paraId="645DA85E">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我方承诺携带进场的机器设备、机具必须是合格产品，并对携带进场的机器设备、机具安全负责管理、维护及检查，对招标人和自查发现的安全隐患落实整改措施。如我方使用不合格机器设备、机具造成事故的，由我方自行承担责任。</w:t>
      </w:r>
    </w:p>
    <w:p w14:paraId="056D141B">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我方人员未经许可不随意到作业区域以外的其它工作场所活动，我方作业人员擅自到作业区域以外的其它工作场所活动，出现人身损害或财产损失的，由我方自行负责一切责任。我方作业人员如需动用或作业涉及到招标人所属设备、电器、管线及其他设施等，承诺事先征得招标人代表的同意，并采取安全防护措施。</w:t>
      </w:r>
    </w:p>
    <w:p w14:paraId="56969928">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我方承诺在进行卸货等工作时，严格遵守相关劳动安全规定，并按要求佩戴相关安全劳动防护用具。我方承诺做好安全防护措施，在工作过程中出现的安全事故由我方自行处理并承担全部责任。我方承诺我方人员在招标人场所遵守招标人的一切规章制度和安全条例，服从招标人的监督。我方在提供服务过程中，如因违反招标人相关规章制度、安全条例，或因不服从招标人监督而发生安全事故的，其结果与责任均由我方负责，招标人无须承担任何结果与责任。</w:t>
      </w:r>
    </w:p>
    <w:p w14:paraId="4BBC4893">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7、我方承诺协助和指导招标人进行货物的储存，对招标人的储存方式、方法、储存数量、仓库的安全设施设备、安全生产规章制度等是否符合国家标准或者国家有关规定提出合理的建议，并进行技术指导。</w:t>
      </w:r>
    </w:p>
    <w:p w14:paraId="258DC5FF">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8、我方车辆在招标人场所行驶时，将严格遵守厂区道路限行，限速和限重要求，如因我方未遵守前述要求，对厂区/招标人（含其人员）、我方人员、第三方造成损失的，由我方承担赔偿责任。</w:t>
      </w:r>
    </w:p>
    <w:p w14:paraId="2F1ACAB7">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9、如我方开展服务项目需进行外出调研或现场作业的，由我方派人负责安全保卫工作，按国家有关规定，对作业的现场人员进行安全防护、劳动保护等，并承担相应的费用。若发生工作人员或第三人人身伤害等事故的，由我方全部承担责任。</w:t>
      </w:r>
    </w:p>
    <w:p w14:paraId="74A9370A">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10、因我方原因，造成我方损失，由我方自负，给招标人造成财产损失和人员伤害，我方承担全部责任，并全额赔偿招标人。</w:t>
      </w:r>
    </w:p>
    <w:p w14:paraId="03645002">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11、非因招标人原因，造成我方损失的，招标人无需承担任何责任，由我方自行承担全部责任。</w:t>
      </w:r>
    </w:p>
    <w:p w14:paraId="1A014BAB">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12、我方承诺严格遵守法律法规以及招标人的安全管理要求，并接受招标人的安全生产工作协调和监督，积极消除安全隐患。安全管理的基本要求包括但不限于以下条款：</w:t>
      </w:r>
    </w:p>
    <w:p w14:paraId="5E47D9BB">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①禁火区内严禁吸烟、动火。有火灾危险的作业区域，我方承诺配置足够的灭火设施。</w:t>
      </w:r>
    </w:p>
    <w:p w14:paraId="3F9431F0">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②我方承诺焊接、气割作业时两瓶距离必须达到5M及以上，气瓶距可能产生火花的电器、设备和其它火源的间距必须达到10M及以上。</w:t>
      </w:r>
    </w:p>
    <w:p w14:paraId="7E5F4B72">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③我方承诺不在厂内道路、消防通道内搭建临时建筑或堆放物资。</w:t>
      </w:r>
    </w:p>
    <w:p w14:paraId="3F5FBE11">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④我方承诺电动工具、电焊机等均具有漏电保护器和相应的安全防护装置。</w:t>
      </w:r>
    </w:p>
    <w:p w14:paraId="48A598DB">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⑤我方承诺用电设施符合要求，杜绝电线乱接、乱拉，刀闸和开关无盖，在电器设施上堆放物品等行为。</w:t>
      </w:r>
    </w:p>
    <w:p w14:paraId="3A871A33">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⑥我方承诺防雷、防静电设施及用电设施有良好接地。</w:t>
      </w:r>
    </w:p>
    <w:p w14:paraId="63D70CB9">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⑦我方承诺为从业人员提供符合国家标准或者行业标准的劳动防护用品，并监督、教育从业人员按照使用规则佩戴、使用，防止工伤事故的发生。我方承诺，如发生各类工伤事故，绝不隐瞒不报。发生重伤及重伤以上事故，应及时组织抢救、保护好现场，并立即报告招标人主管领导。</w:t>
      </w:r>
    </w:p>
    <w:p w14:paraId="7C1D9B7B">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13、我方承诺接受招标人的检查与监督，并主动配合，做好安全工作，凡有违反上述条款的即视为我方违约，招标人有权视情况从货物/服务价款中扣除2000元/次作为违约金。</w:t>
      </w:r>
    </w:p>
    <w:p w14:paraId="7CC83D19">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如因我方违反上述条款造成安全生产事故的，我方将承担由此引发的一切责任与后果，如造成招标人损失的，我方将予以足额赔偿，同时，招标人有权没收我方提交的履约担保。</w:t>
      </w:r>
    </w:p>
    <w:p w14:paraId="18E45BB3">
      <w:pPr>
        <w:autoSpaceDE w:val="0"/>
        <w:autoSpaceDN w:val="0"/>
        <w:adjustRightInd w:val="0"/>
        <w:spacing w:line="360" w:lineRule="auto"/>
        <w:ind w:firstLine="504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p>
    <w:p w14:paraId="5C50ADE7">
      <w:pPr>
        <w:autoSpaceDE w:val="0"/>
        <w:autoSpaceDN w:val="0"/>
        <w:adjustRightInd w:val="0"/>
        <w:spacing w:line="360" w:lineRule="auto"/>
        <w:ind w:firstLine="5040"/>
        <w:rPr>
          <w:rFonts w:ascii="宋体" w:hAnsi="宋体" w:eastAsia="宋体" w:cs="宋体"/>
          <w:color w:val="auto"/>
          <w:szCs w:val="24"/>
          <w:highlight w:val="none"/>
        </w:rPr>
      </w:pPr>
      <w:r>
        <w:rPr>
          <w:rFonts w:hint="eastAsia" w:ascii="宋体" w:hAnsi="宋体" w:eastAsia="宋体" w:cs="宋体"/>
          <w:color w:val="auto"/>
          <w:szCs w:val="24"/>
          <w:highlight w:val="none"/>
          <w:lang w:val="zh-CN"/>
        </w:rPr>
        <w:t>投标人：（加盖投标人法人公章）</w:t>
      </w:r>
    </w:p>
    <w:p w14:paraId="7E9BC11B">
      <w:pPr>
        <w:autoSpaceDE w:val="0"/>
        <w:autoSpaceDN w:val="0"/>
        <w:adjustRightInd w:val="0"/>
        <w:spacing w:line="360" w:lineRule="auto"/>
        <w:ind w:firstLine="504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法定代表人或其授权代表签名（或盖私章）：</w:t>
      </w:r>
    </w:p>
    <w:p w14:paraId="704FD021">
      <w:pPr>
        <w:autoSpaceDE w:val="0"/>
        <w:autoSpaceDN w:val="0"/>
        <w:adjustRightInd w:val="0"/>
        <w:spacing w:line="360" w:lineRule="auto"/>
        <w:ind w:right="420" w:firstLine="5040" w:firstLineChars="2400"/>
        <w:jc w:val="left"/>
        <w:rPr>
          <w:rFonts w:ascii="宋体" w:hAnsi="宋体" w:eastAsia="宋体" w:cs="宋体"/>
          <w:color w:val="auto"/>
          <w:kern w:val="0"/>
          <w:sz w:val="24"/>
          <w:szCs w:val="24"/>
          <w:highlight w:val="none"/>
        </w:rPr>
      </w:pPr>
      <w:r>
        <w:rPr>
          <w:rFonts w:hint="eastAsia" w:ascii="宋体" w:hAnsi="宋体" w:eastAsia="宋体" w:cs="宋体"/>
          <w:color w:val="auto"/>
          <w:szCs w:val="24"/>
          <w:highlight w:val="none"/>
          <w:lang w:val="zh-CN"/>
        </w:rPr>
        <w:t>日期：   年   月   日</w:t>
      </w:r>
    </w:p>
    <w:p w14:paraId="440B65D2">
      <w:pPr>
        <w:pageBreakBefore/>
        <w:autoSpaceDE w:val="0"/>
        <w:autoSpaceDN w:val="0"/>
        <w:adjustRightInd w:val="0"/>
        <w:spacing w:line="360" w:lineRule="auto"/>
        <w:jc w:val="left"/>
        <w:outlineLvl w:val="2"/>
        <w:rPr>
          <w:rFonts w:ascii="宋体" w:hAnsi="宋体" w:eastAsia="宋体" w:cs="宋体"/>
          <w:b/>
          <w:color w:val="auto"/>
          <w:kern w:val="0"/>
          <w:sz w:val="32"/>
          <w:szCs w:val="32"/>
          <w:highlight w:val="none"/>
        </w:rPr>
      </w:pPr>
      <w:bookmarkStart w:id="433" w:name="_Toc140596924"/>
      <w:bookmarkStart w:id="434" w:name="_Toc104991871"/>
      <w:bookmarkStart w:id="435" w:name="_Toc82182547"/>
      <w:bookmarkStart w:id="436" w:name="_Toc86764084"/>
      <w:bookmarkStart w:id="437" w:name="_Toc102860414"/>
      <w:bookmarkStart w:id="438" w:name="_Toc142508365"/>
      <w:bookmarkStart w:id="439" w:name="_Toc94107205"/>
      <w:bookmarkStart w:id="440" w:name="_Toc102860070"/>
      <w:bookmarkStart w:id="441" w:name="_Toc20614"/>
      <w:bookmarkStart w:id="442" w:name="_Toc3993"/>
      <w:bookmarkStart w:id="443" w:name="_Toc6287"/>
      <w:r>
        <w:rPr>
          <w:rFonts w:hint="eastAsia" w:ascii="宋体" w:hAnsi="宋体" w:eastAsia="宋体" w:cs="宋体"/>
          <w:b/>
          <w:color w:val="auto"/>
          <w:kern w:val="44"/>
          <w:sz w:val="32"/>
          <w:szCs w:val="32"/>
          <w:highlight w:val="none"/>
        </w:rPr>
        <w:t>四</w:t>
      </w:r>
      <w:bookmarkEnd w:id="433"/>
      <w:bookmarkEnd w:id="434"/>
      <w:bookmarkEnd w:id="435"/>
      <w:bookmarkEnd w:id="436"/>
      <w:bookmarkEnd w:id="437"/>
      <w:bookmarkEnd w:id="438"/>
      <w:bookmarkEnd w:id="439"/>
      <w:bookmarkEnd w:id="440"/>
      <w:bookmarkStart w:id="444" w:name="_Toc142508366"/>
      <w:bookmarkStart w:id="445" w:name="_Toc102860071"/>
      <w:bookmarkStart w:id="446" w:name="_Toc102860415"/>
      <w:bookmarkStart w:id="447" w:name="_Toc94107206"/>
      <w:bookmarkStart w:id="448" w:name="_Toc140596925"/>
      <w:bookmarkStart w:id="449" w:name="_Toc104991872"/>
      <w:r>
        <w:rPr>
          <w:rFonts w:hint="eastAsia" w:ascii="宋体" w:hAnsi="宋体" w:eastAsia="宋体" w:cs="宋体"/>
          <w:b/>
          <w:color w:val="auto"/>
          <w:kern w:val="0"/>
          <w:sz w:val="32"/>
          <w:szCs w:val="32"/>
          <w:highlight w:val="none"/>
        </w:rPr>
        <w:t>、投标报价表格式</w:t>
      </w:r>
      <w:bookmarkEnd w:id="429"/>
      <w:bookmarkEnd w:id="430"/>
      <w:bookmarkEnd w:id="431"/>
      <w:bookmarkEnd w:id="432"/>
      <w:bookmarkEnd w:id="441"/>
      <w:bookmarkEnd w:id="442"/>
      <w:bookmarkEnd w:id="443"/>
      <w:bookmarkEnd w:id="444"/>
      <w:bookmarkEnd w:id="445"/>
      <w:bookmarkEnd w:id="446"/>
      <w:bookmarkEnd w:id="447"/>
      <w:bookmarkEnd w:id="448"/>
      <w:bookmarkEnd w:id="449"/>
    </w:p>
    <w:p w14:paraId="5E465977">
      <w:pPr>
        <w:tabs>
          <w:tab w:val="left" w:pos="567"/>
        </w:tabs>
        <w:autoSpaceDE w:val="0"/>
        <w:autoSpaceDN w:val="0"/>
        <w:adjustRightInd w:val="0"/>
        <w:spacing w:line="360" w:lineRule="auto"/>
        <w:ind w:left="711" w:hanging="711" w:hangingChars="236"/>
        <w:jc w:val="left"/>
        <w:outlineLvl w:val="2"/>
        <w:rPr>
          <w:rFonts w:ascii="宋体" w:hAnsi="宋体" w:eastAsia="宋体" w:cs="宋体"/>
          <w:b/>
          <w:color w:val="auto"/>
          <w:kern w:val="0"/>
          <w:sz w:val="30"/>
          <w:szCs w:val="30"/>
          <w:highlight w:val="none"/>
        </w:rPr>
      </w:pPr>
      <w:bookmarkStart w:id="450" w:name="_Toc102860416"/>
      <w:bookmarkStart w:id="451" w:name="_Toc140596926"/>
      <w:bookmarkStart w:id="452" w:name="_Toc2395_WPSOffice_Level3"/>
      <w:bookmarkStart w:id="453" w:name="_Toc104991873"/>
      <w:bookmarkStart w:id="454" w:name="_Toc142508367"/>
      <w:bookmarkStart w:id="455" w:name="_Toc18589"/>
      <w:bookmarkStart w:id="456" w:name="_Toc102860072"/>
      <w:bookmarkStart w:id="457" w:name="_Toc1105"/>
      <w:bookmarkStart w:id="458" w:name="_Toc6752"/>
      <w:bookmarkStart w:id="459" w:name="_Toc94107207"/>
      <w:r>
        <w:rPr>
          <w:rFonts w:hint="eastAsia" w:ascii="宋体" w:hAnsi="宋体" w:eastAsia="宋体" w:cs="宋体"/>
          <w:b/>
          <w:color w:val="auto"/>
          <w:kern w:val="0"/>
          <w:sz w:val="30"/>
          <w:szCs w:val="30"/>
          <w:highlight w:val="none"/>
          <w:lang w:val="en-US" w:eastAsia="zh-CN"/>
        </w:rPr>
        <w:t>4</w:t>
      </w:r>
      <w:r>
        <w:rPr>
          <w:rFonts w:ascii="宋体" w:hAnsi="宋体" w:eastAsia="宋体" w:cs="宋体"/>
          <w:b/>
          <w:color w:val="auto"/>
          <w:kern w:val="0"/>
          <w:sz w:val="30"/>
          <w:szCs w:val="30"/>
          <w:highlight w:val="none"/>
        </w:rPr>
        <w:t xml:space="preserve">.1 </w:t>
      </w:r>
      <w:r>
        <w:rPr>
          <w:rFonts w:hint="eastAsia" w:ascii="宋体" w:hAnsi="宋体" w:eastAsia="宋体" w:cs="宋体"/>
          <w:b/>
          <w:color w:val="auto"/>
          <w:kern w:val="0"/>
          <w:sz w:val="30"/>
          <w:szCs w:val="30"/>
          <w:highlight w:val="none"/>
        </w:rPr>
        <w:t>投标报价表</w:t>
      </w:r>
      <w:bookmarkEnd w:id="450"/>
      <w:bookmarkEnd w:id="451"/>
      <w:bookmarkEnd w:id="452"/>
      <w:bookmarkEnd w:id="453"/>
      <w:bookmarkEnd w:id="454"/>
      <w:bookmarkEnd w:id="455"/>
      <w:bookmarkEnd w:id="456"/>
      <w:bookmarkEnd w:id="457"/>
      <w:bookmarkEnd w:id="458"/>
      <w:bookmarkEnd w:id="459"/>
    </w:p>
    <w:p w14:paraId="3EA002C3">
      <w:pPr>
        <w:spacing w:line="360" w:lineRule="auto"/>
        <w:jc w:val="center"/>
        <w:rPr>
          <w:rFonts w:ascii="宋体" w:hAnsi="宋体" w:eastAsia="宋体" w:cs="宋体"/>
          <w:b/>
          <w:bCs/>
          <w:color w:val="auto"/>
          <w:kern w:val="0"/>
          <w:szCs w:val="21"/>
          <w:highlight w:val="none"/>
        </w:rPr>
      </w:pPr>
      <w:r>
        <w:rPr>
          <w:rFonts w:hint="eastAsia" w:ascii="宋体" w:hAnsi="宋体" w:eastAsia="宋体" w:cs="宋体"/>
          <w:b/>
          <w:bCs/>
          <w:color w:val="auto"/>
          <w:sz w:val="30"/>
          <w:szCs w:val="30"/>
          <w:highlight w:val="none"/>
          <w:lang w:val="zh-CN"/>
        </w:rPr>
        <w:t>投标报价表</w:t>
      </w:r>
    </w:p>
    <w:p w14:paraId="0D067286">
      <w:pPr>
        <w:spacing w:line="360" w:lineRule="auto"/>
        <w:rPr>
          <w:rFonts w:hint="eastAsia" w:ascii="宋体" w:hAnsi="宋体" w:eastAsia="宋体" w:cs="宋体"/>
          <w:color w:val="auto"/>
          <w:kern w:val="0"/>
          <w:szCs w:val="21"/>
          <w:highlight w:val="none"/>
          <w:u w:val="single"/>
          <w:lang w:eastAsia="zh-CN"/>
        </w:rPr>
      </w:pPr>
      <w:r>
        <w:rPr>
          <w:rFonts w:hint="eastAsia" w:ascii="宋体" w:hAnsi="宋体" w:eastAsia="宋体" w:cs="宋体"/>
          <w:b/>
          <w:bCs/>
          <w:color w:val="auto"/>
          <w:kern w:val="0"/>
          <w:szCs w:val="21"/>
          <w:highlight w:val="none"/>
        </w:rPr>
        <w:t>项目名称：</w:t>
      </w:r>
      <w:r>
        <w:rPr>
          <w:rFonts w:hint="eastAsia" w:ascii="宋体" w:hAnsi="宋体" w:eastAsia="宋体" w:cs="宋体"/>
          <w:color w:val="auto"/>
          <w:kern w:val="0"/>
          <w:szCs w:val="21"/>
          <w:highlight w:val="none"/>
          <w:u w:val="single"/>
          <w:lang w:eastAsia="zh-CN"/>
        </w:rPr>
        <w:t>东莞市水务环境投资控股集团管网有限公司2026年防撞缓冲车采购项目（第四次招标）</w:t>
      </w:r>
    </w:p>
    <w:p w14:paraId="68A367BC">
      <w:pPr>
        <w:spacing w:line="360" w:lineRule="auto"/>
        <w:rPr>
          <w:rFonts w:hint="eastAsia" w:ascii="宋体" w:hAnsi="宋体" w:eastAsia="宋体" w:cs="宋体"/>
          <w:color w:val="auto"/>
          <w:kern w:val="0"/>
          <w:szCs w:val="21"/>
          <w:highlight w:val="none"/>
          <w:u w:val="single"/>
          <w:lang w:eastAsia="zh-CN"/>
        </w:rPr>
      </w:pPr>
      <w:r>
        <w:rPr>
          <w:rFonts w:hint="eastAsia" w:ascii="宋体" w:hAnsi="宋体" w:eastAsia="宋体" w:cs="宋体"/>
          <w:b/>
          <w:color w:val="auto"/>
          <w:kern w:val="0"/>
          <w:szCs w:val="21"/>
          <w:highlight w:val="none"/>
        </w:rPr>
        <w:t>招标编号：</w:t>
      </w:r>
      <w:r>
        <w:rPr>
          <w:rFonts w:hint="eastAsia" w:ascii="宋体" w:hAnsi="宋体" w:eastAsia="宋体" w:cs="宋体"/>
          <w:b w:val="0"/>
          <w:color w:val="auto"/>
          <w:kern w:val="0"/>
          <w:szCs w:val="21"/>
          <w:highlight w:val="none"/>
          <w:u w:val="single"/>
        </w:rPr>
        <w:t>TC269400L</w:t>
      </w:r>
    </w:p>
    <w:tbl>
      <w:tblPr>
        <w:tblStyle w:val="36"/>
        <w:tblW w:w="5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1357"/>
        <w:gridCol w:w="1357"/>
        <w:gridCol w:w="1171"/>
        <w:gridCol w:w="1171"/>
        <w:gridCol w:w="653"/>
        <w:gridCol w:w="701"/>
        <w:gridCol w:w="3217"/>
      </w:tblGrid>
      <w:tr w14:paraId="32A7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4361947">
            <w:pPr>
              <w:pStyle w:val="32"/>
              <w:widowControl w:val="0"/>
              <w:autoSpaceDE w:val="0"/>
              <w:snapToGrid w:val="0"/>
              <w:spacing w:before="0" w:beforeAutospacing="0" w:after="0" w:afterAutospacing="0"/>
              <w:jc w:val="center"/>
              <w:rPr>
                <w:rFonts w:eastAsia="宋体" w:cs="宋体"/>
                <w:b/>
                <w:color w:val="auto"/>
                <w:sz w:val="21"/>
                <w:szCs w:val="21"/>
                <w:highlight w:val="none"/>
              </w:rPr>
            </w:pPr>
            <w:r>
              <w:rPr>
                <w:rFonts w:hint="eastAsia" w:eastAsia="宋体" w:cs="宋体"/>
                <w:b/>
                <w:color w:val="auto"/>
                <w:sz w:val="21"/>
                <w:szCs w:val="21"/>
                <w:highlight w:val="none"/>
                <w:lang w:bidi="ar"/>
              </w:rPr>
              <w:t>序号</w:t>
            </w:r>
          </w:p>
        </w:tc>
        <w:tc>
          <w:tcPr>
            <w:tcW w:w="652" w:type="pct"/>
            <w:tcBorders>
              <w:top w:val="single" w:color="auto" w:sz="4" w:space="0"/>
              <w:left w:val="nil"/>
              <w:bottom w:val="single" w:color="auto" w:sz="4" w:space="0"/>
              <w:right w:val="single" w:color="auto" w:sz="4" w:space="0"/>
            </w:tcBorders>
            <w:shd w:val="clear" w:color="auto" w:fill="auto"/>
            <w:vAlign w:val="center"/>
          </w:tcPr>
          <w:p w14:paraId="2CE16219">
            <w:pPr>
              <w:pStyle w:val="32"/>
              <w:widowControl w:val="0"/>
              <w:autoSpaceDE w:val="0"/>
              <w:snapToGrid w:val="0"/>
              <w:spacing w:before="0" w:beforeAutospacing="0" w:after="0" w:afterAutospacing="0"/>
              <w:jc w:val="center"/>
              <w:rPr>
                <w:rFonts w:eastAsia="宋体" w:cs="宋体"/>
                <w:b/>
                <w:color w:val="auto"/>
                <w:sz w:val="21"/>
                <w:szCs w:val="21"/>
                <w:highlight w:val="none"/>
              </w:rPr>
            </w:pPr>
            <w:r>
              <w:rPr>
                <w:rFonts w:hint="eastAsia" w:eastAsia="宋体" w:cs="宋体"/>
                <w:b/>
                <w:color w:val="auto"/>
                <w:sz w:val="21"/>
                <w:szCs w:val="21"/>
                <w:highlight w:val="none"/>
                <w:lang w:bidi="ar"/>
              </w:rPr>
              <w:t>货物名称</w:t>
            </w:r>
          </w:p>
        </w:tc>
        <w:tc>
          <w:tcPr>
            <w:tcW w:w="652" w:type="pct"/>
            <w:tcBorders>
              <w:top w:val="single" w:color="auto" w:sz="4" w:space="0"/>
              <w:left w:val="nil"/>
              <w:bottom w:val="single" w:color="auto" w:sz="4" w:space="0"/>
              <w:right w:val="single" w:color="auto" w:sz="4" w:space="0"/>
            </w:tcBorders>
            <w:shd w:val="clear" w:color="auto" w:fill="auto"/>
            <w:vAlign w:val="center"/>
          </w:tcPr>
          <w:p w14:paraId="6337AD8D">
            <w:pPr>
              <w:pStyle w:val="32"/>
              <w:widowControl w:val="0"/>
              <w:autoSpaceDE w:val="0"/>
              <w:snapToGrid w:val="0"/>
              <w:spacing w:before="0" w:beforeAutospacing="0" w:after="0" w:afterAutospacing="0"/>
              <w:jc w:val="center"/>
              <w:rPr>
                <w:rFonts w:eastAsia="宋体" w:cs="宋体"/>
                <w:b/>
                <w:color w:val="auto"/>
                <w:sz w:val="21"/>
                <w:szCs w:val="21"/>
                <w:highlight w:val="none"/>
              </w:rPr>
            </w:pPr>
            <w:r>
              <w:rPr>
                <w:rFonts w:hint="eastAsia" w:eastAsia="宋体" w:cs="宋体"/>
                <w:b/>
                <w:color w:val="auto"/>
                <w:sz w:val="21"/>
                <w:szCs w:val="21"/>
                <w:highlight w:val="none"/>
                <w:lang w:bidi="ar"/>
              </w:rPr>
              <w:t>品牌</w:t>
            </w:r>
          </w:p>
        </w:tc>
        <w:tc>
          <w:tcPr>
            <w:tcW w:w="563" w:type="pct"/>
            <w:tcBorders>
              <w:top w:val="single" w:color="auto" w:sz="4" w:space="0"/>
              <w:left w:val="nil"/>
              <w:bottom w:val="single" w:color="auto" w:sz="4" w:space="0"/>
              <w:right w:val="single" w:color="auto" w:sz="4" w:space="0"/>
            </w:tcBorders>
            <w:shd w:val="clear" w:color="auto" w:fill="auto"/>
            <w:vAlign w:val="center"/>
          </w:tcPr>
          <w:p w14:paraId="12F574B5">
            <w:pPr>
              <w:pStyle w:val="32"/>
              <w:widowControl w:val="0"/>
              <w:autoSpaceDE w:val="0"/>
              <w:snapToGrid w:val="0"/>
              <w:spacing w:before="0" w:beforeAutospacing="0" w:after="0" w:afterAutospacing="0"/>
              <w:jc w:val="center"/>
              <w:rPr>
                <w:rFonts w:eastAsia="宋体" w:cs="宋体"/>
                <w:b/>
                <w:color w:val="auto"/>
                <w:sz w:val="21"/>
                <w:szCs w:val="21"/>
                <w:highlight w:val="none"/>
              </w:rPr>
            </w:pPr>
            <w:r>
              <w:rPr>
                <w:rFonts w:hint="eastAsia" w:eastAsia="宋体" w:cs="宋体"/>
                <w:b/>
                <w:color w:val="auto"/>
                <w:sz w:val="21"/>
                <w:szCs w:val="21"/>
                <w:highlight w:val="none"/>
                <w:lang w:bidi="ar"/>
              </w:rPr>
              <w:t>产地</w:t>
            </w:r>
          </w:p>
        </w:tc>
        <w:tc>
          <w:tcPr>
            <w:tcW w:w="563" w:type="pct"/>
            <w:tcBorders>
              <w:top w:val="single" w:color="auto" w:sz="4" w:space="0"/>
              <w:left w:val="nil"/>
              <w:bottom w:val="single" w:color="auto" w:sz="4" w:space="0"/>
              <w:right w:val="single" w:color="auto" w:sz="4" w:space="0"/>
            </w:tcBorders>
            <w:shd w:val="clear" w:color="auto" w:fill="auto"/>
            <w:vAlign w:val="center"/>
          </w:tcPr>
          <w:p w14:paraId="0D90C7BA">
            <w:pPr>
              <w:pStyle w:val="32"/>
              <w:widowControl w:val="0"/>
              <w:autoSpaceDE w:val="0"/>
              <w:snapToGrid w:val="0"/>
              <w:spacing w:before="0" w:beforeAutospacing="0" w:after="0" w:afterAutospacing="0"/>
              <w:jc w:val="center"/>
              <w:rPr>
                <w:rFonts w:eastAsia="宋体" w:cs="宋体"/>
                <w:b/>
                <w:color w:val="auto"/>
                <w:sz w:val="21"/>
                <w:szCs w:val="21"/>
                <w:highlight w:val="none"/>
              </w:rPr>
            </w:pPr>
            <w:r>
              <w:rPr>
                <w:rFonts w:hint="eastAsia" w:eastAsia="宋体" w:cs="宋体"/>
                <w:b/>
                <w:color w:val="auto"/>
                <w:sz w:val="21"/>
                <w:szCs w:val="21"/>
                <w:highlight w:val="none"/>
                <w:lang w:bidi="ar"/>
              </w:rPr>
              <w:t>型号</w:t>
            </w:r>
          </w:p>
        </w:tc>
        <w:tc>
          <w:tcPr>
            <w:tcW w:w="314" w:type="pct"/>
            <w:tcBorders>
              <w:top w:val="single" w:color="auto" w:sz="4" w:space="0"/>
              <w:left w:val="nil"/>
              <w:bottom w:val="single" w:color="auto" w:sz="4" w:space="0"/>
              <w:right w:val="single" w:color="auto" w:sz="4" w:space="0"/>
            </w:tcBorders>
            <w:shd w:val="clear" w:color="auto" w:fill="auto"/>
            <w:vAlign w:val="center"/>
          </w:tcPr>
          <w:p w14:paraId="1F221166">
            <w:pPr>
              <w:pStyle w:val="32"/>
              <w:widowControl w:val="0"/>
              <w:autoSpaceDE w:val="0"/>
              <w:snapToGrid w:val="0"/>
              <w:spacing w:before="0" w:beforeAutospacing="0" w:after="0" w:afterAutospacing="0"/>
              <w:jc w:val="center"/>
              <w:rPr>
                <w:rFonts w:eastAsia="宋体" w:cs="宋体"/>
                <w:b/>
                <w:color w:val="auto"/>
                <w:sz w:val="21"/>
                <w:szCs w:val="21"/>
                <w:highlight w:val="none"/>
              </w:rPr>
            </w:pPr>
            <w:r>
              <w:rPr>
                <w:rFonts w:hint="eastAsia" w:eastAsia="宋体" w:cs="宋体"/>
                <w:b/>
                <w:color w:val="auto"/>
                <w:sz w:val="21"/>
                <w:szCs w:val="21"/>
                <w:highlight w:val="none"/>
                <w:lang w:bidi="ar"/>
              </w:rPr>
              <w:t>数量</w:t>
            </w:r>
          </w:p>
        </w:tc>
        <w:tc>
          <w:tcPr>
            <w:tcW w:w="334" w:type="pct"/>
            <w:tcBorders>
              <w:top w:val="single" w:color="auto" w:sz="4" w:space="0"/>
              <w:left w:val="nil"/>
              <w:bottom w:val="single" w:color="auto" w:sz="4" w:space="0"/>
              <w:right w:val="single" w:color="auto" w:sz="4" w:space="0"/>
            </w:tcBorders>
            <w:shd w:val="clear" w:color="auto" w:fill="auto"/>
            <w:vAlign w:val="center"/>
          </w:tcPr>
          <w:p w14:paraId="4D0B11FB">
            <w:pPr>
              <w:pStyle w:val="32"/>
              <w:widowControl w:val="0"/>
              <w:autoSpaceDE w:val="0"/>
              <w:snapToGrid w:val="0"/>
              <w:spacing w:before="0" w:beforeAutospacing="0" w:after="0" w:afterAutospacing="0"/>
              <w:jc w:val="center"/>
              <w:rPr>
                <w:rFonts w:eastAsia="宋体" w:cs="宋体"/>
                <w:b/>
                <w:color w:val="auto"/>
                <w:sz w:val="21"/>
                <w:szCs w:val="21"/>
                <w:highlight w:val="none"/>
              </w:rPr>
            </w:pPr>
            <w:r>
              <w:rPr>
                <w:rFonts w:hint="eastAsia" w:eastAsia="宋体" w:cs="宋体"/>
                <w:b/>
                <w:color w:val="auto"/>
                <w:sz w:val="21"/>
                <w:szCs w:val="21"/>
                <w:highlight w:val="none"/>
                <w:lang w:bidi="ar"/>
              </w:rPr>
              <w:t>单位</w:t>
            </w:r>
          </w:p>
        </w:tc>
        <w:tc>
          <w:tcPr>
            <w:tcW w:w="1546" w:type="pct"/>
            <w:tcBorders>
              <w:top w:val="single" w:color="auto" w:sz="4" w:space="0"/>
              <w:left w:val="nil"/>
              <w:bottom w:val="single" w:color="auto" w:sz="4" w:space="0"/>
              <w:right w:val="single" w:color="auto" w:sz="4" w:space="0"/>
            </w:tcBorders>
            <w:shd w:val="clear" w:color="auto" w:fill="auto"/>
            <w:vAlign w:val="center"/>
          </w:tcPr>
          <w:p w14:paraId="6F3E9A46">
            <w:pPr>
              <w:autoSpaceDE w:val="0"/>
              <w:autoSpaceDN w:val="0"/>
              <w:adjustRightInd w:val="0"/>
              <w:jc w:val="center"/>
              <w:rPr>
                <w:rFonts w:ascii="宋体" w:hAnsi="宋体" w:eastAsia="宋体" w:cs="宋体"/>
                <w:b/>
                <w:color w:val="auto"/>
                <w:szCs w:val="21"/>
                <w:highlight w:val="none"/>
              </w:rPr>
            </w:pPr>
            <w:r>
              <w:rPr>
                <w:rFonts w:hint="eastAsia" w:ascii="宋体" w:hAnsi="宋体" w:eastAsia="宋体" w:cs="宋体"/>
                <w:b/>
                <w:color w:val="auto"/>
                <w:szCs w:val="21"/>
                <w:highlight w:val="none"/>
                <w:lang w:bidi="ar"/>
              </w:rPr>
              <w:t>综合单价（元，含税）</w:t>
            </w:r>
          </w:p>
        </w:tc>
      </w:tr>
      <w:tr w14:paraId="2435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1612C091">
            <w:pPr>
              <w:widowControl/>
              <w:autoSpaceDE w:val="0"/>
              <w:autoSpaceDN w:val="0"/>
              <w:adjustRightInd w:val="0"/>
              <w:jc w:val="center"/>
              <w:rPr>
                <w:rFonts w:ascii="宋体" w:hAnsi="宋体" w:eastAsia="宋体" w:cs="宋体"/>
                <w:b/>
                <w:color w:val="auto"/>
                <w:szCs w:val="21"/>
                <w:highlight w:val="none"/>
              </w:rPr>
            </w:pPr>
            <w:r>
              <w:rPr>
                <w:rFonts w:hint="eastAsia" w:ascii="宋体" w:hAnsi="宋体" w:eastAsia="宋体" w:cs="宋体"/>
                <w:b/>
                <w:color w:val="auto"/>
                <w:szCs w:val="21"/>
                <w:highlight w:val="none"/>
                <w:lang w:bidi="ar"/>
              </w:rPr>
              <w:t>1</w:t>
            </w:r>
          </w:p>
        </w:tc>
        <w:tc>
          <w:tcPr>
            <w:tcW w:w="652" w:type="pct"/>
            <w:tcBorders>
              <w:top w:val="single" w:color="auto" w:sz="4" w:space="0"/>
              <w:left w:val="nil"/>
              <w:bottom w:val="single" w:color="auto" w:sz="4" w:space="0"/>
              <w:right w:val="single" w:color="auto" w:sz="4" w:space="0"/>
            </w:tcBorders>
            <w:shd w:val="clear" w:color="auto" w:fill="auto"/>
            <w:vAlign w:val="center"/>
          </w:tcPr>
          <w:p w14:paraId="7164FE09">
            <w:pPr>
              <w:pStyle w:val="32"/>
              <w:widowControl w:val="0"/>
              <w:autoSpaceDE w:val="0"/>
              <w:snapToGrid w:val="0"/>
              <w:spacing w:before="0" w:beforeAutospacing="0" w:after="0" w:afterAutospacing="0"/>
              <w:jc w:val="center"/>
              <w:rPr>
                <w:rFonts w:hint="default" w:eastAsia="宋体" w:cs="宋体"/>
                <w:color w:val="auto"/>
                <w:sz w:val="21"/>
                <w:szCs w:val="21"/>
                <w:highlight w:val="none"/>
                <w:lang w:val="en-US" w:eastAsia="zh-CN"/>
              </w:rPr>
            </w:pPr>
            <w:r>
              <w:rPr>
                <w:rFonts w:hint="eastAsia" w:eastAsia="宋体" w:cs="宋体"/>
                <w:color w:val="auto"/>
                <w:sz w:val="21"/>
                <w:szCs w:val="21"/>
                <w:highlight w:val="none"/>
                <w:lang w:val="en-US" w:eastAsia="zh-CN"/>
              </w:rPr>
              <w:t>防撞缓冲车</w:t>
            </w:r>
          </w:p>
        </w:tc>
        <w:tc>
          <w:tcPr>
            <w:tcW w:w="652" w:type="pct"/>
            <w:tcBorders>
              <w:top w:val="single" w:color="auto" w:sz="4" w:space="0"/>
              <w:left w:val="nil"/>
              <w:bottom w:val="single" w:color="auto" w:sz="4" w:space="0"/>
              <w:right w:val="single" w:color="auto" w:sz="4" w:space="0"/>
            </w:tcBorders>
            <w:shd w:val="clear" w:color="auto" w:fill="auto"/>
            <w:vAlign w:val="center"/>
          </w:tcPr>
          <w:p w14:paraId="1708A956">
            <w:pPr>
              <w:pStyle w:val="32"/>
              <w:widowControl w:val="0"/>
              <w:autoSpaceDE w:val="0"/>
              <w:snapToGrid w:val="0"/>
              <w:spacing w:before="0" w:beforeAutospacing="0" w:after="0" w:afterAutospacing="0"/>
              <w:jc w:val="center"/>
              <w:rPr>
                <w:rFonts w:eastAsia="宋体" w:cs="宋体"/>
                <w:color w:val="auto"/>
                <w:sz w:val="21"/>
                <w:szCs w:val="21"/>
                <w:highlight w:val="none"/>
              </w:rPr>
            </w:pPr>
          </w:p>
        </w:tc>
        <w:tc>
          <w:tcPr>
            <w:tcW w:w="563" w:type="pct"/>
            <w:tcBorders>
              <w:top w:val="single" w:color="auto" w:sz="4" w:space="0"/>
              <w:left w:val="nil"/>
              <w:bottom w:val="single" w:color="auto" w:sz="4" w:space="0"/>
              <w:right w:val="single" w:color="auto" w:sz="4" w:space="0"/>
            </w:tcBorders>
            <w:shd w:val="clear" w:color="auto" w:fill="auto"/>
            <w:vAlign w:val="center"/>
          </w:tcPr>
          <w:p w14:paraId="20C9C4EE">
            <w:pPr>
              <w:pStyle w:val="32"/>
              <w:widowControl w:val="0"/>
              <w:autoSpaceDE w:val="0"/>
              <w:snapToGrid w:val="0"/>
              <w:spacing w:before="0" w:beforeAutospacing="0" w:after="0" w:afterAutospacing="0"/>
              <w:jc w:val="center"/>
              <w:rPr>
                <w:rFonts w:eastAsia="宋体" w:cs="宋体"/>
                <w:color w:val="auto"/>
                <w:sz w:val="21"/>
                <w:szCs w:val="21"/>
                <w:highlight w:val="none"/>
              </w:rPr>
            </w:pPr>
          </w:p>
        </w:tc>
        <w:tc>
          <w:tcPr>
            <w:tcW w:w="563" w:type="pct"/>
            <w:tcBorders>
              <w:top w:val="single" w:color="auto" w:sz="4" w:space="0"/>
              <w:left w:val="nil"/>
              <w:bottom w:val="single" w:color="auto" w:sz="4" w:space="0"/>
              <w:right w:val="single" w:color="auto" w:sz="4" w:space="0"/>
            </w:tcBorders>
            <w:shd w:val="clear" w:color="auto" w:fill="auto"/>
            <w:vAlign w:val="center"/>
          </w:tcPr>
          <w:p w14:paraId="0D4790DC">
            <w:pPr>
              <w:pStyle w:val="32"/>
              <w:widowControl w:val="0"/>
              <w:autoSpaceDE w:val="0"/>
              <w:snapToGrid w:val="0"/>
              <w:spacing w:before="0" w:beforeAutospacing="0" w:after="0" w:afterAutospacing="0"/>
              <w:jc w:val="center"/>
              <w:rPr>
                <w:rFonts w:eastAsia="宋体" w:cs="宋体"/>
                <w:color w:val="auto"/>
                <w:sz w:val="21"/>
                <w:szCs w:val="21"/>
                <w:highlight w:val="none"/>
              </w:rPr>
            </w:pPr>
          </w:p>
        </w:tc>
        <w:tc>
          <w:tcPr>
            <w:tcW w:w="314" w:type="pct"/>
            <w:tcBorders>
              <w:top w:val="single" w:color="auto" w:sz="4" w:space="0"/>
              <w:left w:val="nil"/>
              <w:bottom w:val="single" w:color="auto" w:sz="4" w:space="0"/>
              <w:right w:val="single" w:color="auto" w:sz="4" w:space="0"/>
            </w:tcBorders>
            <w:shd w:val="clear" w:color="auto" w:fill="auto"/>
            <w:vAlign w:val="center"/>
          </w:tcPr>
          <w:p w14:paraId="25499320">
            <w:pPr>
              <w:widowControl/>
              <w:autoSpaceDE w:val="0"/>
              <w:autoSpaceDN w:val="0"/>
              <w:adjustRightIn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w:t>
            </w:r>
          </w:p>
        </w:tc>
        <w:tc>
          <w:tcPr>
            <w:tcW w:w="334" w:type="pct"/>
            <w:tcBorders>
              <w:top w:val="single" w:color="auto" w:sz="4" w:space="0"/>
              <w:left w:val="nil"/>
              <w:bottom w:val="single" w:color="auto" w:sz="4" w:space="0"/>
              <w:right w:val="single" w:color="auto" w:sz="4" w:space="0"/>
            </w:tcBorders>
            <w:shd w:val="clear" w:color="auto" w:fill="auto"/>
            <w:vAlign w:val="center"/>
          </w:tcPr>
          <w:p w14:paraId="4D876DCB">
            <w:pPr>
              <w:widowControl/>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 w:val="20"/>
                <w:szCs w:val="20"/>
                <w:highlight w:val="none"/>
                <w:lang w:bidi="ar"/>
              </w:rPr>
              <w:t>辆</w:t>
            </w:r>
          </w:p>
        </w:tc>
        <w:tc>
          <w:tcPr>
            <w:tcW w:w="1546" w:type="pct"/>
            <w:tcBorders>
              <w:top w:val="single" w:color="auto" w:sz="4" w:space="0"/>
              <w:left w:val="nil"/>
              <w:bottom w:val="single" w:color="auto" w:sz="4" w:space="0"/>
              <w:right w:val="single" w:color="auto" w:sz="4" w:space="0"/>
            </w:tcBorders>
            <w:shd w:val="clear" w:color="auto" w:fill="auto"/>
            <w:vAlign w:val="center"/>
          </w:tcPr>
          <w:p w14:paraId="7AA23573">
            <w:pPr>
              <w:pStyle w:val="32"/>
              <w:widowControl w:val="0"/>
              <w:autoSpaceDE w:val="0"/>
              <w:snapToGrid w:val="0"/>
              <w:spacing w:before="0" w:beforeAutospacing="0" w:after="0" w:afterAutospacing="0"/>
              <w:ind w:firstLine="630" w:firstLineChars="300"/>
              <w:jc w:val="both"/>
              <w:rPr>
                <w:rFonts w:eastAsia="宋体" w:cs="宋体"/>
                <w:color w:val="auto"/>
                <w:sz w:val="21"/>
                <w:szCs w:val="21"/>
                <w:highlight w:val="none"/>
              </w:rPr>
            </w:pPr>
            <w:r>
              <w:rPr>
                <w:rFonts w:hint="eastAsia" w:eastAsia="宋体" w:cs="宋体"/>
                <w:color w:val="auto"/>
                <w:sz w:val="21"/>
                <w:szCs w:val="21"/>
                <w:highlight w:val="none"/>
              </w:rPr>
              <w:t>小写：¥</w:t>
            </w:r>
            <w:r>
              <w:rPr>
                <w:rFonts w:hint="eastAsia" w:eastAsia="宋体" w:cs="宋体"/>
                <w:color w:val="auto"/>
                <w:sz w:val="21"/>
                <w:szCs w:val="21"/>
                <w:highlight w:val="none"/>
                <w:u w:val="single"/>
              </w:rPr>
              <w:t xml:space="preserve">         </w:t>
            </w:r>
          </w:p>
        </w:tc>
      </w:tr>
      <w:tr w14:paraId="26DA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3453"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060C61E0">
            <w:pPr>
              <w:autoSpaceDE w:val="0"/>
              <w:autoSpaceDN w:val="0"/>
              <w:adjustRightInd w:val="0"/>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投标总报价（元，含税）</w:t>
            </w:r>
          </w:p>
        </w:tc>
        <w:tc>
          <w:tcPr>
            <w:tcW w:w="1546" w:type="pct"/>
            <w:tcBorders>
              <w:top w:val="single" w:color="auto" w:sz="4" w:space="0"/>
              <w:left w:val="nil"/>
              <w:bottom w:val="single" w:color="auto" w:sz="4" w:space="0"/>
              <w:right w:val="single" w:color="auto" w:sz="4" w:space="0"/>
            </w:tcBorders>
            <w:shd w:val="clear" w:color="auto" w:fill="auto"/>
            <w:vAlign w:val="center"/>
          </w:tcPr>
          <w:p w14:paraId="00FA5EB3">
            <w:pPr>
              <w:pStyle w:val="32"/>
              <w:widowControl w:val="0"/>
              <w:autoSpaceDE w:val="0"/>
              <w:snapToGrid w:val="0"/>
              <w:spacing w:before="120" w:beforeLines="50" w:beforeAutospacing="0" w:after="0" w:afterAutospacing="0"/>
              <w:rPr>
                <w:rFonts w:eastAsia="宋体" w:cs="宋体"/>
                <w:color w:val="auto"/>
                <w:sz w:val="21"/>
                <w:szCs w:val="21"/>
                <w:highlight w:val="none"/>
              </w:rPr>
            </w:pPr>
            <w:r>
              <w:rPr>
                <w:rFonts w:hint="eastAsia" w:eastAsia="宋体" w:cs="宋体"/>
                <w:color w:val="auto"/>
                <w:sz w:val="21"/>
                <w:szCs w:val="21"/>
                <w:highlight w:val="none"/>
                <w:lang w:bidi="ar"/>
              </w:rPr>
              <w:t>（大写：人民币</w:t>
            </w:r>
            <w:r>
              <w:rPr>
                <w:rFonts w:hint="eastAsia" w:eastAsia="宋体" w:cs="宋体"/>
                <w:color w:val="auto"/>
                <w:sz w:val="21"/>
                <w:szCs w:val="21"/>
                <w:highlight w:val="none"/>
                <w:u w:val="single"/>
                <w:lang w:bidi="ar"/>
              </w:rPr>
              <w:t xml:space="preserve">             </w:t>
            </w:r>
            <w:r>
              <w:rPr>
                <w:rFonts w:hint="eastAsia" w:eastAsia="宋体" w:cs="宋体"/>
                <w:color w:val="auto"/>
                <w:sz w:val="21"/>
                <w:szCs w:val="21"/>
                <w:highlight w:val="none"/>
                <w:lang w:bidi="ar"/>
              </w:rPr>
              <w:t>）</w:t>
            </w:r>
          </w:p>
          <w:p w14:paraId="3B24F3DC">
            <w:pPr>
              <w:pStyle w:val="32"/>
              <w:widowControl w:val="0"/>
              <w:autoSpaceDE w:val="0"/>
              <w:snapToGrid w:val="0"/>
              <w:spacing w:before="120" w:beforeLines="50" w:beforeAutospacing="0" w:after="0" w:afterAutospacing="0"/>
              <w:rPr>
                <w:rFonts w:eastAsia="宋体" w:cs="宋体"/>
                <w:color w:val="auto"/>
                <w:sz w:val="21"/>
                <w:szCs w:val="21"/>
                <w:highlight w:val="none"/>
              </w:rPr>
            </w:pPr>
            <w:r>
              <w:rPr>
                <w:rFonts w:hint="eastAsia" w:eastAsia="宋体" w:cs="宋体"/>
                <w:color w:val="auto"/>
                <w:sz w:val="21"/>
                <w:szCs w:val="21"/>
                <w:highlight w:val="none"/>
                <w:lang w:bidi="ar"/>
              </w:rPr>
              <w:t>（小写：¥</w:t>
            </w:r>
            <w:r>
              <w:rPr>
                <w:rFonts w:hint="eastAsia" w:eastAsia="宋体" w:cs="宋体"/>
                <w:color w:val="auto"/>
                <w:sz w:val="21"/>
                <w:szCs w:val="21"/>
                <w:highlight w:val="none"/>
                <w:u w:val="single"/>
                <w:lang w:bidi="ar"/>
              </w:rPr>
              <w:t xml:space="preserve">             </w:t>
            </w:r>
            <w:r>
              <w:rPr>
                <w:rFonts w:hint="eastAsia" w:eastAsia="宋体" w:cs="宋体"/>
                <w:color w:val="auto"/>
                <w:sz w:val="21"/>
                <w:szCs w:val="21"/>
                <w:highlight w:val="none"/>
                <w:lang w:bidi="ar"/>
              </w:rPr>
              <w:t>）</w:t>
            </w:r>
          </w:p>
        </w:tc>
      </w:tr>
    </w:tbl>
    <w:p w14:paraId="08A40C9B">
      <w:pPr>
        <w:rPr>
          <w:rFonts w:ascii="宋体" w:hAnsi="宋体" w:eastAsia="宋体" w:cs="宋体"/>
          <w:color w:val="auto"/>
          <w:kern w:val="0"/>
          <w:sz w:val="20"/>
          <w:szCs w:val="21"/>
          <w:highlight w:val="none"/>
        </w:rPr>
      </w:pPr>
    </w:p>
    <w:p w14:paraId="00AFD2C2">
      <w:pPr>
        <w:autoSpaceDE w:val="0"/>
        <w:autoSpaceDN w:val="0"/>
        <w:adjustRightInd w:val="0"/>
        <w:spacing w:line="360" w:lineRule="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p w14:paraId="1C867485">
      <w:pPr>
        <w:autoSpaceDE w:val="0"/>
        <w:autoSpaceDN w:val="0"/>
        <w:adjustRightInd w:val="0"/>
        <w:snapToGrid w:val="0"/>
        <w:spacing w:line="360" w:lineRule="auto"/>
        <w:ind w:left="607" w:leftChars="18" w:hanging="569" w:hangingChars="270"/>
        <w:jc w:val="left"/>
        <w:rPr>
          <w:rFonts w:ascii="宋体" w:hAnsi="宋体" w:eastAsia="宋体" w:cs="Times New Roman"/>
          <w:color w:val="auto"/>
          <w:kern w:val="0"/>
          <w:szCs w:val="21"/>
          <w:highlight w:val="none"/>
        </w:rPr>
      </w:pPr>
      <w:r>
        <w:rPr>
          <w:rFonts w:hint="eastAsia" w:ascii="宋体" w:hAnsi="宋体" w:eastAsia="宋体" w:cs="Times New Roman"/>
          <w:b/>
          <w:bCs/>
          <w:color w:val="auto"/>
          <w:kern w:val="0"/>
          <w:szCs w:val="21"/>
          <w:highlight w:val="none"/>
        </w:rPr>
        <w:t>（1）投标人的综合单价或投标总报价高于本项目采购限价的，该投标人的投标文件将被视为无效投标</w:t>
      </w:r>
      <w:r>
        <w:rPr>
          <w:rFonts w:hint="eastAsia" w:ascii="宋体" w:hAnsi="宋体" w:eastAsia="宋体" w:cs="Times New Roman"/>
          <w:color w:val="auto"/>
          <w:kern w:val="0"/>
          <w:szCs w:val="21"/>
          <w:highlight w:val="none"/>
        </w:rPr>
        <w:t>。</w:t>
      </w:r>
    </w:p>
    <w:p w14:paraId="7AD38D34">
      <w:pPr>
        <w:autoSpaceDE w:val="0"/>
        <w:autoSpaceDN w:val="0"/>
        <w:adjustRightInd w:val="0"/>
        <w:snapToGrid w:val="0"/>
        <w:spacing w:line="360" w:lineRule="auto"/>
        <w:ind w:left="605" w:leftChars="18" w:hanging="567" w:hangingChars="270"/>
        <w:jc w:val="left"/>
        <w:rPr>
          <w:rFonts w:ascii="宋体" w:hAnsi="宋体" w:eastAsia="宋体" w:cs="Times New Roman"/>
          <w:b/>
          <w:bCs/>
          <w:color w:val="auto"/>
          <w:kern w:val="0"/>
          <w:szCs w:val="21"/>
          <w:highlight w:val="none"/>
        </w:rPr>
      </w:pPr>
      <w:r>
        <w:rPr>
          <w:rFonts w:hint="eastAsia" w:ascii="宋体" w:hAnsi="宋体" w:eastAsia="宋体" w:cs="Times New Roman"/>
          <w:b w:val="0"/>
          <w:bCs w:val="0"/>
          <w:color w:val="auto"/>
          <w:kern w:val="0"/>
          <w:szCs w:val="21"/>
          <w:highlight w:val="none"/>
        </w:rPr>
        <w:t>（</w:t>
      </w:r>
      <w:r>
        <w:rPr>
          <w:rFonts w:ascii="宋体" w:hAnsi="宋体" w:eastAsia="宋体" w:cs="Times New Roman"/>
          <w:b w:val="0"/>
          <w:bCs w:val="0"/>
          <w:color w:val="auto"/>
          <w:kern w:val="0"/>
          <w:szCs w:val="21"/>
          <w:highlight w:val="none"/>
        </w:rPr>
        <w:t>2</w:t>
      </w:r>
      <w:r>
        <w:rPr>
          <w:rFonts w:hint="eastAsia" w:ascii="宋体" w:hAnsi="宋体" w:eastAsia="宋体" w:cs="Times New Roman"/>
          <w:b w:val="0"/>
          <w:bCs w:val="0"/>
          <w:color w:val="auto"/>
          <w:kern w:val="0"/>
          <w:szCs w:val="21"/>
          <w:highlight w:val="none"/>
        </w:rPr>
        <w:t>）</w:t>
      </w:r>
      <w:r>
        <w:rPr>
          <w:rFonts w:hint="eastAsia" w:ascii="宋体" w:hAnsi="宋体" w:eastAsia="宋体" w:cs="Times New Roman"/>
          <w:color w:val="auto"/>
          <w:kern w:val="0"/>
          <w:szCs w:val="21"/>
          <w:highlight w:val="none"/>
        </w:rPr>
        <w:t>投标总报价大写金额和小写金额不一致的，以大写金额为准；投标报价表内投标总报价金额与按综合单价计算的总金额不一致的，以综合单价计算结果为准，综合单价金额小数点有明显错位的，应以总价为准，并修正综合单价；对不同文字文本投标文件的解释发生异议的，以中文文本为准</w:t>
      </w:r>
      <w:r>
        <w:rPr>
          <w:rFonts w:hint="eastAsia" w:ascii="宋体" w:hAnsi="宋体" w:eastAsia="宋体" w:cs="Times New Roman"/>
          <w:b w:val="0"/>
          <w:bCs w:val="0"/>
          <w:color w:val="auto"/>
          <w:kern w:val="0"/>
          <w:szCs w:val="21"/>
          <w:highlight w:val="none"/>
        </w:rPr>
        <w:t>。</w:t>
      </w:r>
    </w:p>
    <w:p w14:paraId="0ADA84E4">
      <w:pPr>
        <w:autoSpaceDE w:val="0"/>
        <w:autoSpaceDN w:val="0"/>
        <w:adjustRightInd w:val="0"/>
        <w:snapToGrid w:val="0"/>
        <w:spacing w:line="360" w:lineRule="auto"/>
        <w:ind w:left="605" w:leftChars="18" w:hanging="567" w:hangingChars="270"/>
        <w:jc w:val="left"/>
        <w:rPr>
          <w:rFonts w:ascii="宋体" w:hAnsi="宋体" w:eastAsia="宋体" w:cs="Times New Roman"/>
          <w:b/>
          <w:bCs/>
          <w:color w:val="auto"/>
          <w:kern w:val="0"/>
          <w:szCs w:val="21"/>
          <w:highlight w:val="none"/>
          <w:lang w:val="zh-CN"/>
        </w:rPr>
      </w:pP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val="en-US" w:eastAsia="zh-CN"/>
        </w:rPr>
        <w:t>3</w:t>
      </w:r>
      <w:r>
        <w:rPr>
          <w:rFonts w:hint="eastAsia" w:ascii="宋体" w:hAnsi="宋体" w:eastAsia="宋体" w:cs="Times New Roman"/>
          <w:color w:val="auto"/>
          <w:kern w:val="0"/>
          <w:szCs w:val="21"/>
          <w:highlight w:val="none"/>
        </w:rPr>
        <w:t>）</w:t>
      </w:r>
      <w:r>
        <w:rPr>
          <w:rFonts w:hint="eastAsia" w:ascii="宋体" w:hAnsi="宋体" w:eastAsia="宋体" w:cs="Times New Roman"/>
          <w:b/>
          <w:bCs/>
          <w:color w:val="auto"/>
          <w:kern w:val="0"/>
          <w:szCs w:val="21"/>
          <w:highlight w:val="none"/>
          <w:u w:val="single"/>
          <w:lang w:val="zh-CN"/>
        </w:rPr>
        <w:t>本表一式二份，一份随唱标信封一起提交，一份编入投标文件商务文件</w:t>
      </w:r>
      <w:r>
        <w:rPr>
          <w:rFonts w:hint="eastAsia" w:ascii="宋体" w:hAnsi="宋体" w:eastAsia="宋体" w:cs="Times New Roman"/>
          <w:b/>
          <w:bCs/>
          <w:color w:val="auto"/>
          <w:kern w:val="0"/>
          <w:szCs w:val="21"/>
          <w:highlight w:val="none"/>
          <w:lang w:val="zh-CN"/>
        </w:rPr>
        <w:t>。</w:t>
      </w:r>
    </w:p>
    <w:p w14:paraId="6CCC11BB">
      <w:pPr>
        <w:autoSpaceDE w:val="0"/>
        <w:autoSpaceDN w:val="0"/>
        <w:adjustRightInd w:val="0"/>
        <w:snapToGrid w:val="0"/>
        <w:spacing w:line="360" w:lineRule="auto"/>
        <w:ind w:left="605" w:leftChars="18" w:hanging="567" w:hangingChars="270"/>
        <w:jc w:val="left"/>
        <w:rPr>
          <w:rFonts w:ascii="宋体" w:hAnsi="宋体" w:eastAsia="宋体" w:cs="Times New Roman"/>
          <w:bCs/>
          <w:color w:val="auto"/>
          <w:kern w:val="0"/>
          <w:szCs w:val="21"/>
          <w:highlight w:val="none"/>
          <w:lang w:val="zh-CN"/>
        </w:rPr>
      </w:pPr>
      <w:r>
        <w:rPr>
          <w:rFonts w:hint="eastAsia" w:ascii="宋体" w:hAnsi="宋体" w:eastAsia="宋体" w:cs="Times New Roman"/>
          <w:bCs/>
          <w:color w:val="auto"/>
          <w:kern w:val="0"/>
          <w:szCs w:val="21"/>
          <w:highlight w:val="none"/>
          <w:lang w:val="zh-CN"/>
        </w:rPr>
        <w:t>（</w:t>
      </w:r>
      <w:r>
        <w:rPr>
          <w:rFonts w:hint="eastAsia" w:ascii="宋体" w:hAnsi="宋体" w:eastAsia="宋体" w:cs="Times New Roman"/>
          <w:bCs/>
          <w:color w:val="auto"/>
          <w:kern w:val="0"/>
          <w:szCs w:val="21"/>
          <w:highlight w:val="none"/>
          <w:lang w:val="en-US" w:eastAsia="zh-CN"/>
        </w:rPr>
        <w:t>4</w:t>
      </w:r>
      <w:r>
        <w:rPr>
          <w:rFonts w:hint="eastAsia" w:ascii="宋体" w:hAnsi="宋体" w:eastAsia="宋体" w:cs="Times New Roman"/>
          <w:bCs/>
          <w:color w:val="auto"/>
          <w:kern w:val="0"/>
          <w:szCs w:val="21"/>
          <w:highlight w:val="none"/>
          <w:lang w:val="zh-CN"/>
        </w:rPr>
        <w:t>）</w:t>
      </w:r>
      <w:r>
        <w:rPr>
          <w:rFonts w:hint="eastAsia" w:ascii="宋体" w:hAnsi="宋体" w:eastAsia="宋体" w:cs="Times New Roman"/>
          <w:color w:val="auto"/>
          <w:kern w:val="0"/>
          <w:szCs w:val="21"/>
          <w:highlight w:val="none"/>
        </w:rPr>
        <w:t>报价保留小数点后两位。</w:t>
      </w:r>
    </w:p>
    <w:p w14:paraId="2C70DD47">
      <w:pPr>
        <w:autoSpaceDE w:val="0"/>
        <w:autoSpaceDN w:val="0"/>
        <w:adjustRightInd w:val="0"/>
        <w:spacing w:line="360" w:lineRule="auto"/>
        <w:ind w:firstLine="4960" w:firstLineChars="2362"/>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4"/>
          <w:highlight w:val="none"/>
          <w:lang w:val="zh-CN"/>
        </w:rPr>
        <w:t>加盖投标人法人公章</w:t>
      </w:r>
      <w:r>
        <w:rPr>
          <w:rFonts w:hint="eastAsia" w:ascii="宋体" w:hAnsi="宋体" w:eastAsia="宋体" w:cs="宋体"/>
          <w:color w:val="auto"/>
          <w:szCs w:val="21"/>
          <w:highlight w:val="none"/>
          <w:lang w:val="zh-CN"/>
        </w:rPr>
        <w:t>）</w:t>
      </w:r>
    </w:p>
    <w:p w14:paraId="795FDADB">
      <w:pPr>
        <w:autoSpaceDE w:val="0"/>
        <w:autoSpaceDN w:val="0"/>
        <w:adjustRightInd w:val="0"/>
        <w:spacing w:line="360" w:lineRule="auto"/>
        <w:ind w:firstLine="4960" w:firstLineChars="2362"/>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法定代表人或其授权代表签名（或盖私章）：</w:t>
      </w:r>
    </w:p>
    <w:p w14:paraId="748149D6">
      <w:pPr>
        <w:autoSpaceDE w:val="0"/>
        <w:autoSpaceDN w:val="0"/>
        <w:adjustRightInd w:val="0"/>
        <w:spacing w:line="360" w:lineRule="auto"/>
        <w:ind w:firstLine="4960" w:firstLineChars="2362"/>
        <w:rPr>
          <w:rFonts w:ascii="宋体" w:hAnsi="宋体" w:eastAsia="宋体" w:cs="Times New Roman"/>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Times New Roman"/>
          <w:color w:val="auto"/>
          <w:szCs w:val="24"/>
          <w:highlight w:val="none"/>
          <w:lang w:val="zh-CN"/>
        </w:rPr>
        <w:t>期：   年   月   日</w:t>
      </w:r>
    </w:p>
    <w:p w14:paraId="5715A339">
      <w:pPr>
        <w:autoSpaceDE/>
        <w:autoSpaceDN/>
        <w:adjustRightInd/>
        <w:spacing w:line="360" w:lineRule="auto"/>
        <w:ind w:left="0" w:firstLine="0" w:firstLineChars="0"/>
        <w:jc w:val="center"/>
        <w:outlineLvl w:val="9"/>
        <w:rPr>
          <w:rFonts w:hint="eastAsia" w:ascii="宋体" w:hAnsi="宋体" w:eastAsia="宋体" w:cs="宋体"/>
          <w:b/>
          <w:color w:val="auto"/>
          <w:kern w:val="0"/>
          <w:sz w:val="30"/>
          <w:szCs w:val="30"/>
          <w:highlight w:val="none"/>
          <w:lang w:val="en-US" w:eastAsia="zh-CN"/>
        </w:rPr>
      </w:pPr>
      <w:bookmarkStart w:id="460" w:name="_Toc27734"/>
      <w:bookmarkStart w:id="461" w:name="_Toc102860073"/>
      <w:bookmarkStart w:id="462" w:name="_Toc104991874"/>
      <w:bookmarkStart w:id="463" w:name="_Toc102860417"/>
      <w:bookmarkStart w:id="464" w:name="_Toc140596927"/>
      <w:bookmarkStart w:id="465" w:name="_Toc30859"/>
      <w:bookmarkStart w:id="466" w:name="_Toc142508368"/>
      <w:bookmarkStart w:id="467" w:name="_Toc94107208"/>
      <w:r>
        <w:rPr>
          <w:rFonts w:hint="eastAsia" w:ascii="宋体" w:hAnsi="宋体" w:eastAsia="宋体" w:cs="宋体"/>
          <w:b/>
          <w:color w:val="auto"/>
          <w:kern w:val="0"/>
          <w:sz w:val="30"/>
          <w:szCs w:val="30"/>
          <w:highlight w:val="none"/>
          <w:lang w:val="en-US" w:eastAsia="zh-CN"/>
        </w:rPr>
        <w:br w:type="page"/>
      </w:r>
    </w:p>
    <w:p w14:paraId="0CB20115">
      <w:pPr>
        <w:tabs>
          <w:tab w:val="left" w:pos="567"/>
        </w:tabs>
        <w:autoSpaceDE w:val="0"/>
        <w:autoSpaceDN w:val="0"/>
        <w:adjustRightInd w:val="0"/>
        <w:spacing w:line="360" w:lineRule="auto"/>
        <w:ind w:left="496" w:hanging="711" w:hangingChars="236"/>
        <w:jc w:val="left"/>
        <w:outlineLvl w:val="2"/>
        <w:rPr>
          <w:rFonts w:ascii="宋体" w:hAnsi="宋体" w:eastAsia="宋体" w:cs="宋体"/>
          <w:b/>
          <w:color w:val="auto"/>
          <w:sz w:val="30"/>
          <w:szCs w:val="30"/>
          <w:highlight w:val="none"/>
          <w:lang w:val="zh-CN"/>
        </w:rPr>
      </w:pPr>
      <w:bookmarkStart w:id="468" w:name="_Toc1537"/>
      <w:r>
        <w:rPr>
          <w:rFonts w:hint="eastAsia" w:ascii="宋体" w:hAnsi="宋体" w:eastAsia="宋体" w:cs="宋体"/>
          <w:b/>
          <w:color w:val="auto"/>
          <w:kern w:val="0"/>
          <w:sz w:val="30"/>
          <w:szCs w:val="30"/>
          <w:highlight w:val="none"/>
          <w:lang w:val="en-US" w:eastAsia="zh-CN"/>
        </w:rPr>
        <w:t>4</w:t>
      </w:r>
      <w:r>
        <w:rPr>
          <w:rFonts w:ascii="宋体" w:hAnsi="宋体" w:eastAsia="宋体" w:cs="宋体"/>
          <w:b/>
          <w:color w:val="auto"/>
          <w:kern w:val="0"/>
          <w:sz w:val="30"/>
          <w:szCs w:val="30"/>
          <w:highlight w:val="none"/>
        </w:rPr>
        <w:t xml:space="preserve">.2 </w:t>
      </w:r>
      <w:r>
        <w:rPr>
          <w:rFonts w:hint="eastAsia" w:ascii="宋体" w:hAnsi="宋体" w:eastAsia="宋体" w:cs="宋体"/>
          <w:b/>
          <w:color w:val="auto"/>
          <w:kern w:val="0"/>
          <w:sz w:val="30"/>
          <w:szCs w:val="30"/>
          <w:highlight w:val="none"/>
          <w:lang w:val="en-US" w:eastAsia="zh-CN"/>
        </w:rPr>
        <w:t>综合单价明细</w:t>
      </w:r>
      <w:r>
        <w:rPr>
          <w:rFonts w:ascii="宋体" w:hAnsi="宋体" w:eastAsia="宋体" w:cs="宋体"/>
          <w:b/>
          <w:color w:val="auto"/>
          <w:kern w:val="0"/>
          <w:sz w:val="30"/>
          <w:szCs w:val="30"/>
          <w:highlight w:val="none"/>
        </w:rPr>
        <w:t>表</w:t>
      </w:r>
      <w:bookmarkEnd w:id="460"/>
      <w:bookmarkEnd w:id="461"/>
      <w:bookmarkEnd w:id="462"/>
      <w:bookmarkEnd w:id="463"/>
      <w:bookmarkEnd w:id="464"/>
      <w:bookmarkEnd w:id="465"/>
      <w:bookmarkEnd w:id="466"/>
      <w:bookmarkEnd w:id="467"/>
      <w:bookmarkEnd w:id="468"/>
    </w:p>
    <w:p w14:paraId="43B8A695">
      <w:pPr>
        <w:autoSpaceDE w:val="0"/>
        <w:autoSpaceDN w:val="0"/>
        <w:adjustRightInd w:val="0"/>
        <w:spacing w:line="360" w:lineRule="auto"/>
        <w:jc w:val="center"/>
        <w:rPr>
          <w:rFonts w:ascii="宋体" w:hAnsi="宋体" w:eastAsia="宋体" w:cs="宋体"/>
          <w:b/>
          <w:bCs/>
          <w:color w:val="auto"/>
          <w:sz w:val="30"/>
          <w:szCs w:val="30"/>
          <w:highlight w:val="none"/>
          <w:lang w:val="zh-CN"/>
        </w:rPr>
      </w:pPr>
      <w:r>
        <w:rPr>
          <w:rFonts w:hint="eastAsia" w:ascii="宋体" w:hAnsi="宋体" w:eastAsia="宋体" w:cs="宋体"/>
          <w:b/>
          <w:bCs/>
          <w:color w:val="auto"/>
          <w:sz w:val="30"/>
          <w:szCs w:val="30"/>
          <w:highlight w:val="none"/>
          <w:lang w:val="en-US" w:eastAsia="zh-CN"/>
        </w:rPr>
        <w:t>防撞缓冲车</w:t>
      </w:r>
      <w:r>
        <w:rPr>
          <w:rFonts w:hint="eastAsia" w:ascii="宋体" w:hAnsi="宋体" w:eastAsia="宋体" w:cs="宋体"/>
          <w:b/>
          <w:bCs/>
          <w:color w:val="auto"/>
          <w:sz w:val="30"/>
          <w:szCs w:val="30"/>
          <w:highlight w:val="none"/>
        </w:rPr>
        <w:t>综合单价明细表</w:t>
      </w:r>
    </w:p>
    <w:p w14:paraId="3ED39917">
      <w:pPr>
        <w:spacing w:line="360" w:lineRule="auto"/>
        <w:rPr>
          <w:rFonts w:hint="eastAsia" w:ascii="宋体" w:hAnsi="宋体" w:eastAsia="宋体" w:cs="宋体"/>
          <w:b/>
          <w:color w:val="auto"/>
          <w:kern w:val="0"/>
          <w:szCs w:val="21"/>
          <w:highlight w:val="none"/>
        </w:rPr>
      </w:pPr>
      <w:r>
        <w:rPr>
          <w:rFonts w:hint="eastAsia" w:ascii="宋体" w:hAnsi="宋体" w:eastAsia="宋体" w:cs="宋体"/>
          <w:b/>
          <w:bCs/>
          <w:color w:val="auto"/>
          <w:kern w:val="0"/>
          <w:szCs w:val="21"/>
          <w:highlight w:val="none"/>
        </w:rPr>
        <w:t>项目名称：</w:t>
      </w:r>
      <w:r>
        <w:rPr>
          <w:rFonts w:hint="eastAsia" w:ascii="宋体" w:hAnsi="宋体" w:eastAsia="宋体" w:cs="宋体"/>
          <w:color w:val="auto"/>
          <w:kern w:val="0"/>
          <w:szCs w:val="21"/>
          <w:highlight w:val="none"/>
          <w:u w:val="single"/>
          <w:lang w:eastAsia="zh-CN"/>
        </w:rPr>
        <w:t>东莞市水务环境投资控股集团管网有限公司2026年防撞缓冲车采购项目（第四次招标）</w:t>
      </w:r>
    </w:p>
    <w:p w14:paraId="2ABB2B7A">
      <w:pPr>
        <w:spacing w:line="360" w:lineRule="auto"/>
        <w:rPr>
          <w:rFonts w:hint="eastAsia" w:ascii="宋体" w:hAnsi="宋体" w:eastAsia="宋体" w:cs="宋体"/>
          <w:b/>
          <w:color w:val="auto"/>
          <w:kern w:val="0"/>
          <w:szCs w:val="21"/>
          <w:highlight w:val="none"/>
          <w:u w:val="single"/>
          <w:lang w:val="en-US" w:eastAsia="zh-CN"/>
        </w:rPr>
      </w:pPr>
      <w:r>
        <w:rPr>
          <w:rFonts w:hint="eastAsia" w:ascii="宋体" w:hAnsi="宋体" w:eastAsia="宋体" w:cs="宋体"/>
          <w:b/>
          <w:color w:val="auto"/>
          <w:kern w:val="0"/>
          <w:szCs w:val="21"/>
          <w:highlight w:val="none"/>
        </w:rPr>
        <w:t>招标编号：</w:t>
      </w:r>
      <w:r>
        <w:rPr>
          <w:rFonts w:hint="eastAsia" w:ascii="宋体" w:hAnsi="宋体" w:eastAsia="宋体" w:cs="宋体"/>
          <w:b w:val="0"/>
          <w:color w:val="auto"/>
          <w:kern w:val="0"/>
          <w:szCs w:val="21"/>
          <w:highlight w:val="none"/>
          <w:u w:val="single"/>
          <w:lang w:val="en-US" w:eastAsia="zh-CN"/>
        </w:rPr>
        <w:t>TC269400L</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384"/>
        <w:gridCol w:w="919"/>
        <w:gridCol w:w="1152"/>
        <w:gridCol w:w="1357"/>
        <w:gridCol w:w="946"/>
        <w:gridCol w:w="1158"/>
        <w:gridCol w:w="1152"/>
        <w:gridCol w:w="1154"/>
      </w:tblGrid>
      <w:tr w14:paraId="75333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547" w:type="pct"/>
            <w:gridSpan w:val="9"/>
            <w:tcBorders>
              <w:top w:val="single" w:color="auto" w:sz="4" w:space="0"/>
              <w:left w:val="single" w:color="auto" w:sz="4" w:space="0"/>
              <w:bottom w:val="single" w:color="auto" w:sz="4" w:space="0"/>
              <w:right w:val="single" w:color="auto" w:sz="4" w:space="0"/>
            </w:tcBorders>
            <w:shd w:val="clear" w:color="auto" w:fill="auto"/>
            <w:vAlign w:val="center"/>
          </w:tcPr>
          <w:p w14:paraId="6C418E48">
            <w:pPr>
              <w:autoSpaceDE w:val="0"/>
              <w:adjustRightInd w:val="0"/>
              <w:jc w:val="left"/>
              <w:rPr>
                <w:rFonts w:ascii="宋体" w:hAnsi="宋体" w:eastAsia="宋体" w:cs="宋体"/>
                <w:b/>
                <w:color w:val="auto"/>
                <w:szCs w:val="21"/>
                <w:highlight w:val="none"/>
              </w:rPr>
            </w:pPr>
            <w:r>
              <w:rPr>
                <w:rFonts w:hint="eastAsia" w:ascii="宋体" w:hAnsi="宋体" w:eastAsia="宋体" w:cs="宋体"/>
                <w:b/>
                <w:color w:val="auto"/>
                <w:szCs w:val="21"/>
                <w:highlight w:val="none"/>
                <w:lang w:bidi="ar"/>
              </w:rPr>
              <w:t>一、货物部分</w:t>
            </w:r>
          </w:p>
        </w:tc>
      </w:tr>
      <w:tr w14:paraId="3770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08E678F1">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序号</w:t>
            </w:r>
          </w:p>
        </w:tc>
        <w:tc>
          <w:tcPr>
            <w:tcW w:w="607" w:type="pct"/>
            <w:tcBorders>
              <w:top w:val="single" w:color="auto" w:sz="4" w:space="0"/>
              <w:left w:val="nil"/>
              <w:bottom w:val="single" w:color="auto" w:sz="4" w:space="0"/>
              <w:right w:val="single" w:color="auto" w:sz="4" w:space="0"/>
            </w:tcBorders>
            <w:shd w:val="clear" w:color="auto" w:fill="auto"/>
            <w:vAlign w:val="center"/>
          </w:tcPr>
          <w:p w14:paraId="6953C8BD">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货物名称</w:t>
            </w:r>
          </w:p>
        </w:tc>
        <w:tc>
          <w:tcPr>
            <w:tcW w:w="403" w:type="pct"/>
            <w:tcBorders>
              <w:top w:val="single" w:color="auto" w:sz="4" w:space="0"/>
              <w:left w:val="nil"/>
              <w:bottom w:val="single" w:color="auto" w:sz="4" w:space="0"/>
              <w:right w:val="single" w:color="auto" w:sz="4" w:space="0"/>
            </w:tcBorders>
            <w:shd w:val="clear" w:color="auto" w:fill="auto"/>
            <w:vAlign w:val="center"/>
          </w:tcPr>
          <w:p w14:paraId="24C58DD5">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品牌</w:t>
            </w:r>
          </w:p>
        </w:tc>
        <w:tc>
          <w:tcPr>
            <w:tcW w:w="505" w:type="pct"/>
            <w:tcBorders>
              <w:top w:val="single" w:color="auto" w:sz="4" w:space="0"/>
              <w:left w:val="nil"/>
              <w:bottom w:val="single" w:color="auto" w:sz="4" w:space="0"/>
              <w:right w:val="single" w:color="auto" w:sz="4" w:space="0"/>
            </w:tcBorders>
            <w:shd w:val="clear" w:color="auto" w:fill="auto"/>
            <w:vAlign w:val="center"/>
          </w:tcPr>
          <w:p w14:paraId="2BCDAB76">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产地</w:t>
            </w:r>
          </w:p>
        </w:tc>
        <w:tc>
          <w:tcPr>
            <w:tcW w:w="594" w:type="pct"/>
            <w:tcBorders>
              <w:top w:val="single" w:color="auto" w:sz="4" w:space="0"/>
              <w:left w:val="nil"/>
              <w:bottom w:val="single" w:color="auto" w:sz="4" w:space="0"/>
              <w:right w:val="single" w:color="auto" w:sz="4" w:space="0"/>
            </w:tcBorders>
            <w:shd w:val="clear" w:color="auto" w:fill="auto"/>
            <w:vAlign w:val="center"/>
          </w:tcPr>
          <w:p w14:paraId="3BC7170E">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设备型号</w:t>
            </w:r>
          </w:p>
        </w:tc>
        <w:tc>
          <w:tcPr>
            <w:tcW w:w="415" w:type="pct"/>
            <w:tcBorders>
              <w:top w:val="single" w:color="auto" w:sz="4" w:space="0"/>
              <w:left w:val="nil"/>
              <w:bottom w:val="single" w:color="auto" w:sz="4" w:space="0"/>
              <w:right w:val="single" w:color="auto" w:sz="4" w:space="0"/>
            </w:tcBorders>
            <w:shd w:val="clear" w:color="auto" w:fill="auto"/>
            <w:vAlign w:val="center"/>
          </w:tcPr>
          <w:p w14:paraId="0E6875CB">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单位</w:t>
            </w:r>
          </w:p>
        </w:tc>
        <w:tc>
          <w:tcPr>
            <w:tcW w:w="505" w:type="pct"/>
            <w:tcBorders>
              <w:top w:val="single" w:color="auto" w:sz="4" w:space="0"/>
              <w:left w:val="nil"/>
              <w:bottom w:val="single" w:color="auto" w:sz="4" w:space="0"/>
              <w:right w:val="single" w:color="auto" w:sz="4" w:space="0"/>
            </w:tcBorders>
            <w:shd w:val="clear" w:color="auto" w:fill="auto"/>
            <w:vAlign w:val="center"/>
          </w:tcPr>
          <w:p w14:paraId="40964D53">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数量</w:t>
            </w:r>
          </w:p>
        </w:tc>
        <w:tc>
          <w:tcPr>
            <w:tcW w:w="505" w:type="pct"/>
            <w:tcBorders>
              <w:top w:val="single" w:color="auto" w:sz="4" w:space="0"/>
              <w:left w:val="nil"/>
              <w:bottom w:val="single" w:color="auto" w:sz="4" w:space="0"/>
              <w:right w:val="single" w:color="auto" w:sz="4" w:space="0"/>
            </w:tcBorders>
            <w:shd w:val="clear" w:color="auto" w:fill="auto"/>
            <w:vAlign w:val="center"/>
          </w:tcPr>
          <w:p w14:paraId="7951B689">
            <w:pPr>
              <w:autoSpaceDE w:val="0"/>
              <w:adjustRightInd w:val="0"/>
              <w:spacing w:line="360" w:lineRule="auto"/>
              <w:ind w:left="-87"/>
              <w:jc w:val="center"/>
              <w:rPr>
                <w:rFonts w:ascii="宋体" w:hAnsi="宋体" w:eastAsia="宋体" w:cs="宋体"/>
                <w:b/>
                <w:color w:val="auto"/>
                <w:kern w:val="0"/>
                <w:szCs w:val="21"/>
                <w:highlight w:val="none"/>
              </w:rPr>
            </w:pPr>
            <w:r>
              <w:rPr>
                <w:rFonts w:hint="eastAsia" w:ascii="宋体" w:hAnsi="宋体" w:eastAsia="宋体" w:cs="宋体"/>
                <w:b/>
                <w:bCs/>
                <w:color w:val="auto"/>
                <w:szCs w:val="21"/>
                <w:highlight w:val="none"/>
                <w:lang w:bidi="ar"/>
              </w:rPr>
              <w:t>综合</w:t>
            </w:r>
            <w:r>
              <w:rPr>
                <w:rFonts w:hint="eastAsia" w:ascii="宋体" w:hAnsi="宋体" w:eastAsia="宋体" w:cs="宋体"/>
                <w:b/>
                <w:color w:val="auto"/>
                <w:kern w:val="0"/>
                <w:szCs w:val="21"/>
                <w:highlight w:val="none"/>
                <w:lang w:bidi="ar"/>
              </w:rPr>
              <w:t>单价</w:t>
            </w:r>
          </w:p>
          <w:p w14:paraId="7B80A97D">
            <w:pPr>
              <w:autoSpaceDE w:val="0"/>
              <w:adjustRightInd w:val="0"/>
              <w:spacing w:line="360" w:lineRule="auto"/>
              <w:ind w:left="-87"/>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（元，含税）</w:t>
            </w:r>
          </w:p>
        </w:tc>
        <w:tc>
          <w:tcPr>
            <w:tcW w:w="505" w:type="pct"/>
            <w:tcBorders>
              <w:top w:val="single" w:color="auto" w:sz="4" w:space="0"/>
              <w:left w:val="nil"/>
              <w:bottom w:val="single" w:color="auto" w:sz="4" w:space="0"/>
              <w:right w:val="single" w:color="auto" w:sz="4" w:space="0"/>
            </w:tcBorders>
            <w:shd w:val="clear" w:color="auto" w:fill="auto"/>
            <w:vAlign w:val="center"/>
          </w:tcPr>
          <w:p w14:paraId="11D43882">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备注</w:t>
            </w:r>
          </w:p>
        </w:tc>
      </w:tr>
      <w:tr w14:paraId="161F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17A6DAFE">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1</w:t>
            </w:r>
          </w:p>
        </w:tc>
        <w:tc>
          <w:tcPr>
            <w:tcW w:w="607" w:type="pct"/>
            <w:tcBorders>
              <w:top w:val="single" w:color="auto" w:sz="4" w:space="0"/>
              <w:left w:val="nil"/>
              <w:bottom w:val="single" w:color="auto" w:sz="4" w:space="0"/>
              <w:right w:val="single" w:color="auto" w:sz="4" w:space="0"/>
            </w:tcBorders>
            <w:shd w:val="clear" w:color="auto" w:fill="auto"/>
            <w:vAlign w:val="center"/>
          </w:tcPr>
          <w:p w14:paraId="7D6A3C7B">
            <w:pPr>
              <w:autoSpaceDE w:val="0"/>
              <w:adjustRightInd w:val="0"/>
              <w:spacing w:line="360" w:lineRule="auto"/>
              <w:jc w:val="center"/>
              <w:rPr>
                <w:rFonts w:ascii="宋体" w:hAnsi="宋体" w:eastAsia="宋体" w:cs="宋体"/>
                <w:color w:val="auto"/>
                <w:kern w:val="0"/>
                <w:szCs w:val="21"/>
                <w:highlight w:val="none"/>
              </w:rPr>
            </w:pPr>
          </w:p>
        </w:tc>
        <w:tc>
          <w:tcPr>
            <w:tcW w:w="403" w:type="pct"/>
            <w:tcBorders>
              <w:top w:val="single" w:color="auto" w:sz="4" w:space="0"/>
              <w:left w:val="nil"/>
              <w:bottom w:val="single" w:color="auto" w:sz="4" w:space="0"/>
              <w:right w:val="single" w:color="auto" w:sz="4" w:space="0"/>
            </w:tcBorders>
            <w:shd w:val="clear" w:color="auto" w:fill="auto"/>
            <w:vAlign w:val="center"/>
          </w:tcPr>
          <w:p w14:paraId="2A13856B">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7396078A">
            <w:pPr>
              <w:autoSpaceDE w:val="0"/>
              <w:adjustRightInd w:val="0"/>
              <w:spacing w:line="360" w:lineRule="auto"/>
              <w:jc w:val="center"/>
              <w:rPr>
                <w:rFonts w:ascii="宋体" w:hAnsi="宋体" w:eastAsia="宋体" w:cs="宋体"/>
                <w:color w:val="auto"/>
                <w:kern w:val="0"/>
                <w:szCs w:val="21"/>
                <w:highlight w:val="none"/>
              </w:rPr>
            </w:pPr>
          </w:p>
        </w:tc>
        <w:tc>
          <w:tcPr>
            <w:tcW w:w="594" w:type="pct"/>
            <w:tcBorders>
              <w:top w:val="single" w:color="auto" w:sz="4" w:space="0"/>
              <w:left w:val="nil"/>
              <w:bottom w:val="single" w:color="auto" w:sz="4" w:space="0"/>
              <w:right w:val="single" w:color="auto" w:sz="4" w:space="0"/>
            </w:tcBorders>
            <w:shd w:val="clear" w:color="auto" w:fill="auto"/>
            <w:vAlign w:val="center"/>
          </w:tcPr>
          <w:p w14:paraId="65EBA2E6">
            <w:pPr>
              <w:autoSpaceDE w:val="0"/>
              <w:adjustRightInd w:val="0"/>
              <w:spacing w:line="360" w:lineRule="auto"/>
              <w:jc w:val="center"/>
              <w:rPr>
                <w:rFonts w:ascii="宋体" w:hAnsi="宋体" w:eastAsia="宋体" w:cs="宋体"/>
                <w:color w:val="auto"/>
                <w:kern w:val="0"/>
                <w:szCs w:val="21"/>
                <w:highlight w:val="none"/>
              </w:rPr>
            </w:pPr>
          </w:p>
        </w:tc>
        <w:tc>
          <w:tcPr>
            <w:tcW w:w="415" w:type="pct"/>
            <w:tcBorders>
              <w:top w:val="single" w:color="auto" w:sz="4" w:space="0"/>
              <w:left w:val="nil"/>
              <w:bottom w:val="single" w:color="auto" w:sz="4" w:space="0"/>
              <w:right w:val="single" w:color="auto" w:sz="4" w:space="0"/>
            </w:tcBorders>
            <w:shd w:val="clear" w:color="auto" w:fill="auto"/>
            <w:vAlign w:val="center"/>
          </w:tcPr>
          <w:p w14:paraId="13ACD977">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7FE27380">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0B2A0973">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20E221A9">
            <w:pPr>
              <w:autoSpaceDE w:val="0"/>
              <w:adjustRightInd w:val="0"/>
              <w:spacing w:line="360" w:lineRule="auto"/>
              <w:jc w:val="center"/>
              <w:rPr>
                <w:rFonts w:ascii="宋体" w:hAnsi="宋体" w:eastAsia="宋体" w:cs="宋体"/>
                <w:color w:val="auto"/>
                <w:kern w:val="0"/>
                <w:szCs w:val="21"/>
                <w:highlight w:val="none"/>
              </w:rPr>
            </w:pPr>
          </w:p>
        </w:tc>
      </w:tr>
      <w:tr w14:paraId="404B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411BC18D">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2</w:t>
            </w:r>
          </w:p>
        </w:tc>
        <w:tc>
          <w:tcPr>
            <w:tcW w:w="607" w:type="pct"/>
            <w:tcBorders>
              <w:top w:val="single" w:color="auto" w:sz="4" w:space="0"/>
              <w:left w:val="nil"/>
              <w:bottom w:val="single" w:color="auto" w:sz="4" w:space="0"/>
              <w:right w:val="single" w:color="auto" w:sz="4" w:space="0"/>
            </w:tcBorders>
            <w:shd w:val="clear" w:color="auto" w:fill="auto"/>
            <w:vAlign w:val="center"/>
          </w:tcPr>
          <w:p w14:paraId="023FF659">
            <w:pPr>
              <w:autoSpaceDE w:val="0"/>
              <w:adjustRightInd w:val="0"/>
              <w:spacing w:line="360" w:lineRule="auto"/>
              <w:jc w:val="center"/>
              <w:rPr>
                <w:rFonts w:ascii="宋体" w:hAnsi="宋体" w:eastAsia="宋体" w:cs="宋体"/>
                <w:color w:val="auto"/>
                <w:kern w:val="0"/>
                <w:szCs w:val="21"/>
                <w:highlight w:val="none"/>
              </w:rPr>
            </w:pPr>
          </w:p>
        </w:tc>
        <w:tc>
          <w:tcPr>
            <w:tcW w:w="403" w:type="pct"/>
            <w:tcBorders>
              <w:top w:val="single" w:color="auto" w:sz="4" w:space="0"/>
              <w:left w:val="nil"/>
              <w:bottom w:val="single" w:color="auto" w:sz="4" w:space="0"/>
              <w:right w:val="single" w:color="auto" w:sz="4" w:space="0"/>
            </w:tcBorders>
            <w:shd w:val="clear" w:color="auto" w:fill="auto"/>
            <w:vAlign w:val="center"/>
          </w:tcPr>
          <w:p w14:paraId="3294083B">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36DA996B">
            <w:pPr>
              <w:autoSpaceDE w:val="0"/>
              <w:adjustRightInd w:val="0"/>
              <w:spacing w:line="360" w:lineRule="auto"/>
              <w:jc w:val="center"/>
              <w:rPr>
                <w:rFonts w:ascii="宋体" w:hAnsi="宋体" w:eastAsia="宋体" w:cs="宋体"/>
                <w:color w:val="auto"/>
                <w:kern w:val="0"/>
                <w:szCs w:val="21"/>
                <w:highlight w:val="none"/>
              </w:rPr>
            </w:pPr>
          </w:p>
        </w:tc>
        <w:tc>
          <w:tcPr>
            <w:tcW w:w="594" w:type="pct"/>
            <w:tcBorders>
              <w:top w:val="single" w:color="auto" w:sz="4" w:space="0"/>
              <w:left w:val="nil"/>
              <w:bottom w:val="single" w:color="auto" w:sz="4" w:space="0"/>
              <w:right w:val="single" w:color="auto" w:sz="4" w:space="0"/>
            </w:tcBorders>
            <w:shd w:val="clear" w:color="auto" w:fill="auto"/>
            <w:vAlign w:val="center"/>
          </w:tcPr>
          <w:p w14:paraId="56B2CE8B">
            <w:pPr>
              <w:autoSpaceDE w:val="0"/>
              <w:adjustRightInd w:val="0"/>
              <w:spacing w:line="360" w:lineRule="auto"/>
              <w:jc w:val="center"/>
              <w:rPr>
                <w:rFonts w:ascii="宋体" w:hAnsi="宋体" w:eastAsia="宋体" w:cs="宋体"/>
                <w:color w:val="auto"/>
                <w:kern w:val="0"/>
                <w:szCs w:val="21"/>
                <w:highlight w:val="none"/>
              </w:rPr>
            </w:pPr>
          </w:p>
        </w:tc>
        <w:tc>
          <w:tcPr>
            <w:tcW w:w="415" w:type="pct"/>
            <w:tcBorders>
              <w:top w:val="single" w:color="auto" w:sz="4" w:space="0"/>
              <w:left w:val="nil"/>
              <w:bottom w:val="single" w:color="auto" w:sz="4" w:space="0"/>
              <w:right w:val="single" w:color="auto" w:sz="4" w:space="0"/>
            </w:tcBorders>
            <w:shd w:val="clear" w:color="auto" w:fill="auto"/>
            <w:vAlign w:val="center"/>
          </w:tcPr>
          <w:p w14:paraId="24BC8706">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5E282F98">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63D87A4E">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42C9CC05">
            <w:pPr>
              <w:autoSpaceDE w:val="0"/>
              <w:adjustRightInd w:val="0"/>
              <w:spacing w:line="360" w:lineRule="auto"/>
              <w:jc w:val="center"/>
              <w:rPr>
                <w:rFonts w:ascii="宋体" w:hAnsi="宋体" w:eastAsia="宋体" w:cs="宋体"/>
                <w:color w:val="auto"/>
                <w:kern w:val="0"/>
                <w:szCs w:val="21"/>
                <w:highlight w:val="none"/>
              </w:rPr>
            </w:pPr>
          </w:p>
        </w:tc>
      </w:tr>
      <w:tr w14:paraId="5641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07BFBEF3">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3</w:t>
            </w:r>
          </w:p>
        </w:tc>
        <w:tc>
          <w:tcPr>
            <w:tcW w:w="607" w:type="pct"/>
            <w:tcBorders>
              <w:top w:val="single" w:color="auto" w:sz="4" w:space="0"/>
              <w:left w:val="nil"/>
              <w:bottom w:val="single" w:color="auto" w:sz="4" w:space="0"/>
              <w:right w:val="single" w:color="auto" w:sz="4" w:space="0"/>
            </w:tcBorders>
            <w:shd w:val="clear" w:color="auto" w:fill="auto"/>
            <w:vAlign w:val="center"/>
          </w:tcPr>
          <w:p w14:paraId="4F53DA97">
            <w:pPr>
              <w:autoSpaceDE w:val="0"/>
              <w:adjustRightInd w:val="0"/>
              <w:spacing w:line="360" w:lineRule="auto"/>
              <w:jc w:val="center"/>
              <w:rPr>
                <w:rFonts w:ascii="宋体" w:hAnsi="宋体" w:eastAsia="宋体" w:cs="宋体"/>
                <w:color w:val="auto"/>
                <w:kern w:val="0"/>
                <w:szCs w:val="21"/>
                <w:highlight w:val="none"/>
              </w:rPr>
            </w:pPr>
          </w:p>
        </w:tc>
        <w:tc>
          <w:tcPr>
            <w:tcW w:w="403" w:type="pct"/>
            <w:tcBorders>
              <w:top w:val="single" w:color="auto" w:sz="4" w:space="0"/>
              <w:left w:val="nil"/>
              <w:bottom w:val="single" w:color="auto" w:sz="4" w:space="0"/>
              <w:right w:val="single" w:color="auto" w:sz="4" w:space="0"/>
            </w:tcBorders>
            <w:shd w:val="clear" w:color="auto" w:fill="auto"/>
            <w:vAlign w:val="center"/>
          </w:tcPr>
          <w:p w14:paraId="42C44923">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05B95FD5">
            <w:pPr>
              <w:autoSpaceDE w:val="0"/>
              <w:adjustRightInd w:val="0"/>
              <w:spacing w:line="360" w:lineRule="auto"/>
              <w:jc w:val="center"/>
              <w:rPr>
                <w:rFonts w:ascii="宋体" w:hAnsi="宋体" w:eastAsia="宋体" w:cs="宋体"/>
                <w:color w:val="auto"/>
                <w:kern w:val="0"/>
                <w:szCs w:val="21"/>
                <w:highlight w:val="none"/>
              </w:rPr>
            </w:pPr>
          </w:p>
        </w:tc>
        <w:tc>
          <w:tcPr>
            <w:tcW w:w="594" w:type="pct"/>
            <w:tcBorders>
              <w:top w:val="single" w:color="auto" w:sz="4" w:space="0"/>
              <w:left w:val="nil"/>
              <w:bottom w:val="single" w:color="auto" w:sz="4" w:space="0"/>
              <w:right w:val="single" w:color="auto" w:sz="4" w:space="0"/>
            </w:tcBorders>
            <w:shd w:val="clear" w:color="auto" w:fill="auto"/>
            <w:vAlign w:val="center"/>
          </w:tcPr>
          <w:p w14:paraId="1B163C43">
            <w:pPr>
              <w:autoSpaceDE w:val="0"/>
              <w:adjustRightInd w:val="0"/>
              <w:spacing w:line="360" w:lineRule="auto"/>
              <w:jc w:val="center"/>
              <w:rPr>
                <w:rFonts w:ascii="宋体" w:hAnsi="宋体" w:eastAsia="宋体" w:cs="宋体"/>
                <w:color w:val="auto"/>
                <w:kern w:val="0"/>
                <w:szCs w:val="21"/>
                <w:highlight w:val="none"/>
              </w:rPr>
            </w:pPr>
          </w:p>
        </w:tc>
        <w:tc>
          <w:tcPr>
            <w:tcW w:w="415" w:type="pct"/>
            <w:tcBorders>
              <w:top w:val="single" w:color="auto" w:sz="4" w:space="0"/>
              <w:left w:val="nil"/>
              <w:bottom w:val="single" w:color="auto" w:sz="4" w:space="0"/>
              <w:right w:val="single" w:color="auto" w:sz="4" w:space="0"/>
            </w:tcBorders>
            <w:shd w:val="clear" w:color="auto" w:fill="auto"/>
            <w:vAlign w:val="center"/>
          </w:tcPr>
          <w:p w14:paraId="7DE1A29C">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3E2A1536">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1F3B985D">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7B20E954">
            <w:pPr>
              <w:autoSpaceDE w:val="0"/>
              <w:adjustRightInd w:val="0"/>
              <w:spacing w:line="360" w:lineRule="auto"/>
              <w:jc w:val="center"/>
              <w:rPr>
                <w:rFonts w:ascii="宋体" w:hAnsi="宋体" w:eastAsia="宋体" w:cs="宋体"/>
                <w:color w:val="auto"/>
                <w:kern w:val="0"/>
                <w:szCs w:val="21"/>
                <w:highlight w:val="none"/>
              </w:rPr>
            </w:pPr>
          </w:p>
        </w:tc>
      </w:tr>
      <w:tr w14:paraId="3B82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356377AD">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w:t>
            </w:r>
          </w:p>
        </w:tc>
        <w:tc>
          <w:tcPr>
            <w:tcW w:w="607" w:type="pct"/>
            <w:tcBorders>
              <w:top w:val="single" w:color="auto" w:sz="4" w:space="0"/>
              <w:left w:val="nil"/>
              <w:bottom w:val="single" w:color="auto" w:sz="4" w:space="0"/>
              <w:right w:val="single" w:color="auto" w:sz="4" w:space="0"/>
            </w:tcBorders>
            <w:shd w:val="clear" w:color="auto" w:fill="auto"/>
            <w:vAlign w:val="center"/>
          </w:tcPr>
          <w:p w14:paraId="560CFA10">
            <w:pPr>
              <w:autoSpaceDE w:val="0"/>
              <w:adjustRightInd w:val="0"/>
              <w:spacing w:line="360" w:lineRule="auto"/>
              <w:jc w:val="center"/>
              <w:rPr>
                <w:rFonts w:ascii="宋体" w:hAnsi="宋体" w:eastAsia="宋体" w:cs="宋体"/>
                <w:color w:val="auto"/>
                <w:kern w:val="0"/>
                <w:szCs w:val="21"/>
                <w:highlight w:val="none"/>
              </w:rPr>
            </w:pPr>
          </w:p>
        </w:tc>
        <w:tc>
          <w:tcPr>
            <w:tcW w:w="403" w:type="pct"/>
            <w:tcBorders>
              <w:top w:val="single" w:color="auto" w:sz="4" w:space="0"/>
              <w:left w:val="nil"/>
              <w:bottom w:val="single" w:color="auto" w:sz="4" w:space="0"/>
              <w:right w:val="single" w:color="auto" w:sz="4" w:space="0"/>
            </w:tcBorders>
            <w:shd w:val="clear" w:color="auto" w:fill="auto"/>
            <w:vAlign w:val="center"/>
          </w:tcPr>
          <w:p w14:paraId="65EA52B9">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67E6F8FE">
            <w:pPr>
              <w:autoSpaceDE w:val="0"/>
              <w:adjustRightInd w:val="0"/>
              <w:spacing w:line="360" w:lineRule="auto"/>
              <w:jc w:val="center"/>
              <w:rPr>
                <w:rFonts w:ascii="宋体" w:hAnsi="宋体" w:eastAsia="宋体" w:cs="宋体"/>
                <w:color w:val="auto"/>
                <w:kern w:val="0"/>
                <w:szCs w:val="21"/>
                <w:highlight w:val="none"/>
              </w:rPr>
            </w:pPr>
          </w:p>
        </w:tc>
        <w:tc>
          <w:tcPr>
            <w:tcW w:w="594" w:type="pct"/>
            <w:tcBorders>
              <w:top w:val="single" w:color="auto" w:sz="4" w:space="0"/>
              <w:left w:val="nil"/>
              <w:bottom w:val="single" w:color="auto" w:sz="4" w:space="0"/>
              <w:right w:val="single" w:color="auto" w:sz="4" w:space="0"/>
            </w:tcBorders>
            <w:shd w:val="clear" w:color="auto" w:fill="auto"/>
            <w:vAlign w:val="center"/>
          </w:tcPr>
          <w:p w14:paraId="51BFF49A">
            <w:pPr>
              <w:autoSpaceDE w:val="0"/>
              <w:adjustRightInd w:val="0"/>
              <w:spacing w:line="360" w:lineRule="auto"/>
              <w:jc w:val="center"/>
              <w:rPr>
                <w:rFonts w:ascii="宋体" w:hAnsi="宋体" w:eastAsia="宋体" w:cs="宋体"/>
                <w:color w:val="auto"/>
                <w:kern w:val="0"/>
                <w:szCs w:val="21"/>
                <w:highlight w:val="none"/>
              </w:rPr>
            </w:pPr>
          </w:p>
        </w:tc>
        <w:tc>
          <w:tcPr>
            <w:tcW w:w="415" w:type="pct"/>
            <w:tcBorders>
              <w:top w:val="single" w:color="auto" w:sz="4" w:space="0"/>
              <w:left w:val="nil"/>
              <w:bottom w:val="single" w:color="auto" w:sz="4" w:space="0"/>
              <w:right w:val="single" w:color="auto" w:sz="4" w:space="0"/>
            </w:tcBorders>
            <w:shd w:val="clear" w:color="auto" w:fill="auto"/>
            <w:vAlign w:val="center"/>
          </w:tcPr>
          <w:p w14:paraId="12929931">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351A90C5">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777BFDA4">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2A963C3F">
            <w:pPr>
              <w:autoSpaceDE w:val="0"/>
              <w:adjustRightInd w:val="0"/>
              <w:spacing w:line="360" w:lineRule="auto"/>
              <w:jc w:val="center"/>
              <w:rPr>
                <w:rFonts w:ascii="宋体" w:hAnsi="宋体" w:eastAsia="宋体" w:cs="宋体"/>
                <w:color w:val="auto"/>
                <w:kern w:val="0"/>
                <w:szCs w:val="21"/>
                <w:highlight w:val="none"/>
              </w:rPr>
            </w:pPr>
          </w:p>
        </w:tc>
      </w:tr>
      <w:tr w14:paraId="3A7F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6"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6FD0B845">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小  计</w:t>
            </w:r>
          </w:p>
        </w:tc>
        <w:tc>
          <w:tcPr>
            <w:tcW w:w="505" w:type="pct"/>
            <w:tcBorders>
              <w:top w:val="single" w:color="auto" w:sz="4" w:space="0"/>
              <w:left w:val="nil"/>
              <w:bottom w:val="single" w:color="auto" w:sz="4" w:space="0"/>
              <w:right w:val="single" w:color="auto" w:sz="4" w:space="0"/>
            </w:tcBorders>
            <w:shd w:val="clear" w:color="auto" w:fill="auto"/>
            <w:vAlign w:val="center"/>
          </w:tcPr>
          <w:p w14:paraId="414B0DB4">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73409A1B">
            <w:pPr>
              <w:autoSpaceDE w:val="0"/>
              <w:adjustRightInd w:val="0"/>
              <w:spacing w:line="360" w:lineRule="auto"/>
              <w:jc w:val="center"/>
              <w:rPr>
                <w:rFonts w:ascii="宋体" w:hAnsi="宋体" w:eastAsia="宋体" w:cs="宋体"/>
                <w:color w:val="auto"/>
                <w:kern w:val="0"/>
                <w:szCs w:val="21"/>
                <w:highlight w:val="none"/>
              </w:rPr>
            </w:pPr>
          </w:p>
        </w:tc>
      </w:tr>
      <w:tr w14:paraId="3073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4547" w:type="pct"/>
            <w:gridSpan w:val="9"/>
            <w:tcBorders>
              <w:top w:val="single" w:color="auto" w:sz="4" w:space="0"/>
              <w:left w:val="single" w:color="auto" w:sz="4" w:space="0"/>
              <w:bottom w:val="single" w:color="auto" w:sz="4" w:space="0"/>
              <w:right w:val="single" w:color="auto" w:sz="4" w:space="0"/>
            </w:tcBorders>
            <w:shd w:val="clear" w:color="auto" w:fill="auto"/>
            <w:vAlign w:val="center"/>
          </w:tcPr>
          <w:p w14:paraId="3FCD4EFF">
            <w:pPr>
              <w:autoSpaceDE w:val="0"/>
              <w:adjustRightInd w:val="0"/>
              <w:jc w:val="left"/>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二、服务部分</w:t>
            </w:r>
          </w:p>
        </w:tc>
      </w:tr>
      <w:tr w14:paraId="26499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29024A7C">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b/>
                <w:color w:val="auto"/>
                <w:kern w:val="0"/>
                <w:szCs w:val="21"/>
                <w:highlight w:val="none"/>
                <w:lang w:bidi="ar"/>
              </w:rPr>
              <w:t>序号</w:t>
            </w:r>
          </w:p>
        </w:tc>
        <w:tc>
          <w:tcPr>
            <w:tcW w:w="607" w:type="pct"/>
            <w:tcBorders>
              <w:top w:val="single" w:color="auto" w:sz="4" w:space="0"/>
              <w:left w:val="nil"/>
              <w:bottom w:val="single" w:color="auto" w:sz="4" w:space="0"/>
              <w:right w:val="single" w:color="auto" w:sz="4" w:space="0"/>
            </w:tcBorders>
            <w:shd w:val="clear" w:color="auto" w:fill="auto"/>
            <w:vAlign w:val="center"/>
          </w:tcPr>
          <w:p w14:paraId="65A31611">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服务名称</w:t>
            </w:r>
          </w:p>
        </w:tc>
        <w:tc>
          <w:tcPr>
            <w:tcW w:w="1503" w:type="pct"/>
            <w:gridSpan w:val="3"/>
            <w:tcBorders>
              <w:top w:val="single" w:color="auto" w:sz="4" w:space="0"/>
              <w:left w:val="nil"/>
              <w:bottom w:val="single" w:color="auto" w:sz="4" w:space="0"/>
              <w:right w:val="single" w:color="auto" w:sz="4" w:space="0"/>
            </w:tcBorders>
            <w:shd w:val="clear" w:color="auto" w:fill="auto"/>
            <w:vAlign w:val="center"/>
          </w:tcPr>
          <w:p w14:paraId="1D23EE3F">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服务内容</w:t>
            </w:r>
          </w:p>
        </w:tc>
        <w:tc>
          <w:tcPr>
            <w:tcW w:w="415" w:type="pct"/>
            <w:tcBorders>
              <w:top w:val="single" w:color="auto" w:sz="4" w:space="0"/>
              <w:left w:val="nil"/>
              <w:bottom w:val="single" w:color="auto" w:sz="4" w:space="0"/>
              <w:right w:val="single" w:color="auto" w:sz="4" w:space="0"/>
            </w:tcBorders>
            <w:shd w:val="clear" w:color="auto" w:fill="auto"/>
            <w:vAlign w:val="center"/>
          </w:tcPr>
          <w:p w14:paraId="7D303335">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单位</w:t>
            </w:r>
          </w:p>
        </w:tc>
        <w:tc>
          <w:tcPr>
            <w:tcW w:w="505" w:type="pct"/>
            <w:tcBorders>
              <w:top w:val="single" w:color="auto" w:sz="4" w:space="0"/>
              <w:left w:val="nil"/>
              <w:bottom w:val="single" w:color="auto" w:sz="4" w:space="0"/>
              <w:right w:val="single" w:color="auto" w:sz="4" w:space="0"/>
            </w:tcBorders>
            <w:shd w:val="clear" w:color="auto" w:fill="auto"/>
            <w:vAlign w:val="center"/>
          </w:tcPr>
          <w:p w14:paraId="387055D2">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数量</w:t>
            </w:r>
          </w:p>
        </w:tc>
        <w:tc>
          <w:tcPr>
            <w:tcW w:w="505" w:type="pct"/>
            <w:tcBorders>
              <w:top w:val="single" w:color="auto" w:sz="4" w:space="0"/>
              <w:left w:val="nil"/>
              <w:bottom w:val="single" w:color="auto" w:sz="4" w:space="0"/>
              <w:right w:val="single" w:color="auto" w:sz="4" w:space="0"/>
            </w:tcBorders>
            <w:shd w:val="clear" w:color="auto" w:fill="auto"/>
            <w:vAlign w:val="center"/>
          </w:tcPr>
          <w:p w14:paraId="18FF8C3A">
            <w:pPr>
              <w:autoSpaceDE w:val="0"/>
              <w:adjustRightInd w:val="0"/>
              <w:spacing w:line="360" w:lineRule="auto"/>
              <w:ind w:left="-87"/>
              <w:jc w:val="center"/>
              <w:rPr>
                <w:rFonts w:ascii="宋体" w:hAnsi="宋体" w:eastAsia="宋体" w:cs="宋体"/>
                <w:b/>
                <w:color w:val="auto"/>
                <w:kern w:val="0"/>
                <w:szCs w:val="21"/>
                <w:highlight w:val="none"/>
              </w:rPr>
            </w:pPr>
            <w:r>
              <w:rPr>
                <w:rFonts w:hint="eastAsia" w:ascii="宋体" w:hAnsi="宋体" w:eastAsia="宋体" w:cs="宋体"/>
                <w:b/>
                <w:bCs/>
                <w:color w:val="auto"/>
                <w:szCs w:val="21"/>
                <w:highlight w:val="none"/>
                <w:lang w:bidi="ar"/>
              </w:rPr>
              <w:t>综合</w:t>
            </w:r>
            <w:r>
              <w:rPr>
                <w:rFonts w:hint="eastAsia" w:ascii="宋体" w:hAnsi="宋体" w:eastAsia="宋体" w:cs="宋体"/>
                <w:b/>
                <w:color w:val="auto"/>
                <w:kern w:val="0"/>
                <w:szCs w:val="21"/>
                <w:highlight w:val="none"/>
                <w:lang w:bidi="ar"/>
              </w:rPr>
              <w:t>单价</w:t>
            </w:r>
          </w:p>
          <w:p w14:paraId="0299B437">
            <w:pPr>
              <w:autoSpaceDE w:val="0"/>
              <w:adjustRightInd w:val="0"/>
              <w:spacing w:line="360" w:lineRule="auto"/>
              <w:ind w:left="-87"/>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（元，含税）</w:t>
            </w:r>
          </w:p>
        </w:tc>
        <w:tc>
          <w:tcPr>
            <w:tcW w:w="505" w:type="pct"/>
            <w:tcBorders>
              <w:top w:val="single" w:color="auto" w:sz="4" w:space="0"/>
              <w:left w:val="nil"/>
              <w:bottom w:val="single" w:color="auto" w:sz="4" w:space="0"/>
              <w:right w:val="single" w:color="auto" w:sz="4" w:space="0"/>
            </w:tcBorders>
            <w:shd w:val="clear" w:color="auto" w:fill="auto"/>
            <w:vAlign w:val="center"/>
          </w:tcPr>
          <w:p w14:paraId="44CDCB45">
            <w:pPr>
              <w:autoSpaceDE w:val="0"/>
              <w:adjustRightInd w:val="0"/>
              <w:spacing w:line="360" w:lineRule="auto"/>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lang w:bidi="ar"/>
              </w:rPr>
              <w:t>备注</w:t>
            </w:r>
          </w:p>
        </w:tc>
      </w:tr>
      <w:tr w14:paraId="57A6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3C992DC1">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1</w:t>
            </w:r>
          </w:p>
        </w:tc>
        <w:tc>
          <w:tcPr>
            <w:tcW w:w="607" w:type="pct"/>
            <w:tcBorders>
              <w:top w:val="single" w:color="auto" w:sz="4" w:space="0"/>
              <w:left w:val="nil"/>
              <w:bottom w:val="single" w:color="auto" w:sz="4" w:space="0"/>
              <w:right w:val="single" w:color="auto" w:sz="4" w:space="0"/>
            </w:tcBorders>
            <w:shd w:val="clear" w:color="auto" w:fill="auto"/>
            <w:vAlign w:val="center"/>
          </w:tcPr>
          <w:p w14:paraId="48F5382A">
            <w:pPr>
              <w:autoSpaceDE w:val="0"/>
              <w:adjustRightInd w:val="0"/>
              <w:spacing w:line="360" w:lineRule="auto"/>
              <w:jc w:val="center"/>
              <w:rPr>
                <w:rFonts w:ascii="宋体" w:hAnsi="宋体" w:eastAsia="宋体" w:cs="宋体"/>
                <w:b/>
                <w:color w:val="auto"/>
                <w:kern w:val="0"/>
                <w:szCs w:val="21"/>
                <w:highlight w:val="none"/>
              </w:rPr>
            </w:pPr>
          </w:p>
        </w:tc>
        <w:tc>
          <w:tcPr>
            <w:tcW w:w="1503" w:type="pct"/>
            <w:gridSpan w:val="3"/>
            <w:tcBorders>
              <w:top w:val="single" w:color="auto" w:sz="4" w:space="0"/>
              <w:left w:val="nil"/>
              <w:bottom w:val="single" w:color="auto" w:sz="4" w:space="0"/>
              <w:right w:val="single" w:color="auto" w:sz="4" w:space="0"/>
            </w:tcBorders>
            <w:shd w:val="clear" w:color="auto" w:fill="auto"/>
            <w:vAlign w:val="center"/>
          </w:tcPr>
          <w:p w14:paraId="05663D25">
            <w:pPr>
              <w:autoSpaceDE w:val="0"/>
              <w:adjustRightInd w:val="0"/>
              <w:spacing w:line="360" w:lineRule="auto"/>
              <w:jc w:val="center"/>
              <w:rPr>
                <w:rFonts w:ascii="宋体" w:hAnsi="宋体" w:eastAsia="宋体" w:cs="宋体"/>
                <w:b/>
                <w:color w:val="auto"/>
                <w:kern w:val="0"/>
                <w:szCs w:val="21"/>
                <w:highlight w:val="none"/>
              </w:rPr>
            </w:pPr>
          </w:p>
        </w:tc>
        <w:tc>
          <w:tcPr>
            <w:tcW w:w="415" w:type="pct"/>
            <w:tcBorders>
              <w:top w:val="single" w:color="auto" w:sz="4" w:space="0"/>
              <w:left w:val="nil"/>
              <w:bottom w:val="single" w:color="auto" w:sz="4" w:space="0"/>
              <w:right w:val="single" w:color="auto" w:sz="4" w:space="0"/>
            </w:tcBorders>
            <w:shd w:val="clear" w:color="auto" w:fill="auto"/>
            <w:vAlign w:val="center"/>
          </w:tcPr>
          <w:p w14:paraId="22E8610F">
            <w:pPr>
              <w:autoSpaceDE w:val="0"/>
              <w:adjustRightInd w:val="0"/>
              <w:spacing w:line="360" w:lineRule="auto"/>
              <w:jc w:val="center"/>
              <w:rPr>
                <w:rFonts w:ascii="宋体" w:hAnsi="宋体" w:eastAsia="宋体" w:cs="宋体"/>
                <w:b/>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6818F314">
            <w:pPr>
              <w:autoSpaceDE w:val="0"/>
              <w:adjustRightInd w:val="0"/>
              <w:spacing w:line="360" w:lineRule="auto"/>
              <w:jc w:val="center"/>
              <w:rPr>
                <w:rFonts w:ascii="宋体" w:hAnsi="宋体" w:eastAsia="宋体" w:cs="宋体"/>
                <w:b/>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62C64116">
            <w:pPr>
              <w:autoSpaceDE w:val="0"/>
              <w:adjustRightInd w:val="0"/>
              <w:spacing w:line="360" w:lineRule="auto"/>
              <w:ind w:left="-87"/>
              <w:jc w:val="center"/>
              <w:rPr>
                <w:rFonts w:ascii="宋体" w:hAnsi="宋体" w:eastAsia="宋体" w:cs="宋体"/>
                <w:b/>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537E6CA6">
            <w:pPr>
              <w:autoSpaceDE w:val="0"/>
              <w:adjustRightInd w:val="0"/>
              <w:spacing w:line="360" w:lineRule="auto"/>
              <w:jc w:val="center"/>
              <w:rPr>
                <w:rFonts w:ascii="宋体" w:hAnsi="宋体" w:eastAsia="宋体" w:cs="宋体"/>
                <w:b/>
                <w:color w:val="auto"/>
                <w:kern w:val="0"/>
                <w:szCs w:val="21"/>
                <w:highlight w:val="none"/>
              </w:rPr>
            </w:pPr>
          </w:p>
        </w:tc>
      </w:tr>
      <w:tr w14:paraId="6E45E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2AAE8324">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2</w:t>
            </w:r>
          </w:p>
        </w:tc>
        <w:tc>
          <w:tcPr>
            <w:tcW w:w="607" w:type="pct"/>
            <w:tcBorders>
              <w:top w:val="single" w:color="auto" w:sz="4" w:space="0"/>
              <w:left w:val="nil"/>
              <w:bottom w:val="single" w:color="auto" w:sz="4" w:space="0"/>
              <w:right w:val="single" w:color="auto" w:sz="4" w:space="0"/>
            </w:tcBorders>
            <w:shd w:val="clear" w:color="auto" w:fill="auto"/>
            <w:vAlign w:val="center"/>
          </w:tcPr>
          <w:p w14:paraId="01D8B622">
            <w:pPr>
              <w:autoSpaceDE w:val="0"/>
              <w:adjustRightInd w:val="0"/>
              <w:spacing w:line="360" w:lineRule="auto"/>
              <w:jc w:val="center"/>
              <w:rPr>
                <w:rFonts w:ascii="宋体" w:hAnsi="宋体" w:eastAsia="宋体" w:cs="宋体"/>
                <w:color w:val="auto"/>
                <w:kern w:val="0"/>
                <w:szCs w:val="21"/>
                <w:highlight w:val="none"/>
              </w:rPr>
            </w:pPr>
          </w:p>
        </w:tc>
        <w:tc>
          <w:tcPr>
            <w:tcW w:w="1503" w:type="pct"/>
            <w:gridSpan w:val="3"/>
            <w:tcBorders>
              <w:top w:val="single" w:color="auto" w:sz="4" w:space="0"/>
              <w:left w:val="nil"/>
              <w:bottom w:val="single" w:color="auto" w:sz="4" w:space="0"/>
              <w:right w:val="single" w:color="auto" w:sz="4" w:space="0"/>
            </w:tcBorders>
            <w:shd w:val="clear" w:color="auto" w:fill="auto"/>
            <w:vAlign w:val="center"/>
          </w:tcPr>
          <w:p w14:paraId="348BE489">
            <w:pPr>
              <w:autoSpaceDE w:val="0"/>
              <w:adjustRightInd w:val="0"/>
              <w:spacing w:line="360" w:lineRule="auto"/>
              <w:jc w:val="center"/>
              <w:rPr>
                <w:rFonts w:ascii="宋体" w:hAnsi="宋体" w:eastAsia="宋体" w:cs="宋体"/>
                <w:color w:val="auto"/>
                <w:kern w:val="0"/>
                <w:szCs w:val="21"/>
                <w:highlight w:val="none"/>
              </w:rPr>
            </w:pPr>
          </w:p>
        </w:tc>
        <w:tc>
          <w:tcPr>
            <w:tcW w:w="415" w:type="pct"/>
            <w:tcBorders>
              <w:top w:val="single" w:color="auto" w:sz="4" w:space="0"/>
              <w:left w:val="nil"/>
              <w:bottom w:val="single" w:color="auto" w:sz="4" w:space="0"/>
              <w:right w:val="single" w:color="auto" w:sz="4" w:space="0"/>
            </w:tcBorders>
            <w:shd w:val="clear" w:color="auto" w:fill="auto"/>
            <w:vAlign w:val="center"/>
          </w:tcPr>
          <w:p w14:paraId="4D983FA2">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4D0A9DA6">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64014A6B">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50A76EC6">
            <w:pPr>
              <w:autoSpaceDE w:val="0"/>
              <w:adjustRightInd w:val="0"/>
              <w:spacing w:line="360" w:lineRule="auto"/>
              <w:jc w:val="center"/>
              <w:rPr>
                <w:rFonts w:ascii="宋体" w:hAnsi="宋体" w:eastAsia="宋体" w:cs="宋体"/>
                <w:color w:val="auto"/>
                <w:kern w:val="0"/>
                <w:szCs w:val="21"/>
                <w:highlight w:val="none"/>
              </w:rPr>
            </w:pPr>
          </w:p>
        </w:tc>
      </w:tr>
      <w:tr w14:paraId="4355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690ACA0A">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3</w:t>
            </w:r>
          </w:p>
        </w:tc>
        <w:tc>
          <w:tcPr>
            <w:tcW w:w="607" w:type="pct"/>
            <w:tcBorders>
              <w:top w:val="single" w:color="auto" w:sz="4" w:space="0"/>
              <w:left w:val="nil"/>
              <w:bottom w:val="single" w:color="auto" w:sz="4" w:space="0"/>
              <w:right w:val="single" w:color="auto" w:sz="4" w:space="0"/>
            </w:tcBorders>
            <w:shd w:val="clear" w:color="auto" w:fill="auto"/>
            <w:vAlign w:val="center"/>
          </w:tcPr>
          <w:p w14:paraId="1F7BEF3A">
            <w:pPr>
              <w:autoSpaceDE w:val="0"/>
              <w:adjustRightInd w:val="0"/>
              <w:spacing w:line="360" w:lineRule="auto"/>
              <w:jc w:val="center"/>
              <w:rPr>
                <w:rFonts w:ascii="宋体" w:hAnsi="宋体" w:eastAsia="宋体" w:cs="宋体"/>
                <w:color w:val="auto"/>
                <w:kern w:val="0"/>
                <w:szCs w:val="21"/>
                <w:highlight w:val="none"/>
              </w:rPr>
            </w:pPr>
          </w:p>
        </w:tc>
        <w:tc>
          <w:tcPr>
            <w:tcW w:w="1503" w:type="pct"/>
            <w:gridSpan w:val="3"/>
            <w:tcBorders>
              <w:top w:val="single" w:color="auto" w:sz="4" w:space="0"/>
              <w:left w:val="nil"/>
              <w:bottom w:val="single" w:color="auto" w:sz="4" w:space="0"/>
              <w:right w:val="single" w:color="auto" w:sz="4" w:space="0"/>
            </w:tcBorders>
            <w:shd w:val="clear" w:color="auto" w:fill="auto"/>
            <w:vAlign w:val="center"/>
          </w:tcPr>
          <w:p w14:paraId="0C5B5209">
            <w:pPr>
              <w:autoSpaceDE w:val="0"/>
              <w:adjustRightInd w:val="0"/>
              <w:spacing w:line="360" w:lineRule="auto"/>
              <w:jc w:val="center"/>
              <w:rPr>
                <w:rFonts w:ascii="宋体" w:hAnsi="宋体" w:eastAsia="宋体" w:cs="宋体"/>
                <w:color w:val="auto"/>
                <w:kern w:val="0"/>
                <w:szCs w:val="21"/>
                <w:highlight w:val="none"/>
              </w:rPr>
            </w:pPr>
          </w:p>
        </w:tc>
        <w:tc>
          <w:tcPr>
            <w:tcW w:w="415" w:type="pct"/>
            <w:tcBorders>
              <w:top w:val="single" w:color="auto" w:sz="4" w:space="0"/>
              <w:left w:val="nil"/>
              <w:bottom w:val="single" w:color="auto" w:sz="4" w:space="0"/>
              <w:right w:val="single" w:color="auto" w:sz="4" w:space="0"/>
            </w:tcBorders>
            <w:shd w:val="clear" w:color="auto" w:fill="auto"/>
            <w:vAlign w:val="center"/>
          </w:tcPr>
          <w:p w14:paraId="0E168770">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572980E8">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59D0321E">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2815FCCF">
            <w:pPr>
              <w:autoSpaceDE w:val="0"/>
              <w:adjustRightInd w:val="0"/>
              <w:spacing w:line="360" w:lineRule="auto"/>
              <w:jc w:val="center"/>
              <w:rPr>
                <w:rFonts w:ascii="宋体" w:hAnsi="宋体" w:eastAsia="宋体" w:cs="宋体"/>
                <w:color w:val="auto"/>
                <w:kern w:val="0"/>
                <w:szCs w:val="21"/>
                <w:highlight w:val="none"/>
              </w:rPr>
            </w:pPr>
          </w:p>
        </w:tc>
      </w:tr>
      <w:tr w14:paraId="05F9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7C41B312">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w:t>
            </w:r>
          </w:p>
        </w:tc>
        <w:tc>
          <w:tcPr>
            <w:tcW w:w="607" w:type="pct"/>
            <w:tcBorders>
              <w:top w:val="single" w:color="auto" w:sz="4" w:space="0"/>
              <w:left w:val="nil"/>
              <w:bottom w:val="single" w:color="auto" w:sz="4" w:space="0"/>
              <w:right w:val="single" w:color="auto" w:sz="4" w:space="0"/>
            </w:tcBorders>
            <w:shd w:val="clear" w:color="auto" w:fill="auto"/>
            <w:vAlign w:val="center"/>
          </w:tcPr>
          <w:p w14:paraId="5D7BEEE1">
            <w:pPr>
              <w:autoSpaceDE w:val="0"/>
              <w:adjustRightInd w:val="0"/>
              <w:spacing w:line="360" w:lineRule="auto"/>
              <w:jc w:val="center"/>
              <w:rPr>
                <w:rFonts w:ascii="宋体" w:hAnsi="宋体" w:eastAsia="宋体" w:cs="宋体"/>
                <w:color w:val="auto"/>
                <w:kern w:val="0"/>
                <w:szCs w:val="21"/>
                <w:highlight w:val="none"/>
              </w:rPr>
            </w:pPr>
          </w:p>
        </w:tc>
        <w:tc>
          <w:tcPr>
            <w:tcW w:w="1503" w:type="pct"/>
            <w:gridSpan w:val="3"/>
            <w:tcBorders>
              <w:top w:val="single" w:color="auto" w:sz="4" w:space="0"/>
              <w:left w:val="nil"/>
              <w:bottom w:val="single" w:color="auto" w:sz="4" w:space="0"/>
              <w:right w:val="single" w:color="auto" w:sz="4" w:space="0"/>
            </w:tcBorders>
            <w:shd w:val="clear" w:color="auto" w:fill="auto"/>
            <w:vAlign w:val="center"/>
          </w:tcPr>
          <w:p w14:paraId="58253C50">
            <w:pPr>
              <w:autoSpaceDE w:val="0"/>
              <w:adjustRightInd w:val="0"/>
              <w:spacing w:line="360" w:lineRule="auto"/>
              <w:jc w:val="center"/>
              <w:rPr>
                <w:rFonts w:ascii="宋体" w:hAnsi="宋体" w:eastAsia="宋体" w:cs="宋体"/>
                <w:color w:val="auto"/>
                <w:kern w:val="0"/>
                <w:szCs w:val="21"/>
                <w:highlight w:val="none"/>
              </w:rPr>
            </w:pPr>
          </w:p>
        </w:tc>
        <w:tc>
          <w:tcPr>
            <w:tcW w:w="415" w:type="pct"/>
            <w:tcBorders>
              <w:top w:val="single" w:color="auto" w:sz="4" w:space="0"/>
              <w:left w:val="nil"/>
              <w:bottom w:val="single" w:color="auto" w:sz="4" w:space="0"/>
              <w:right w:val="single" w:color="auto" w:sz="4" w:space="0"/>
            </w:tcBorders>
            <w:shd w:val="clear" w:color="auto" w:fill="auto"/>
            <w:vAlign w:val="center"/>
          </w:tcPr>
          <w:p w14:paraId="5AAAA236">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310561E6">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0CBD7B09">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6BC34EDF">
            <w:pPr>
              <w:autoSpaceDE w:val="0"/>
              <w:adjustRightInd w:val="0"/>
              <w:spacing w:line="360" w:lineRule="auto"/>
              <w:jc w:val="center"/>
              <w:rPr>
                <w:rFonts w:ascii="宋体" w:hAnsi="宋体" w:eastAsia="宋体" w:cs="宋体"/>
                <w:color w:val="auto"/>
                <w:kern w:val="0"/>
                <w:szCs w:val="21"/>
                <w:highlight w:val="none"/>
              </w:rPr>
            </w:pPr>
          </w:p>
        </w:tc>
      </w:tr>
      <w:tr w14:paraId="7604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6"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7F4EB2DE">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小  计</w:t>
            </w:r>
          </w:p>
        </w:tc>
        <w:tc>
          <w:tcPr>
            <w:tcW w:w="505" w:type="pct"/>
            <w:tcBorders>
              <w:top w:val="single" w:color="auto" w:sz="4" w:space="0"/>
              <w:left w:val="nil"/>
              <w:bottom w:val="single" w:color="auto" w:sz="4" w:space="0"/>
              <w:right w:val="single" w:color="auto" w:sz="4" w:space="0"/>
            </w:tcBorders>
            <w:shd w:val="clear" w:color="auto" w:fill="auto"/>
            <w:vAlign w:val="center"/>
          </w:tcPr>
          <w:p w14:paraId="13FD5DA3">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16CD6E3D">
            <w:pPr>
              <w:autoSpaceDE w:val="0"/>
              <w:adjustRightInd w:val="0"/>
              <w:spacing w:line="360" w:lineRule="auto"/>
              <w:jc w:val="center"/>
              <w:rPr>
                <w:rFonts w:ascii="宋体" w:hAnsi="宋体" w:eastAsia="宋体" w:cs="宋体"/>
                <w:color w:val="auto"/>
                <w:kern w:val="0"/>
                <w:szCs w:val="21"/>
                <w:highlight w:val="none"/>
              </w:rPr>
            </w:pPr>
          </w:p>
        </w:tc>
      </w:tr>
      <w:tr w14:paraId="51D1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36"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7896BB90">
            <w:pPr>
              <w:autoSpaceDE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合  计 （货物+服务，含税）</w:t>
            </w:r>
          </w:p>
        </w:tc>
        <w:tc>
          <w:tcPr>
            <w:tcW w:w="505" w:type="pct"/>
            <w:tcBorders>
              <w:top w:val="single" w:color="auto" w:sz="4" w:space="0"/>
              <w:left w:val="nil"/>
              <w:bottom w:val="single" w:color="auto" w:sz="4" w:space="0"/>
              <w:right w:val="single" w:color="auto" w:sz="4" w:space="0"/>
            </w:tcBorders>
            <w:shd w:val="clear" w:color="auto" w:fill="auto"/>
            <w:vAlign w:val="center"/>
          </w:tcPr>
          <w:p w14:paraId="17B3BD5D">
            <w:pPr>
              <w:autoSpaceDE w:val="0"/>
              <w:adjustRightInd w:val="0"/>
              <w:spacing w:line="360" w:lineRule="auto"/>
              <w:jc w:val="center"/>
              <w:rPr>
                <w:rFonts w:ascii="宋体" w:hAnsi="宋体" w:eastAsia="宋体" w:cs="宋体"/>
                <w:color w:val="auto"/>
                <w:kern w:val="0"/>
                <w:szCs w:val="21"/>
                <w:highlight w:val="none"/>
              </w:rPr>
            </w:pPr>
          </w:p>
        </w:tc>
        <w:tc>
          <w:tcPr>
            <w:tcW w:w="505" w:type="pct"/>
            <w:tcBorders>
              <w:top w:val="single" w:color="auto" w:sz="4" w:space="0"/>
              <w:left w:val="nil"/>
              <w:bottom w:val="single" w:color="auto" w:sz="4" w:space="0"/>
              <w:right w:val="single" w:color="auto" w:sz="4" w:space="0"/>
            </w:tcBorders>
            <w:shd w:val="clear" w:color="auto" w:fill="auto"/>
            <w:vAlign w:val="center"/>
          </w:tcPr>
          <w:p w14:paraId="59C9AA2E">
            <w:pPr>
              <w:autoSpaceDE w:val="0"/>
              <w:adjustRightInd w:val="0"/>
              <w:spacing w:line="360" w:lineRule="auto"/>
              <w:jc w:val="center"/>
              <w:rPr>
                <w:rFonts w:ascii="宋体" w:hAnsi="宋体" w:eastAsia="宋体" w:cs="宋体"/>
                <w:color w:val="auto"/>
                <w:kern w:val="0"/>
                <w:szCs w:val="21"/>
                <w:highlight w:val="none"/>
              </w:rPr>
            </w:pPr>
          </w:p>
        </w:tc>
      </w:tr>
    </w:tbl>
    <w:p w14:paraId="5C45445E">
      <w:pPr>
        <w:autoSpaceDE w:val="0"/>
        <w:autoSpaceDN w:val="0"/>
        <w:adjustRightInd w:val="0"/>
        <w:spacing w:line="360" w:lineRule="auto"/>
        <w:jc w:val="left"/>
        <w:rPr>
          <w:rFonts w:ascii="宋体" w:hAnsi="宋体" w:eastAsia="宋体" w:cs="宋体"/>
          <w:b/>
          <w:color w:val="auto"/>
          <w:kern w:val="0"/>
          <w:szCs w:val="21"/>
          <w:highlight w:val="none"/>
        </w:rPr>
      </w:pPr>
    </w:p>
    <w:p w14:paraId="776E667C">
      <w:pPr>
        <w:autoSpaceDE w:val="0"/>
        <w:autoSpaceDN w:val="0"/>
        <w:adjustRightInd w:val="0"/>
        <w:spacing w:line="360" w:lineRule="auto"/>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备</w:t>
      </w:r>
      <w:r>
        <w:rPr>
          <w:rFonts w:hint="eastAsia" w:ascii="宋体" w:hAnsi="宋体" w:eastAsia="宋体" w:cs="宋体"/>
          <w:color w:val="auto"/>
          <w:kern w:val="3"/>
          <w:szCs w:val="21"/>
          <w:highlight w:val="none"/>
          <w:lang w:bidi="ar"/>
        </w:rPr>
        <w:t>注：</w:t>
      </w:r>
    </w:p>
    <w:p w14:paraId="234C4617">
      <w:pPr>
        <w:autoSpaceDE w:val="0"/>
        <w:autoSpaceDN w:val="0"/>
        <w:adjustRightInd w:val="0"/>
        <w:snapToGrid w:val="0"/>
        <w:spacing w:line="360" w:lineRule="auto"/>
        <w:ind w:left="525" w:hanging="525" w:hangingChars="25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（1）此表乃投标报价表内“综合单价（含税）”的价格明细表，投标人应根据招标范围内分项内容的数量扩展报价表；如内容较多，投标人可将每一分项内容单独列表，未提供附表的部分格式不限。</w:t>
      </w:r>
    </w:p>
    <w:p w14:paraId="448C012C">
      <w:pPr>
        <w:autoSpaceDE w:val="0"/>
        <w:autoSpaceDN w:val="0"/>
        <w:adjustRightInd w:val="0"/>
        <w:snapToGrid w:val="0"/>
        <w:spacing w:line="360" w:lineRule="auto"/>
        <w:ind w:left="525" w:hanging="525" w:hangingChars="250"/>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2）投标人应列明按“用户需求书”所要求的招标范围内全部货物及其服务的价格明细。投标人未填单价或合价或漏量或漏项的项目，在实施后，招标人将不予以支付，并视为该项费用已包括在其他有价款的单价或合价内。</w:t>
      </w:r>
    </w:p>
    <w:p w14:paraId="67CB0BC3">
      <w:pPr>
        <w:autoSpaceDE w:val="0"/>
        <w:autoSpaceDN w:val="0"/>
        <w:adjustRightInd w:val="0"/>
        <w:snapToGrid w:val="0"/>
        <w:spacing w:line="360" w:lineRule="auto"/>
        <w:ind w:left="527" w:hanging="527" w:hangingChars="250"/>
        <w:jc w:val="left"/>
        <w:rPr>
          <w:rFonts w:ascii="宋体" w:hAnsi="宋体" w:eastAsia="宋体" w:cs="宋体"/>
          <w:color w:val="auto"/>
          <w:szCs w:val="21"/>
          <w:highlight w:val="none"/>
        </w:rPr>
      </w:pPr>
      <w:r>
        <w:rPr>
          <w:rFonts w:hint="eastAsia" w:ascii="宋体" w:hAnsi="宋体" w:eastAsia="宋体" w:cs="宋体"/>
          <w:b/>
          <w:bCs/>
          <w:color w:val="auto"/>
          <w:kern w:val="0"/>
          <w:szCs w:val="21"/>
          <w:highlight w:val="none"/>
          <w:lang w:bidi="ar"/>
        </w:rPr>
        <w:t>（3）</w:t>
      </w:r>
      <w:r>
        <w:rPr>
          <w:rFonts w:hint="eastAsia" w:ascii="宋体" w:hAnsi="宋体" w:eastAsia="宋体" w:cs="宋体"/>
          <w:b/>
          <w:bCs/>
          <w:color w:val="auto"/>
          <w:kern w:val="0"/>
          <w:szCs w:val="21"/>
          <w:highlight w:val="none"/>
          <w:u w:val="single"/>
          <w:lang w:bidi="ar"/>
        </w:rPr>
        <w:t>招标文件及用户需求书虽未列出，但根据为满足</w:t>
      </w:r>
      <w:r>
        <w:rPr>
          <w:rFonts w:hint="eastAsia" w:ascii="宋体" w:hAnsi="宋体" w:eastAsia="宋体" w:cs="宋体"/>
          <w:b/>
          <w:bCs/>
          <w:color w:val="auto"/>
          <w:kern w:val="0"/>
          <w:szCs w:val="21"/>
          <w:highlight w:val="none"/>
          <w:u w:val="single"/>
          <w:lang w:val="en-US" w:eastAsia="zh-CN" w:bidi="ar"/>
        </w:rPr>
        <w:t>防撞缓冲车</w:t>
      </w:r>
      <w:r>
        <w:rPr>
          <w:rFonts w:hint="eastAsia" w:ascii="宋体" w:hAnsi="宋体" w:eastAsia="宋体" w:cs="宋体"/>
          <w:b/>
          <w:bCs/>
          <w:color w:val="auto"/>
          <w:kern w:val="0"/>
          <w:szCs w:val="21"/>
          <w:highlight w:val="none"/>
          <w:u w:val="single"/>
          <w:lang w:bidi="ar"/>
        </w:rPr>
        <w:t>功能所必需的设备材料，投标人应在本分项报价</w:t>
      </w:r>
      <w:r>
        <w:rPr>
          <w:rFonts w:hint="eastAsia" w:ascii="宋体" w:hAnsi="宋体" w:eastAsia="宋体" w:cs="宋体"/>
          <w:b/>
          <w:color w:val="auto"/>
          <w:kern w:val="0"/>
          <w:szCs w:val="21"/>
          <w:highlight w:val="none"/>
          <w:u w:val="single"/>
          <w:lang w:bidi="ar"/>
        </w:rPr>
        <w:t>中列出。如未列出，项目实施时必须无条件及时提供，视为该部分报价已列入其他单项中，招标人不再另行支付费用</w:t>
      </w:r>
      <w:r>
        <w:rPr>
          <w:rFonts w:hint="eastAsia" w:ascii="宋体" w:hAnsi="宋体" w:eastAsia="宋体" w:cs="宋体"/>
          <w:b/>
          <w:color w:val="auto"/>
          <w:kern w:val="0"/>
          <w:szCs w:val="21"/>
          <w:highlight w:val="none"/>
          <w:lang w:bidi="ar"/>
        </w:rPr>
        <w:t>。</w:t>
      </w:r>
    </w:p>
    <w:p w14:paraId="5741FF8A">
      <w:pPr>
        <w:autoSpaceDE w:val="0"/>
        <w:autoSpaceDN w:val="0"/>
        <w:adjustRightInd w:val="0"/>
        <w:snapToGrid w:val="0"/>
        <w:spacing w:line="360" w:lineRule="auto"/>
        <w:ind w:left="527" w:hanging="527" w:hangingChars="250"/>
        <w:jc w:val="left"/>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（4）</w:t>
      </w:r>
      <w:r>
        <w:rPr>
          <w:rFonts w:hint="eastAsia" w:ascii="宋体" w:hAnsi="宋体" w:eastAsia="宋体" w:cs="宋体"/>
          <w:b/>
          <w:color w:val="auto"/>
          <w:kern w:val="0"/>
          <w:szCs w:val="21"/>
          <w:highlight w:val="none"/>
          <w:u w:val="single"/>
          <w:lang w:bidi="ar"/>
        </w:rPr>
        <w:t>本综合单价明细表内的合计金额与投标报价表内综合单价金额不一致的，以投标报价表内综合单价为准，并同比例修正综合单价明细表内单价</w:t>
      </w:r>
      <w:r>
        <w:rPr>
          <w:rFonts w:hint="eastAsia" w:ascii="宋体" w:hAnsi="宋体" w:eastAsia="宋体" w:cs="宋体"/>
          <w:b/>
          <w:color w:val="auto"/>
          <w:kern w:val="0"/>
          <w:szCs w:val="21"/>
          <w:highlight w:val="none"/>
          <w:lang w:bidi="ar"/>
        </w:rPr>
        <w:t>。</w:t>
      </w:r>
    </w:p>
    <w:p w14:paraId="631D1A96">
      <w:pPr>
        <w:pStyle w:val="2"/>
        <w:rPr>
          <w:rFonts w:hint="eastAsia" w:ascii="宋体" w:hAnsi="宋体" w:eastAsia="宋体" w:cs="Times New Roman"/>
          <w:color w:val="auto"/>
          <w:kern w:val="0"/>
          <w:szCs w:val="21"/>
          <w:highlight w:val="none"/>
        </w:rPr>
      </w:pPr>
    </w:p>
    <w:p w14:paraId="3C52651E">
      <w:pPr>
        <w:rPr>
          <w:color w:val="auto"/>
          <w:highlight w:val="none"/>
        </w:rPr>
      </w:pPr>
    </w:p>
    <w:p w14:paraId="33BFCF23">
      <w:pPr>
        <w:autoSpaceDE w:val="0"/>
        <w:autoSpaceDN w:val="0"/>
        <w:adjustRightInd w:val="0"/>
        <w:spacing w:line="360" w:lineRule="auto"/>
        <w:ind w:firstLine="315" w:firstLineChars="150"/>
        <w:jc w:val="righ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投标人：（加盖投标人法人公章）</w:t>
      </w:r>
    </w:p>
    <w:p w14:paraId="3A6B9064">
      <w:pPr>
        <w:autoSpaceDE w:val="0"/>
        <w:autoSpaceDN w:val="0"/>
        <w:adjustRightInd w:val="0"/>
        <w:spacing w:line="360" w:lineRule="auto"/>
        <w:ind w:right="275" w:rightChars="131"/>
        <w:jc w:val="righ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   年   月   日</w:t>
      </w:r>
    </w:p>
    <w:p w14:paraId="0B610C90">
      <w:pPr>
        <w:autoSpaceDE/>
        <w:autoSpaceDN/>
        <w:adjustRightInd/>
        <w:spacing w:line="240" w:lineRule="auto"/>
        <w:ind w:firstLine="0" w:firstLineChars="0"/>
        <w:rPr>
          <w:rFonts w:ascii="宋体" w:hAnsi="宋体" w:eastAsia="宋体" w:cs="Times New Roman"/>
          <w:color w:val="auto"/>
          <w:sz w:val="24"/>
          <w:szCs w:val="24"/>
          <w:highlight w:val="none"/>
          <w:lang w:val="zh-CN"/>
        </w:rPr>
      </w:pPr>
      <w:r>
        <w:rPr>
          <w:rFonts w:ascii="宋体" w:hAnsi="宋体" w:eastAsia="宋体" w:cs="Times New Roman"/>
          <w:color w:val="auto"/>
          <w:sz w:val="24"/>
          <w:szCs w:val="24"/>
          <w:highlight w:val="none"/>
          <w:lang w:val="zh-CN"/>
        </w:rPr>
        <w:br w:type="page"/>
      </w:r>
    </w:p>
    <w:p w14:paraId="0D61AF84">
      <w:pPr>
        <w:tabs>
          <w:tab w:val="left" w:pos="567"/>
        </w:tabs>
        <w:autoSpaceDE w:val="0"/>
        <w:autoSpaceDN w:val="0"/>
        <w:adjustRightInd w:val="0"/>
        <w:spacing w:line="360" w:lineRule="auto"/>
        <w:jc w:val="left"/>
        <w:outlineLvl w:val="2"/>
        <w:rPr>
          <w:rFonts w:ascii="宋体" w:hAnsi="宋体" w:eastAsia="宋体" w:cs="宋体"/>
          <w:b/>
          <w:color w:val="auto"/>
          <w:kern w:val="0"/>
          <w:sz w:val="32"/>
          <w:szCs w:val="32"/>
          <w:highlight w:val="none"/>
        </w:rPr>
      </w:pPr>
      <w:bookmarkStart w:id="469" w:name="_Toc102860074"/>
      <w:bookmarkStart w:id="470" w:name="_Toc142508369"/>
      <w:bookmarkStart w:id="471" w:name="_Toc102860418"/>
      <w:bookmarkStart w:id="472" w:name="_Toc18828"/>
      <w:bookmarkStart w:id="473" w:name="_Toc94107209"/>
      <w:bookmarkStart w:id="474" w:name="_Toc1977725"/>
      <w:bookmarkStart w:id="475" w:name="_Toc24015"/>
      <w:bookmarkStart w:id="476" w:name="_Toc104991875"/>
      <w:bookmarkStart w:id="477" w:name="_Toc140596928"/>
      <w:bookmarkStart w:id="478" w:name="_Toc10754"/>
      <w:bookmarkStart w:id="479" w:name="_Toc20759_WPSOffice_Level2"/>
      <w:bookmarkStart w:id="480" w:name="_Toc533708124"/>
      <w:bookmarkStart w:id="481" w:name="_Toc486167712"/>
      <w:r>
        <w:rPr>
          <w:rFonts w:hint="eastAsia" w:ascii="宋体" w:hAnsi="宋体" w:eastAsia="宋体" w:cs="宋体"/>
          <w:b/>
          <w:bCs/>
          <w:color w:val="auto"/>
          <w:sz w:val="30"/>
          <w:szCs w:val="30"/>
          <w:highlight w:val="none"/>
          <w:lang w:val="en-US" w:eastAsia="zh-CN"/>
        </w:rPr>
        <w:t>五</w:t>
      </w:r>
      <w:r>
        <w:rPr>
          <w:rFonts w:hint="eastAsia" w:ascii="宋体" w:hAnsi="宋体" w:eastAsia="宋体" w:cs="宋体"/>
          <w:b/>
          <w:color w:val="auto"/>
          <w:kern w:val="0"/>
          <w:sz w:val="32"/>
          <w:szCs w:val="32"/>
          <w:highlight w:val="none"/>
        </w:rPr>
        <w:t>、投标人资格证明文件</w:t>
      </w:r>
      <w:bookmarkEnd w:id="469"/>
      <w:bookmarkEnd w:id="470"/>
      <w:bookmarkEnd w:id="471"/>
      <w:bookmarkEnd w:id="472"/>
      <w:bookmarkEnd w:id="473"/>
      <w:bookmarkEnd w:id="474"/>
      <w:bookmarkEnd w:id="475"/>
      <w:bookmarkEnd w:id="476"/>
      <w:bookmarkEnd w:id="477"/>
      <w:bookmarkEnd w:id="478"/>
    </w:p>
    <w:p w14:paraId="750604B7">
      <w:pPr>
        <w:tabs>
          <w:tab w:val="left" w:pos="567"/>
        </w:tabs>
        <w:autoSpaceDE w:val="0"/>
        <w:autoSpaceDN w:val="0"/>
        <w:adjustRightInd w:val="0"/>
        <w:spacing w:line="360" w:lineRule="auto"/>
        <w:jc w:val="left"/>
        <w:outlineLvl w:val="2"/>
        <w:rPr>
          <w:rFonts w:ascii="宋体" w:hAnsi="宋体" w:eastAsia="宋体" w:cs="宋体"/>
          <w:b/>
          <w:color w:val="auto"/>
          <w:kern w:val="0"/>
          <w:sz w:val="30"/>
          <w:szCs w:val="30"/>
          <w:highlight w:val="none"/>
        </w:rPr>
      </w:pPr>
      <w:bookmarkStart w:id="482" w:name="_Toc142508370"/>
      <w:bookmarkStart w:id="483" w:name="_Toc102860419"/>
      <w:bookmarkStart w:id="484" w:name="_Toc31420"/>
      <w:bookmarkStart w:id="485" w:name="_Toc140596929"/>
      <w:bookmarkStart w:id="486" w:name="_Toc508"/>
      <w:bookmarkStart w:id="487" w:name="_Toc104991876"/>
      <w:bookmarkStart w:id="488" w:name="_Toc102860075"/>
      <w:bookmarkStart w:id="489" w:name="_Toc94107210"/>
      <w:bookmarkStart w:id="490" w:name="_Toc28382"/>
      <w:bookmarkStart w:id="491" w:name="_Toc1977726"/>
      <w:r>
        <w:rPr>
          <w:rFonts w:hint="eastAsia" w:ascii="宋体" w:hAnsi="宋体" w:eastAsia="宋体" w:cs="宋体"/>
          <w:b/>
          <w:color w:val="auto"/>
          <w:kern w:val="0"/>
          <w:sz w:val="30"/>
          <w:szCs w:val="30"/>
          <w:highlight w:val="none"/>
          <w:lang w:val="en-US" w:eastAsia="zh-CN"/>
        </w:rPr>
        <w:t>5</w:t>
      </w:r>
      <w:r>
        <w:rPr>
          <w:rFonts w:hint="eastAsia" w:ascii="宋体" w:hAnsi="宋体" w:eastAsia="宋体" w:cs="宋体"/>
          <w:b/>
          <w:color w:val="auto"/>
          <w:kern w:val="0"/>
          <w:sz w:val="30"/>
          <w:szCs w:val="30"/>
          <w:highlight w:val="none"/>
        </w:rPr>
        <w:t>.1 多证合一营业执照（或事业单位法人证书）复印件</w:t>
      </w:r>
      <w:bookmarkEnd w:id="482"/>
      <w:bookmarkEnd w:id="483"/>
      <w:bookmarkEnd w:id="484"/>
      <w:bookmarkEnd w:id="485"/>
      <w:bookmarkEnd w:id="486"/>
      <w:bookmarkEnd w:id="487"/>
      <w:bookmarkEnd w:id="488"/>
      <w:bookmarkEnd w:id="489"/>
      <w:bookmarkEnd w:id="490"/>
    </w:p>
    <w:p w14:paraId="1741C4B3">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1AB9F8D2">
      <w:pPr>
        <w:tabs>
          <w:tab w:val="left" w:pos="567"/>
        </w:tabs>
        <w:autoSpaceDE w:val="0"/>
        <w:autoSpaceDN w:val="0"/>
        <w:adjustRightInd w:val="0"/>
        <w:spacing w:line="360" w:lineRule="auto"/>
        <w:ind w:firstLine="316" w:firstLineChars="150"/>
        <w:jc w:val="left"/>
        <w:outlineLvl w:val="2"/>
        <w:rPr>
          <w:rFonts w:ascii="宋体" w:hAnsi="宋体" w:eastAsia="宋体" w:cs="宋体"/>
          <w:b/>
          <w:color w:val="auto"/>
          <w:kern w:val="0"/>
          <w:szCs w:val="21"/>
          <w:highlight w:val="none"/>
        </w:rPr>
        <w:sectPr>
          <w:pgSz w:w="12240" w:h="15840"/>
          <w:pgMar w:top="1191" w:right="1043" w:bottom="1191" w:left="1043" w:header="720" w:footer="720" w:gutter="0"/>
          <w:cols w:space="720" w:num="1"/>
          <w:titlePg/>
          <w:docGrid w:linePitch="326" w:charSpace="0"/>
        </w:sectPr>
      </w:pPr>
    </w:p>
    <w:p w14:paraId="29D2F9ED">
      <w:pPr>
        <w:tabs>
          <w:tab w:val="left" w:pos="567"/>
        </w:tabs>
        <w:autoSpaceDE w:val="0"/>
        <w:autoSpaceDN w:val="0"/>
        <w:adjustRightInd w:val="0"/>
        <w:spacing w:line="360" w:lineRule="auto"/>
        <w:jc w:val="left"/>
        <w:outlineLvl w:val="2"/>
        <w:rPr>
          <w:rFonts w:ascii="宋体" w:hAnsi="宋体" w:eastAsia="宋体" w:cs="宋体"/>
          <w:b/>
          <w:color w:val="auto"/>
          <w:kern w:val="0"/>
          <w:sz w:val="30"/>
          <w:szCs w:val="30"/>
          <w:highlight w:val="none"/>
        </w:rPr>
      </w:pPr>
      <w:bookmarkStart w:id="492" w:name="_Toc1033"/>
      <w:bookmarkStart w:id="493" w:name="_Toc140596930"/>
      <w:bookmarkStart w:id="494" w:name="_Toc9489"/>
      <w:bookmarkStart w:id="495" w:name="_Toc94107211"/>
      <w:bookmarkStart w:id="496" w:name="_Toc102860420"/>
      <w:bookmarkStart w:id="497" w:name="_Toc104991877"/>
      <w:bookmarkStart w:id="498" w:name="_Toc26345"/>
      <w:bookmarkStart w:id="499" w:name="_Toc102860076"/>
      <w:bookmarkStart w:id="500" w:name="_Toc142508371"/>
      <w:r>
        <w:rPr>
          <w:rFonts w:hint="eastAsia" w:ascii="宋体" w:hAnsi="宋体" w:eastAsia="宋体" w:cs="宋体"/>
          <w:b/>
          <w:color w:val="auto"/>
          <w:kern w:val="0"/>
          <w:sz w:val="30"/>
          <w:szCs w:val="30"/>
          <w:highlight w:val="none"/>
          <w:lang w:val="en-US" w:eastAsia="zh-CN"/>
        </w:rPr>
        <w:t>5</w:t>
      </w:r>
      <w:r>
        <w:rPr>
          <w:rFonts w:hint="eastAsia" w:ascii="宋体" w:hAnsi="宋体" w:eastAsia="宋体" w:cs="宋体"/>
          <w:b/>
          <w:color w:val="auto"/>
          <w:kern w:val="0"/>
          <w:sz w:val="30"/>
          <w:szCs w:val="30"/>
          <w:highlight w:val="none"/>
        </w:rPr>
        <w:t>.2 开户许可证（基本存款账户）复印件，如投标人企业银行账户开户所在地区已取消企业银行账户许可，投标人应提供基本存款账户开户名称、开户银行、账号、编号等信息及相关备案证明（如有）或其他能证明其为基本存款账户的资料复印件</w:t>
      </w:r>
      <w:bookmarkEnd w:id="492"/>
      <w:bookmarkEnd w:id="493"/>
      <w:bookmarkEnd w:id="494"/>
      <w:bookmarkEnd w:id="495"/>
      <w:bookmarkEnd w:id="496"/>
      <w:bookmarkEnd w:id="497"/>
      <w:bookmarkEnd w:id="498"/>
      <w:bookmarkEnd w:id="499"/>
      <w:bookmarkEnd w:id="500"/>
    </w:p>
    <w:p w14:paraId="54392CDD">
      <w:pPr>
        <w:tabs>
          <w:tab w:val="left" w:pos="567"/>
        </w:tabs>
        <w:autoSpaceDE w:val="0"/>
        <w:autoSpaceDN w:val="0"/>
        <w:adjustRightInd w:val="0"/>
        <w:spacing w:line="360" w:lineRule="auto"/>
        <w:jc w:val="left"/>
        <w:outlineLvl w:val="2"/>
        <w:rPr>
          <w:rFonts w:ascii="宋体" w:hAnsi="宋体" w:eastAsia="宋体" w:cs="宋体"/>
          <w:b/>
          <w:color w:val="auto"/>
          <w:kern w:val="0"/>
          <w:szCs w:val="21"/>
          <w:highlight w:val="none"/>
        </w:rPr>
      </w:pPr>
      <w:r>
        <w:rPr>
          <w:rFonts w:ascii="宋体" w:hAnsi="宋体" w:eastAsia="宋体" w:cs="宋体"/>
          <w:b/>
          <w:color w:val="auto"/>
          <w:kern w:val="0"/>
          <w:sz w:val="30"/>
          <w:szCs w:val="30"/>
          <w:highlight w:val="none"/>
        </w:rPr>
        <w:br w:type="page"/>
      </w:r>
      <w:bookmarkStart w:id="501" w:name="_Toc644"/>
      <w:bookmarkStart w:id="502" w:name="_Toc94107212"/>
      <w:bookmarkStart w:id="503" w:name="_Toc102860077"/>
      <w:bookmarkStart w:id="504" w:name="_Toc102860421"/>
      <w:bookmarkStart w:id="505" w:name="_Toc104991878"/>
      <w:bookmarkStart w:id="506" w:name="_Toc21657"/>
      <w:bookmarkStart w:id="507" w:name="_Toc7718"/>
      <w:bookmarkStart w:id="508" w:name="_Toc140596931"/>
      <w:bookmarkStart w:id="509" w:name="_Toc142508372"/>
      <w:r>
        <w:rPr>
          <w:rFonts w:hint="eastAsia" w:ascii="宋体" w:hAnsi="宋体" w:eastAsia="宋体" w:cs="宋体"/>
          <w:b/>
          <w:color w:val="auto"/>
          <w:kern w:val="0"/>
          <w:sz w:val="30"/>
          <w:szCs w:val="30"/>
          <w:highlight w:val="none"/>
          <w:lang w:val="en-US" w:eastAsia="zh-CN"/>
        </w:rPr>
        <w:t>5</w:t>
      </w:r>
      <w:r>
        <w:rPr>
          <w:rFonts w:hint="eastAsia" w:ascii="宋体" w:hAnsi="宋体" w:eastAsia="宋体" w:cs="宋体"/>
          <w:b/>
          <w:color w:val="auto"/>
          <w:kern w:val="0"/>
          <w:sz w:val="30"/>
          <w:szCs w:val="30"/>
          <w:highlight w:val="none"/>
        </w:rPr>
        <w:t>.3</w:t>
      </w:r>
      <w:r>
        <w:rPr>
          <w:rFonts w:ascii="宋体" w:hAnsi="宋体" w:eastAsia="宋体" w:cs="宋体"/>
          <w:b/>
          <w:color w:val="auto"/>
          <w:kern w:val="0"/>
          <w:sz w:val="30"/>
          <w:szCs w:val="30"/>
          <w:highlight w:val="none"/>
        </w:rPr>
        <w:t xml:space="preserve"> </w:t>
      </w:r>
      <w:r>
        <w:rPr>
          <w:rFonts w:hint="eastAsia" w:ascii="宋体" w:hAnsi="宋体" w:eastAsia="宋体" w:cs="宋体"/>
          <w:b/>
          <w:color w:val="auto"/>
          <w:kern w:val="0"/>
          <w:sz w:val="30"/>
          <w:szCs w:val="30"/>
          <w:highlight w:val="none"/>
        </w:rPr>
        <w:t>法定代表人身份证明书原件、法定代表人授权书原件格式（法定代表人投标时只需提供法定代表人身份证明书，委托他人为投标代表或签署投标文件时需同时提供法定代表人授权书）</w:t>
      </w:r>
      <w:bookmarkEnd w:id="501"/>
      <w:bookmarkEnd w:id="502"/>
      <w:bookmarkEnd w:id="503"/>
      <w:bookmarkEnd w:id="504"/>
      <w:bookmarkEnd w:id="505"/>
      <w:bookmarkEnd w:id="506"/>
      <w:bookmarkEnd w:id="507"/>
      <w:bookmarkEnd w:id="508"/>
      <w:bookmarkEnd w:id="509"/>
    </w:p>
    <w:p w14:paraId="0BC4CDDB">
      <w:pPr>
        <w:spacing w:before="120" w:after="120" w:line="360" w:lineRule="auto"/>
        <w:ind w:firstLine="426" w:firstLineChars="202"/>
        <w:rPr>
          <w:rFonts w:ascii="宋体" w:hAnsi="宋体" w:eastAsia="宋体" w:cs="宋体"/>
          <w:b/>
          <w:color w:val="auto"/>
          <w:szCs w:val="24"/>
          <w:highlight w:val="none"/>
        </w:rPr>
      </w:pPr>
      <w:r>
        <w:rPr>
          <w:rFonts w:hint="eastAsia" w:ascii="宋体" w:hAnsi="宋体" w:eastAsia="宋体" w:cs="宋体"/>
          <w:b/>
          <w:color w:val="auto"/>
          <w:szCs w:val="24"/>
          <w:highlight w:val="none"/>
        </w:rPr>
        <w:t>（1）法定代表人身份证明书格式</w:t>
      </w:r>
      <w:bookmarkEnd w:id="479"/>
      <w:bookmarkEnd w:id="480"/>
      <w:bookmarkEnd w:id="481"/>
      <w:bookmarkEnd w:id="491"/>
    </w:p>
    <w:p w14:paraId="3567DC55">
      <w:pPr>
        <w:spacing w:before="120" w:after="120" w:line="360" w:lineRule="auto"/>
        <w:ind w:firstLine="608" w:firstLineChars="202"/>
        <w:jc w:val="center"/>
        <w:rPr>
          <w:rFonts w:ascii="宋体" w:hAnsi="宋体" w:eastAsia="宋体" w:cs="宋体"/>
          <w:b/>
          <w:bCs/>
          <w:color w:val="auto"/>
          <w:sz w:val="30"/>
          <w:szCs w:val="30"/>
          <w:highlight w:val="none"/>
        </w:rPr>
      </w:pPr>
      <w:bookmarkStart w:id="510" w:name="_Toc11033_WPSOffice_Level3"/>
      <w:r>
        <w:rPr>
          <w:rFonts w:hint="eastAsia" w:ascii="宋体" w:hAnsi="宋体" w:eastAsia="宋体" w:cs="宋体"/>
          <w:b/>
          <w:color w:val="auto"/>
          <w:sz w:val="30"/>
          <w:szCs w:val="30"/>
          <w:highlight w:val="none"/>
        </w:rPr>
        <w:t>法定代</w:t>
      </w:r>
      <w:bookmarkStart w:id="511" w:name="_Toc36971359"/>
      <w:bookmarkStart w:id="512" w:name="_Toc45995270"/>
      <w:r>
        <w:rPr>
          <w:rFonts w:hint="eastAsia" w:ascii="宋体" w:hAnsi="宋体" w:eastAsia="宋体" w:cs="宋体"/>
          <w:b/>
          <w:color w:val="auto"/>
          <w:sz w:val="30"/>
          <w:szCs w:val="30"/>
          <w:highlight w:val="none"/>
        </w:rPr>
        <w:t>表人身份证明书</w:t>
      </w:r>
      <w:bookmarkEnd w:id="510"/>
    </w:p>
    <w:bookmarkEnd w:id="511"/>
    <w:bookmarkEnd w:id="512"/>
    <w:p w14:paraId="38039E20">
      <w:pPr>
        <w:spacing w:before="120" w:after="120" w:line="360" w:lineRule="auto"/>
        <w:ind w:firstLine="420" w:firstLineChars="200"/>
        <w:rPr>
          <w:rFonts w:ascii="宋体" w:hAnsi="宋体" w:eastAsia="宋体" w:cs="宋体"/>
          <w:color w:val="auto"/>
          <w:szCs w:val="24"/>
          <w:highlight w:val="none"/>
        </w:rPr>
      </w:pP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先生／女士：现任我单位</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职务，为法定代表人，特此证明。</w:t>
      </w:r>
    </w:p>
    <w:p w14:paraId="2020D692">
      <w:pPr>
        <w:spacing w:before="120" w:after="120"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有效日期：</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签发日期：</w:t>
      </w:r>
      <w:r>
        <w:rPr>
          <w:rFonts w:hint="eastAsia" w:ascii="宋体" w:hAnsi="宋体" w:eastAsia="宋体" w:cs="宋体"/>
          <w:color w:val="auto"/>
          <w:szCs w:val="24"/>
          <w:highlight w:val="none"/>
          <w:u w:val="single"/>
        </w:rPr>
        <w:t xml:space="preserve">           </w:t>
      </w:r>
    </w:p>
    <w:p w14:paraId="44CF06BB">
      <w:pPr>
        <w:spacing w:before="120" w:after="120" w:line="360" w:lineRule="auto"/>
        <w:ind w:firstLine="424" w:firstLineChars="202"/>
        <w:rPr>
          <w:rFonts w:ascii="宋体" w:hAnsi="宋体" w:eastAsia="宋体" w:cs="宋体"/>
          <w:color w:val="auto"/>
          <w:szCs w:val="24"/>
          <w:highlight w:val="none"/>
          <w:u w:val="single"/>
        </w:rPr>
      </w:pPr>
      <w:r>
        <w:rPr>
          <w:rFonts w:hint="eastAsia" w:ascii="宋体" w:hAnsi="宋体" w:eastAsia="宋体" w:cs="宋体"/>
          <w:color w:val="auto"/>
          <w:szCs w:val="24"/>
          <w:highlight w:val="none"/>
        </w:rPr>
        <w:t>附：代表人性别：</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年龄：</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身份证号码：</w:t>
      </w:r>
      <w:r>
        <w:rPr>
          <w:rFonts w:hint="eastAsia" w:ascii="宋体" w:hAnsi="宋体" w:eastAsia="宋体" w:cs="宋体"/>
          <w:color w:val="auto"/>
          <w:szCs w:val="24"/>
          <w:highlight w:val="none"/>
          <w:u w:val="single"/>
        </w:rPr>
        <w:t xml:space="preserve">            </w:t>
      </w:r>
    </w:p>
    <w:p w14:paraId="603D9C76">
      <w:pPr>
        <w:spacing w:before="120" w:after="120"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营业执照号码：</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经济性质： </w:t>
      </w:r>
    </w:p>
    <w:p w14:paraId="57B70AC0">
      <w:pPr>
        <w:spacing w:before="120" w:after="120" w:line="360" w:lineRule="auto"/>
        <w:ind w:firstLine="424" w:firstLineChars="202"/>
        <w:rPr>
          <w:rFonts w:ascii="宋体" w:hAnsi="宋体" w:eastAsia="宋体" w:cs="宋体"/>
          <w:color w:val="auto"/>
          <w:szCs w:val="24"/>
          <w:highlight w:val="none"/>
          <w:u w:val="single"/>
        </w:rPr>
      </w:pPr>
      <w:r>
        <w:rPr>
          <w:rFonts w:hint="eastAsia" w:ascii="宋体" w:hAnsi="宋体" w:eastAsia="宋体" w:cs="宋体"/>
          <w:color w:val="auto"/>
          <w:szCs w:val="24"/>
          <w:highlight w:val="none"/>
        </w:rPr>
        <w:t>主营（产）：</w:t>
      </w:r>
    </w:p>
    <w:p w14:paraId="5A6F9EAE">
      <w:pPr>
        <w:spacing w:before="120" w:after="120" w:line="360" w:lineRule="auto"/>
        <w:ind w:firstLine="424" w:firstLineChars="202"/>
        <w:rPr>
          <w:rFonts w:ascii="宋体" w:hAnsi="宋体" w:eastAsia="宋体" w:cs="宋体"/>
          <w:color w:val="auto"/>
          <w:szCs w:val="24"/>
          <w:highlight w:val="none"/>
          <w:u w:val="single"/>
        </w:rPr>
      </w:pPr>
      <w:r>
        <w:rPr>
          <w:rFonts w:hint="eastAsia" w:ascii="宋体" w:hAnsi="宋体" w:eastAsia="宋体" w:cs="宋体"/>
          <w:color w:val="auto"/>
          <w:szCs w:val="24"/>
          <w:highlight w:val="none"/>
        </w:rPr>
        <w:t>兼营（产）：</w:t>
      </w:r>
    </w:p>
    <w:p w14:paraId="30E74D87">
      <w:pPr>
        <w:spacing w:before="120" w:after="120"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 xml:space="preserve">附 法定代表人身份证复印件 </w:t>
      </w:r>
    </w:p>
    <w:p w14:paraId="02F3E584">
      <w:pPr>
        <w:spacing w:before="120" w:after="120" w:line="360" w:lineRule="auto"/>
        <w:ind w:left="340" w:leftChars="162" w:firstLine="4740"/>
        <w:rPr>
          <w:rFonts w:ascii="宋体" w:hAnsi="宋体" w:eastAsia="宋体" w:cs="宋体"/>
          <w:color w:val="auto"/>
          <w:szCs w:val="21"/>
          <w:highlight w:val="none"/>
        </w:rPr>
      </w:pPr>
      <w:r>
        <w:rPr>
          <w:rFonts w:hint="eastAsia" w:ascii="宋体" w:hAnsi="宋体" w:eastAsia="宋体" w:cs="宋体"/>
          <w:color w:val="auto"/>
          <w:szCs w:val="21"/>
          <w:highlight w:val="none"/>
          <w:lang w:val="zh-CN"/>
        </w:rPr>
        <w:t>投标人：（加盖投标人法人公章）</w:t>
      </w:r>
    </w:p>
    <w:p w14:paraId="7A7CC565">
      <w:pPr>
        <w:autoSpaceDE w:val="0"/>
        <w:autoSpaceDN w:val="0"/>
        <w:adjustRightInd w:val="0"/>
        <w:spacing w:line="360" w:lineRule="auto"/>
        <w:ind w:right="1010" w:rightChars="481" w:firstLine="6090" w:firstLineChars="29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   年   月   日</w:t>
      </w:r>
    </w:p>
    <w:p w14:paraId="5241A9CF">
      <w:pPr>
        <w:autoSpaceDE w:val="0"/>
        <w:autoSpaceDN w:val="0"/>
        <w:adjustRightInd w:val="0"/>
        <w:jc w:val="left"/>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52256A3C"/>
                          <w:p w14:paraId="3CCCB1D9"/>
                          <w:p w14:paraId="3EA560AE"/>
                          <w:p w14:paraId="27E0DFAC"/>
                          <w:p w14:paraId="498B3090">
                            <w:pPr>
                              <w:jc w:val="center"/>
                              <w:rPr>
                                <w:szCs w:val="21"/>
                              </w:rPr>
                            </w:pPr>
                            <w:r>
                              <w:rPr>
                                <w:rFonts w:hint="eastAsia"/>
                                <w:szCs w:val="21"/>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61312;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1YWXYAAAACAEAAA8AAAAAAAAAAQAgAAAAIgAA&#10;AGRycy9kb3ducmV2LnhtbFBLAQIUABQAAAAIAIdO4kD5BGLAQQIAAIgEAAAOAAAAAAAAAAEAIAAA&#10;ACcBAABkcnMvZTJvRG9jLnhtbFBLBQYAAAAABgAGAFkBAADaBQAAAAA=&#10;">
                <v:fill on="t" focussize="0,0"/>
                <v:stroke color="#000000" miterlimit="8" joinstyle="miter"/>
                <v:imagedata o:title=""/>
                <o:lock v:ext="edit" aspectratio="f"/>
                <v:textbox>
                  <w:txbxContent>
                    <w:p w14:paraId="52256A3C"/>
                    <w:p w14:paraId="3CCCB1D9"/>
                    <w:p w14:paraId="3EA560AE"/>
                    <w:p w14:paraId="27E0DFAC"/>
                    <w:p w14:paraId="498B3090">
                      <w:pPr>
                        <w:jc w:val="center"/>
                        <w:rPr>
                          <w:szCs w:val="21"/>
                        </w:rPr>
                      </w:pPr>
                      <w:r>
                        <w:rPr>
                          <w:rFonts w:hint="eastAsia"/>
                          <w:szCs w:val="21"/>
                        </w:rPr>
                        <w:t>法定代表人身份证正面</w:t>
                      </w:r>
                    </w:p>
                  </w:txbxContent>
                </v:textbox>
              </v:shape>
            </w:pict>
          </mc:Fallback>
        </mc:AlternateContent>
      </w:r>
      <w:r>
        <w:rPr>
          <w:rFonts w:ascii="宋体" w:hAnsi="宋体" w:eastAsia="宋体" w:cs="宋体"/>
          <w:color w:val="auto"/>
          <w:kern w:val="0"/>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3128645</wp:posOffset>
                </wp:positionH>
                <wp:positionV relativeFrom="paragraph">
                  <wp:posOffset>109220</wp:posOffset>
                </wp:positionV>
                <wp:extent cx="2790825" cy="1962150"/>
                <wp:effectExtent l="9525" t="6985" r="9525" b="1206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413B24DE"/>
                          <w:p w14:paraId="6C23868F"/>
                          <w:p w14:paraId="6B7274C5"/>
                          <w:p w14:paraId="3F7FE01D"/>
                          <w:p w14:paraId="2B263804">
                            <w:pPr>
                              <w:jc w:val="center"/>
                              <w:rPr>
                                <w:szCs w:val="21"/>
                              </w:rPr>
                            </w:pPr>
                            <w:r>
                              <w:rPr>
                                <w:rFonts w:hint="eastAsia"/>
                                <w:szCs w:val="21"/>
                              </w:rPr>
                              <w:t>法定代表人身份证反面</w:t>
                            </w:r>
                          </w:p>
                          <w:p w14:paraId="4F784639">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6.35pt;margin-top:8.6pt;height:154.5pt;width:219.75pt;z-index:251660288;mso-width-relative:page;mso-height-relative:page;" fillcolor="#FFFFFF" filled="t" stroked="t" coordsize="21600,21600" o:gfxdata="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UEWTR2QAAAAoBAAAPAAAAAAAAAAEAIAAAACIA&#10;AABkcnMvZG93bnJldi54bWxQSwECFAAUAAAACACHTuJADlLddUECAACIBAAADgAAAAAAAAABACAA&#10;AAAoAQAAZHJzL2Uyb0RvYy54bWxQSwUGAAAAAAYABgBZAQAA2wUAAAAA&#10;">
                <v:fill on="t" focussize="0,0"/>
                <v:stroke color="#000000" miterlimit="8" joinstyle="miter"/>
                <v:imagedata o:title=""/>
                <o:lock v:ext="edit" aspectratio="f"/>
                <v:textbox>
                  <w:txbxContent>
                    <w:p w14:paraId="413B24DE"/>
                    <w:p w14:paraId="6C23868F"/>
                    <w:p w14:paraId="6B7274C5"/>
                    <w:p w14:paraId="3F7FE01D"/>
                    <w:p w14:paraId="2B263804">
                      <w:pPr>
                        <w:jc w:val="center"/>
                        <w:rPr>
                          <w:szCs w:val="21"/>
                        </w:rPr>
                      </w:pPr>
                      <w:r>
                        <w:rPr>
                          <w:rFonts w:hint="eastAsia"/>
                          <w:szCs w:val="21"/>
                        </w:rPr>
                        <w:t>法定代表人身份证反面</w:t>
                      </w:r>
                    </w:p>
                    <w:p w14:paraId="4F784639">
                      <w:pPr>
                        <w:jc w:val="center"/>
                        <w:rPr>
                          <w:szCs w:val="21"/>
                        </w:rPr>
                      </w:pPr>
                    </w:p>
                  </w:txbxContent>
                </v:textbox>
              </v:shape>
            </w:pict>
          </mc:Fallback>
        </mc:AlternateContent>
      </w:r>
      <w:r>
        <w:rPr>
          <w:rFonts w:ascii="宋体" w:hAnsi="宋体" w:eastAsia="宋体" w:cs="宋体"/>
          <w:color w:val="auto"/>
          <w:kern w:val="0"/>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33852266"/>
                          <w:p w14:paraId="6E93A687"/>
                          <w:p w14:paraId="16841530"/>
                          <w:p w14:paraId="7B2886AA"/>
                          <w:p w14:paraId="68B5CD48">
                            <w:pPr>
                              <w:jc w:val="center"/>
                            </w:pPr>
                            <w:r>
                              <w:rPr>
                                <w:rFonts w:hint="eastAsia"/>
                              </w:rPr>
                              <w:t>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59264;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PVhZdgAAAAIAQAADwAAAAAAAAABACAAAAAiAAAA&#10;ZHJzL2Rvd25yZXYueG1sUEsBAhQAFAAAAAgAh07iQFavbXBAAgAAiAQAAA4AAAAAAAAAAQAgAAAA&#10;JwEAAGRycy9lMm9Eb2MueG1sUEsFBgAAAAAGAAYAWQEAANkFAAAAAA==&#10;">
                <v:fill on="t" focussize="0,0"/>
                <v:stroke color="#000000" miterlimit="8" joinstyle="miter"/>
                <v:imagedata o:title=""/>
                <o:lock v:ext="edit" aspectratio="f"/>
                <v:textbox>
                  <w:txbxContent>
                    <w:p w14:paraId="33852266"/>
                    <w:p w14:paraId="6E93A687"/>
                    <w:p w14:paraId="16841530"/>
                    <w:p w14:paraId="7B2886AA"/>
                    <w:p w14:paraId="68B5CD48">
                      <w:pPr>
                        <w:jc w:val="center"/>
                      </w:pPr>
                      <w:r>
                        <w:rPr>
                          <w:rFonts w:hint="eastAsia"/>
                        </w:rPr>
                        <w:t>身份证正面</w:t>
                      </w:r>
                    </w:p>
                  </w:txbxContent>
                </v:textbox>
              </v:shape>
            </w:pict>
          </mc:Fallback>
        </mc:AlternateContent>
      </w:r>
    </w:p>
    <w:p w14:paraId="03DED21D">
      <w:pPr>
        <w:autoSpaceDE w:val="0"/>
        <w:autoSpaceDN w:val="0"/>
        <w:adjustRightInd w:val="0"/>
        <w:jc w:val="left"/>
        <w:rPr>
          <w:rFonts w:ascii="宋体" w:hAnsi="宋体" w:eastAsia="宋体" w:cs="宋体"/>
          <w:color w:val="auto"/>
          <w:kern w:val="0"/>
          <w:sz w:val="24"/>
          <w:szCs w:val="24"/>
          <w:highlight w:val="none"/>
        </w:rPr>
      </w:pPr>
    </w:p>
    <w:p w14:paraId="4357A69C">
      <w:pPr>
        <w:autoSpaceDE w:val="0"/>
        <w:autoSpaceDN w:val="0"/>
        <w:adjustRightInd w:val="0"/>
        <w:jc w:val="left"/>
        <w:rPr>
          <w:rFonts w:ascii="宋体" w:hAnsi="宋体" w:eastAsia="宋体" w:cs="宋体"/>
          <w:color w:val="auto"/>
          <w:kern w:val="0"/>
          <w:sz w:val="24"/>
          <w:szCs w:val="24"/>
          <w:highlight w:val="none"/>
        </w:rPr>
      </w:pPr>
    </w:p>
    <w:p w14:paraId="13CD3B55">
      <w:pPr>
        <w:autoSpaceDE w:val="0"/>
        <w:autoSpaceDN w:val="0"/>
        <w:adjustRightInd w:val="0"/>
        <w:jc w:val="left"/>
        <w:rPr>
          <w:rFonts w:ascii="宋体" w:hAnsi="宋体" w:eastAsia="宋体" w:cs="宋体"/>
          <w:color w:val="auto"/>
          <w:kern w:val="0"/>
          <w:sz w:val="24"/>
          <w:szCs w:val="24"/>
          <w:highlight w:val="none"/>
        </w:rPr>
      </w:pPr>
    </w:p>
    <w:p w14:paraId="4B138DCC">
      <w:pPr>
        <w:autoSpaceDE w:val="0"/>
        <w:autoSpaceDN w:val="0"/>
        <w:adjustRightInd w:val="0"/>
        <w:jc w:val="left"/>
        <w:rPr>
          <w:rFonts w:ascii="宋体" w:hAnsi="宋体" w:eastAsia="宋体" w:cs="宋体"/>
          <w:color w:val="auto"/>
          <w:kern w:val="0"/>
          <w:sz w:val="24"/>
          <w:szCs w:val="24"/>
          <w:highlight w:val="none"/>
        </w:rPr>
      </w:pPr>
    </w:p>
    <w:p w14:paraId="77410F09">
      <w:pPr>
        <w:autoSpaceDE w:val="0"/>
        <w:autoSpaceDN w:val="0"/>
        <w:adjustRightInd w:val="0"/>
        <w:jc w:val="left"/>
        <w:rPr>
          <w:rFonts w:ascii="宋体" w:hAnsi="宋体" w:eastAsia="宋体" w:cs="宋体"/>
          <w:color w:val="auto"/>
          <w:kern w:val="0"/>
          <w:sz w:val="24"/>
          <w:szCs w:val="24"/>
          <w:highlight w:val="none"/>
        </w:rPr>
      </w:pPr>
    </w:p>
    <w:p w14:paraId="4658A9C7">
      <w:pPr>
        <w:autoSpaceDE w:val="0"/>
        <w:autoSpaceDN w:val="0"/>
        <w:adjustRightInd w:val="0"/>
        <w:jc w:val="left"/>
        <w:rPr>
          <w:rFonts w:ascii="宋体" w:hAnsi="宋体" w:eastAsia="宋体" w:cs="宋体"/>
          <w:color w:val="auto"/>
          <w:kern w:val="0"/>
          <w:sz w:val="24"/>
          <w:szCs w:val="24"/>
          <w:highlight w:val="none"/>
        </w:rPr>
      </w:pPr>
    </w:p>
    <w:p w14:paraId="2792F781">
      <w:pPr>
        <w:autoSpaceDE w:val="0"/>
        <w:autoSpaceDN w:val="0"/>
        <w:adjustRightInd w:val="0"/>
        <w:jc w:val="left"/>
        <w:rPr>
          <w:rFonts w:ascii="宋体" w:hAnsi="宋体" w:eastAsia="宋体" w:cs="宋体"/>
          <w:color w:val="auto"/>
          <w:kern w:val="0"/>
          <w:sz w:val="24"/>
          <w:szCs w:val="24"/>
          <w:highlight w:val="none"/>
        </w:rPr>
      </w:pPr>
    </w:p>
    <w:p w14:paraId="0B7BB2FD">
      <w:pPr>
        <w:autoSpaceDE w:val="0"/>
        <w:autoSpaceDN w:val="0"/>
        <w:adjustRightInd w:val="0"/>
        <w:jc w:val="left"/>
        <w:rPr>
          <w:rFonts w:ascii="宋体" w:hAnsi="宋体" w:eastAsia="宋体" w:cs="宋体"/>
          <w:color w:val="auto"/>
          <w:kern w:val="0"/>
          <w:sz w:val="24"/>
          <w:szCs w:val="24"/>
          <w:highlight w:val="none"/>
        </w:rPr>
      </w:pPr>
    </w:p>
    <w:p w14:paraId="6764CFED">
      <w:pPr>
        <w:autoSpaceDE w:val="0"/>
        <w:autoSpaceDN w:val="0"/>
        <w:adjustRightInd w:val="0"/>
        <w:jc w:val="left"/>
        <w:rPr>
          <w:rFonts w:ascii="宋体" w:hAnsi="宋体" w:eastAsia="宋体" w:cs="宋体"/>
          <w:color w:val="auto"/>
          <w:kern w:val="0"/>
          <w:sz w:val="24"/>
          <w:szCs w:val="24"/>
          <w:highlight w:val="none"/>
        </w:rPr>
      </w:pPr>
    </w:p>
    <w:p w14:paraId="3F17C8F3">
      <w:pPr>
        <w:autoSpaceDE w:val="0"/>
        <w:autoSpaceDN w:val="0"/>
        <w:adjustRightInd w:val="0"/>
        <w:jc w:val="left"/>
        <w:rPr>
          <w:rFonts w:ascii="宋体" w:hAnsi="宋体" w:eastAsia="宋体" w:cs="宋体"/>
          <w:b/>
          <w:color w:val="auto"/>
          <w:kern w:val="0"/>
          <w:szCs w:val="21"/>
          <w:highlight w:val="none"/>
        </w:rPr>
      </w:pPr>
    </w:p>
    <w:p w14:paraId="339AD22E">
      <w:pPr>
        <w:autoSpaceDE w:val="0"/>
        <w:autoSpaceDN w:val="0"/>
        <w:adjustRightInd w:val="0"/>
        <w:jc w:val="left"/>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注：法定代表人身份证须在有效期限内。</w:t>
      </w:r>
    </w:p>
    <w:p w14:paraId="051A9F85">
      <w:pPr>
        <w:autoSpaceDE w:val="0"/>
        <w:autoSpaceDN w:val="0"/>
        <w:adjustRightInd w:val="0"/>
        <w:jc w:val="left"/>
        <w:rPr>
          <w:rFonts w:ascii="宋体" w:hAnsi="宋体" w:eastAsia="宋体" w:cs="宋体"/>
          <w:color w:val="auto"/>
          <w:kern w:val="0"/>
          <w:szCs w:val="21"/>
          <w:highlight w:val="none"/>
        </w:rPr>
      </w:pPr>
    </w:p>
    <w:p w14:paraId="0C85FC30">
      <w:pPr>
        <w:spacing w:before="120" w:after="120" w:line="360" w:lineRule="auto"/>
        <w:ind w:firstLine="424" w:firstLineChars="202"/>
        <w:rPr>
          <w:rFonts w:ascii="宋体" w:hAnsi="宋体" w:eastAsia="宋体" w:cs="宋体"/>
          <w:b/>
          <w:color w:val="auto"/>
          <w:kern w:val="0"/>
          <w:szCs w:val="21"/>
          <w:highlight w:val="none"/>
        </w:rPr>
      </w:pPr>
      <w:r>
        <w:rPr>
          <w:rFonts w:hint="eastAsia" w:ascii="宋体" w:hAnsi="宋体" w:eastAsia="宋体" w:cs="宋体"/>
          <w:color w:val="auto"/>
          <w:szCs w:val="24"/>
          <w:highlight w:val="none"/>
          <w:lang w:val="zh-CN"/>
        </w:rPr>
        <w:br w:type="page"/>
      </w:r>
      <w:bookmarkEnd w:id="415"/>
      <w:bookmarkEnd w:id="416"/>
      <w:bookmarkEnd w:id="417"/>
      <w:bookmarkStart w:id="513" w:name="_Toc533708125"/>
      <w:bookmarkStart w:id="514" w:name="_Toc486167713"/>
      <w:bookmarkStart w:id="515" w:name="_Toc1977727"/>
      <w:bookmarkStart w:id="516" w:name="_Toc6240_WPSOffice_Level2"/>
      <w:r>
        <w:rPr>
          <w:rFonts w:hint="eastAsia" w:ascii="宋体" w:hAnsi="宋体" w:eastAsia="宋体" w:cs="宋体"/>
          <w:b/>
          <w:color w:val="auto"/>
          <w:szCs w:val="24"/>
          <w:highlight w:val="none"/>
        </w:rPr>
        <w:t>（2）法定代表人授权书格式</w:t>
      </w:r>
      <w:bookmarkEnd w:id="513"/>
      <w:bookmarkEnd w:id="514"/>
      <w:bookmarkEnd w:id="515"/>
      <w:bookmarkEnd w:id="516"/>
    </w:p>
    <w:p w14:paraId="3CC0BF86">
      <w:pPr>
        <w:autoSpaceDE w:val="0"/>
        <w:autoSpaceDN w:val="0"/>
        <w:adjustRightInd w:val="0"/>
        <w:spacing w:line="360" w:lineRule="auto"/>
        <w:jc w:val="center"/>
        <w:rPr>
          <w:rFonts w:ascii="宋体" w:hAnsi="宋体" w:eastAsia="宋体" w:cs="宋体"/>
          <w:color w:val="auto"/>
          <w:szCs w:val="28"/>
          <w:highlight w:val="none"/>
          <w:lang w:val="zh-CN"/>
        </w:rPr>
      </w:pPr>
      <w:bookmarkStart w:id="517" w:name="_Toc29146_WPSOffice_Level3"/>
      <w:r>
        <w:rPr>
          <w:rFonts w:hint="eastAsia" w:ascii="宋体" w:hAnsi="宋体" w:eastAsia="宋体" w:cs="宋体"/>
          <w:b/>
          <w:bCs/>
          <w:color w:val="auto"/>
          <w:sz w:val="30"/>
          <w:szCs w:val="30"/>
          <w:highlight w:val="none"/>
          <w:lang w:val="zh-CN"/>
        </w:rPr>
        <w:t>法定代表人授权书</w:t>
      </w:r>
      <w:bookmarkEnd w:id="517"/>
    </w:p>
    <w:p w14:paraId="14063417">
      <w:pPr>
        <w:spacing w:before="120" w:after="120" w:line="360" w:lineRule="auto"/>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致：东莞市水务环境投资控股集团管网有限公司</w:t>
      </w:r>
    </w:p>
    <w:p w14:paraId="52D2F0AB">
      <w:pPr>
        <w:spacing w:before="0" w:after="0" w:line="360" w:lineRule="auto"/>
        <w:ind w:firstLine="630" w:firstLineChars="3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本授权书声明：注册于</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（投标人地址）的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（投标人名称）在下面签字或盖私章的</w:t>
      </w:r>
    </w:p>
    <w:p w14:paraId="3B4E3D8F">
      <w:pPr>
        <w:spacing w:before="0" w:after="0" w:line="360" w:lineRule="auto"/>
        <w:ind w:firstLine="0" w:firstLineChars="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（法定代表人姓名、职务、身份证号码）代表本公司授权在下面签字或盖私章的</w:t>
      </w:r>
    </w:p>
    <w:p w14:paraId="595C48CE">
      <w:pPr>
        <w:spacing w:before="0" w:after="0" w:line="360" w:lineRule="auto"/>
        <w:ind w:firstLine="0" w:firstLineChars="0"/>
        <w:rPr>
          <w:rFonts w:ascii="宋体" w:hAnsi="宋体" w:eastAsia="宋体" w:cs="宋体"/>
          <w:color w:val="auto"/>
          <w:szCs w:val="21"/>
          <w:highlight w:val="none"/>
        </w:rPr>
      </w:pP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（被授权人的姓名、职务、身份证号码）为本公司的合法代表人，签署东莞市水务环境投资控股集团管网有限公司2026年防撞缓冲车采购项目（第四次招标）</w:t>
      </w:r>
      <w:r>
        <w:rPr>
          <w:rFonts w:hint="eastAsia" w:ascii="宋体" w:hAnsi="宋体" w:eastAsia="宋体" w:cs="宋体"/>
          <w:color w:val="auto"/>
          <w:szCs w:val="21"/>
          <w:highlight w:val="none"/>
          <w:u w:val="single"/>
          <w:lang w:val="zh-CN"/>
        </w:rPr>
        <w:t>（招标编号：</w:t>
      </w:r>
      <w:r>
        <w:rPr>
          <w:rFonts w:hint="eastAsia" w:ascii="宋体" w:hAnsi="宋体" w:eastAsia="宋体" w:cs="宋体"/>
          <w:color w:val="auto"/>
          <w:szCs w:val="21"/>
          <w:highlight w:val="none"/>
          <w:u w:val="single"/>
          <w:lang w:val="en-US" w:eastAsia="zh-CN"/>
        </w:rPr>
        <w:t>TC269400L</w:t>
      </w:r>
      <w:r>
        <w:rPr>
          <w:rFonts w:hint="eastAsia" w:ascii="宋体" w:hAnsi="宋体" w:eastAsia="宋体" w:cs="宋体"/>
          <w:color w:val="auto"/>
          <w:szCs w:val="21"/>
          <w:highlight w:val="none"/>
          <w:u w:val="single"/>
          <w:lang w:val="zh-CN"/>
        </w:rPr>
        <w:t>）</w:t>
      </w:r>
      <w:r>
        <w:rPr>
          <w:rFonts w:hint="eastAsia" w:ascii="宋体" w:hAnsi="宋体" w:eastAsia="宋体" w:cs="宋体"/>
          <w:color w:val="auto"/>
          <w:szCs w:val="21"/>
          <w:highlight w:val="none"/>
          <w:lang w:val="zh-CN"/>
        </w:rPr>
        <w:t>的投标文件，</w:t>
      </w:r>
      <w:r>
        <w:rPr>
          <w:rFonts w:hint="eastAsia" w:ascii="宋体" w:hAnsi="宋体" w:eastAsia="宋体" w:cs="宋体"/>
          <w:color w:val="auto"/>
          <w:szCs w:val="21"/>
          <w:highlight w:val="none"/>
        </w:rPr>
        <w:t>代表我公司</w:t>
      </w:r>
      <w:r>
        <w:rPr>
          <w:rFonts w:hint="eastAsia" w:ascii="宋体" w:hAnsi="宋体" w:eastAsia="宋体" w:cs="宋体"/>
          <w:color w:val="auto"/>
          <w:szCs w:val="24"/>
          <w:highlight w:val="none"/>
          <w:lang w:val="zh-CN"/>
        </w:rPr>
        <w:t>递交投标文件、参与开标会、代表我公司应评标委员会的要求对投标文件进行澄清、进行合同谈判和签署合同，以我公司的名义处理一切与之有关的事宜，</w:t>
      </w:r>
      <w:r>
        <w:rPr>
          <w:rFonts w:hint="eastAsia" w:ascii="宋体" w:hAnsi="宋体" w:eastAsia="宋体" w:cs="宋体"/>
          <w:color w:val="auto"/>
          <w:szCs w:val="21"/>
          <w:highlight w:val="none"/>
        </w:rPr>
        <w:t>我承认代理人全权代表我所签署的本项目投标文件的内容及</w:t>
      </w:r>
      <w:r>
        <w:rPr>
          <w:rFonts w:hint="eastAsia" w:ascii="宋体" w:hAnsi="宋体" w:eastAsia="宋体" w:cs="宋体"/>
          <w:color w:val="auto"/>
          <w:szCs w:val="24"/>
          <w:highlight w:val="none"/>
          <w:lang w:val="zh-CN"/>
        </w:rPr>
        <w:t>所进行的上述活动。</w:t>
      </w:r>
    </w:p>
    <w:p w14:paraId="1072C745">
      <w:pPr>
        <w:spacing w:before="120" w:after="120"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4"/>
          <w:highlight w:val="none"/>
          <w:lang w:val="zh-CN"/>
        </w:rPr>
        <w:t>本授权书于</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月</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日签字生效，有效期至投标文件失效期止，</w:t>
      </w:r>
      <w:r>
        <w:rPr>
          <w:rFonts w:hint="eastAsia" w:ascii="宋体" w:hAnsi="宋体" w:eastAsia="宋体" w:cs="宋体"/>
          <w:color w:val="auto"/>
          <w:szCs w:val="21"/>
          <w:highlight w:val="none"/>
        </w:rPr>
        <w:t>代理人无转委托权，</w:t>
      </w:r>
      <w:r>
        <w:rPr>
          <w:rFonts w:hint="eastAsia" w:ascii="宋体" w:hAnsi="宋体" w:eastAsia="宋体" w:cs="宋体"/>
          <w:color w:val="auto"/>
          <w:szCs w:val="24"/>
          <w:highlight w:val="none"/>
          <w:lang w:val="zh-CN"/>
        </w:rPr>
        <w:t>特此声明。</w:t>
      </w:r>
    </w:p>
    <w:p w14:paraId="24BD48C7">
      <w:pPr>
        <w:spacing w:before="120" w:after="120" w:line="360" w:lineRule="auto"/>
        <w:ind w:left="348" w:leftChars="136" w:hanging="62"/>
        <w:rPr>
          <w:rFonts w:ascii="宋体" w:hAnsi="宋体" w:eastAsia="宋体" w:cs="宋体"/>
          <w:color w:val="auto"/>
          <w:szCs w:val="24"/>
          <w:highlight w:val="none"/>
        </w:rPr>
      </w:pPr>
    </w:p>
    <w:p w14:paraId="69FF3EFD">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投  标  人：（加盖投标人法人公章）</w:t>
      </w:r>
    </w:p>
    <w:p w14:paraId="3D424673">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投标人地址：</w:t>
      </w:r>
    </w:p>
    <w:p w14:paraId="44E98893">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法定代表人（签名或盖私章）：</w:t>
      </w:r>
    </w:p>
    <w:p w14:paraId="7C9FDD08">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职　　　务：</w:t>
      </w:r>
    </w:p>
    <w:p w14:paraId="2B13C2A9">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被授权人（签名或盖私章）：</w:t>
      </w:r>
    </w:p>
    <w:p w14:paraId="300D5B49">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职　　　务：</w:t>
      </w:r>
    </w:p>
    <w:p w14:paraId="1FB4000D">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被授权人联系手机：</w:t>
      </w:r>
    </w:p>
    <w:p w14:paraId="03EB9101">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电 子 邮 箱：</w:t>
      </w:r>
    </w:p>
    <w:p w14:paraId="19ECE259">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r>
        <w:rPr>
          <w:rFonts w:hint="eastAsia" w:ascii="宋体" w:hAnsi="宋体" w:eastAsia="宋体" w:cs="宋体"/>
          <w:color w:val="auto"/>
          <w:szCs w:val="24"/>
          <w:highlight w:val="none"/>
          <w:lang w:val="zh-CN"/>
        </w:rPr>
        <w:br w:type="page"/>
      </w:r>
      <w:r>
        <w:rPr>
          <w:rFonts w:hint="eastAsia" w:ascii="宋体" w:hAnsi="宋体" w:eastAsia="宋体" w:cs="宋体"/>
          <w:color w:val="auto"/>
          <w:szCs w:val="24"/>
          <w:highlight w:val="none"/>
        </w:rPr>
        <w:t>附 法定代表人、被授权人身份证复印件</w:t>
      </w:r>
    </w:p>
    <w:p w14:paraId="3F706A2B">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r>
        <w:rPr>
          <w:rFonts w:ascii="宋体" w:hAnsi="宋体" w:eastAsia="宋体" w:cs="宋体"/>
          <w:color w:val="auto"/>
          <w:szCs w:val="21"/>
          <w:highlight w:val="none"/>
        </w:rPr>
        <mc:AlternateContent>
          <mc:Choice Requires="wps">
            <w:drawing>
              <wp:anchor distT="0" distB="0" distL="114300" distR="114300" simplePos="0" relativeHeight="251664384" behindDoc="0" locked="0" layoutInCell="1" allowOverlap="1">
                <wp:simplePos x="0" y="0"/>
                <wp:positionH relativeFrom="column">
                  <wp:posOffset>3366770</wp:posOffset>
                </wp:positionH>
                <wp:positionV relativeFrom="paragraph">
                  <wp:posOffset>69850</wp:posOffset>
                </wp:positionV>
                <wp:extent cx="2790825" cy="1762125"/>
                <wp:effectExtent l="9525" t="9525" r="9525" b="952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19A8AA0D"/>
                          <w:p w14:paraId="0615E25C"/>
                          <w:p w14:paraId="682D362C"/>
                          <w:p w14:paraId="52A80440"/>
                          <w:p w14:paraId="3A50D13B">
                            <w:pPr>
                              <w:jc w:val="center"/>
                              <w:rPr>
                                <w:rFonts w:hAnsi="宋体"/>
                              </w:rPr>
                            </w:pPr>
                            <w:r>
                              <w:rPr>
                                <w:rFonts w:hint="eastAsia" w:hAnsi="宋体"/>
                              </w:rPr>
                              <w:t>法定代表人身份证反面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5.5pt;height:138.75pt;width:219.75pt;z-index:251664384;mso-width-relative:page;mso-height-relative:page;" fillcolor="#FFFFFF" filled="t" stroked="t" coordsize="21600,21600" o:gfxdata="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EQPedkAAAAKAQAADwAAAAAAAAABACAAAAAiAAAA&#10;ZHJzL2Rvd25yZXYueG1sUEsBAhQAFAAAAAgAh07iQA997Fg/AgAAiAQAAA4AAAAAAAAAAQAgAAAA&#10;KAEAAGRycy9lMm9Eb2MueG1sUEsFBgAAAAAGAAYAWQEAANkFAAAAAA==&#10;">
                <v:fill on="t" focussize="0,0"/>
                <v:stroke color="#000000" miterlimit="8" joinstyle="miter"/>
                <v:imagedata o:title=""/>
                <o:lock v:ext="edit" aspectratio="f"/>
                <v:textbox>
                  <w:txbxContent>
                    <w:p w14:paraId="19A8AA0D"/>
                    <w:p w14:paraId="0615E25C"/>
                    <w:p w14:paraId="682D362C"/>
                    <w:p w14:paraId="52A80440"/>
                    <w:p w14:paraId="3A50D13B">
                      <w:pPr>
                        <w:jc w:val="center"/>
                        <w:rPr>
                          <w:rFonts w:hAnsi="宋体"/>
                        </w:rPr>
                      </w:pPr>
                      <w:r>
                        <w:rPr>
                          <w:rFonts w:hint="eastAsia" w:hAnsi="宋体"/>
                        </w:rPr>
                        <w:t>法定代表人身份证反面</w:t>
                      </w:r>
                    </w:p>
                  </w:txbxContent>
                </v:textbox>
              </v:shape>
            </w:pict>
          </mc:Fallback>
        </mc:AlternateContent>
      </w:r>
      <w:r>
        <w:rPr>
          <w:rFonts w:ascii="宋体" w:hAnsi="宋体" w:eastAsia="宋体" w:cs="宋体"/>
          <w:color w:val="auto"/>
          <w:szCs w:val="21"/>
          <w:highlight w:val="none"/>
        </w:rPr>
        <mc:AlternateContent>
          <mc:Choice Requires="wps">
            <w:drawing>
              <wp:anchor distT="0" distB="0" distL="114300" distR="114300" simplePos="0" relativeHeight="251662336" behindDoc="0" locked="0" layoutInCell="1" allowOverlap="1">
                <wp:simplePos x="0" y="0"/>
                <wp:positionH relativeFrom="column">
                  <wp:posOffset>309245</wp:posOffset>
                </wp:positionH>
                <wp:positionV relativeFrom="paragraph">
                  <wp:posOffset>69850</wp:posOffset>
                </wp:positionV>
                <wp:extent cx="2790825" cy="1762125"/>
                <wp:effectExtent l="9525" t="9525" r="9525"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7BEFE48E"/>
                          <w:p w14:paraId="7949EF0F"/>
                          <w:p w14:paraId="509120C1"/>
                          <w:p w14:paraId="59FCB071"/>
                          <w:p w14:paraId="028E81C6">
                            <w:pPr>
                              <w:jc w:val="center"/>
                              <w:rPr>
                                <w:rFonts w:hAnsi="宋体"/>
                              </w:rPr>
                            </w:pPr>
                            <w:r>
                              <w:rPr>
                                <w:rFonts w:hint="eastAsia" w:hAnsi="宋体"/>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5.5pt;height:138.75pt;width:219.75pt;z-index:251662336;mso-width-relative:page;mso-height-relative:page;" fillcolor="#FFFFFF" filled="t" stroked="t" coordsize="21600,21600" o:gfxdata="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&#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u+XY2AAAAAkBAAAPAAAAAAAAAAEAIAAAACIAAABk&#10;cnMvZG93bnJldi54bWxQSwECFAAUAAAACACHTuJASNEy5j8CAACIBAAADgAAAAAAAAABACAAAAAn&#10;AQAAZHJzL2Uyb0RvYy54bWxQSwUGAAAAAAYABgBZAQAA2AUAAAAA&#10;">
                <v:fill on="t" focussize="0,0"/>
                <v:stroke color="#000000" miterlimit="8" joinstyle="miter"/>
                <v:imagedata o:title=""/>
                <o:lock v:ext="edit" aspectratio="f"/>
                <v:textbox>
                  <w:txbxContent>
                    <w:p w14:paraId="7BEFE48E"/>
                    <w:p w14:paraId="7949EF0F"/>
                    <w:p w14:paraId="509120C1"/>
                    <w:p w14:paraId="59FCB071"/>
                    <w:p w14:paraId="028E81C6">
                      <w:pPr>
                        <w:jc w:val="center"/>
                        <w:rPr>
                          <w:rFonts w:hAnsi="宋体"/>
                        </w:rPr>
                      </w:pPr>
                      <w:r>
                        <w:rPr>
                          <w:rFonts w:hint="eastAsia" w:hAnsi="宋体"/>
                        </w:rPr>
                        <w:t>法定代表人身份证正面</w:t>
                      </w:r>
                    </w:p>
                  </w:txbxContent>
                </v:textbox>
              </v:shape>
            </w:pict>
          </mc:Fallback>
        </mc:AlternateContent>
      </w:r>
    </w:p>
    <w:p w14:paraId="26678B47">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1CC07D23">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074827D7">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38E534F1">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7E537DD5">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5BA243A6">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0B52AFAA">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0BFA25AA">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5D8C59EC">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r>
        <w:rPr>
          <w:rFonts w:ascii="宋体" w:hAnsi="宋体" w:eastAsia="宋体" w:cs="宋体"/>
          <w:color w:val="auto"/>
          <w:szCs w:val="21"/>
          <w:highlight w:val="none"/>
        </w:rPr>
        <mc:AlternateContent>
          <mc:Choice Requires="wps">
            <w:drawing>
              <wp:anchor distT="0" distB="0" distL="114300" distR="114300" simplePos="0" relativeHeight="251665408" behindDoc="0" locked="0" layoutInCell="1" allowOverlap="1">
                <wp:simplePos x="0" y="0"/>
                <wp:positionH relativeFrom="column">
                  <wp:posOffset>3366770</wp:posOffset>
                </wp:positionH>
                <wp:positionV relativeFrom="paragraph">
                  <wp:posOffset>102235</wp:posOffset>
                </wp:positionV>
                <wp:extent cx="2743200" cy="1771650"/>
                <wp:effectExtent l="9525" t="13970" r="9525"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27126CA6"/>
                          <w:p w14:paraId="1F167235">
                            <w:pPr>
                              <w:jc w:val="center"/>
                              <w:rPr>
                                <w:rFonts w:hAnsi="宋体"/>
                                <w:color w:val="FF0000"/>
                              </w:rPr>
                            </w:pPr>
                          </w:p>
                          <w:p w14:paraId="68F06E2D">
                            <w:pPr>
                              <w:jc w:val="center"/>
                              <w:rPr>
                                <w:rFonts w:hAnsi="宋体"/>
                                <w:color w:val="FF0000"/>
                              </w:rPr>
                            </w:pPr>
                          </w:p>
                          <w:p w14:paraId="2FE49EED">
                            <w:pPr>
                              <w:jc w:val="center"/>
                              <w:rPr>
                                <w:rFonts w:hAnsi="宋体"/>
                                <w:color w:val="FF0000"/>
                              </w:rPr>
                            </w:pPr>
                          </w:p>
                          <w:p w14:paraId="34A3E62E">
                            <w:pPr>
                              <w:jc w:val="center"/>
                            </w:pPr>
                            <w:r>
                              <w:rPr>
                                <w:rFonts w:hint="eastAsia" w:hAnsi="宋体"/>
                              </w:rPr>
                              <w:t>被授权人身份证反面</w:t>
                            </w:r>
                          </w:p>
                          <w:p w14:paraId="4D7C5B27"/>
                          <w:p w14:paraId="4B18BDC0"/>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8.05pt;height:139.5pt;width:216pt;z-index:251665408;mso-width-relative:page;mso-height-relative:page;" fillcolor="#FFFFFF" filled="t" stroked="t" coordsize="21600,21600" o:gfxdata="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YHyI9kAAAAKAQAADwAAAAAAAAABACAAAAAi&#10;AAAAZHJzL2Rvd25yZXYueG1sUEsBAhQAFAAAAAgAh07iQDsUtmVCAgAAiAQAAA4AAAAAAAAAAQAg&#10;AAAAKAEAAGRycy9lMm9Eb2MueG1sUEsFBgAAAAAGAAYAWQEAANwFAAAAAA==&#10;">
                <v:fill on="t" focussize="0,0"/>
                <v:stroke color="#000000" miterlimit="8" joinstyle="miter"/>
                <v:imagedata o:title=""/>
                <o:lock v:ext="edit" aspectratio="f"/>
                <v:textbox>
                  <w:txbxContent>
                    <w:p w14:paraId="27126CA6"/>
                    <w:p w14:paraId="1F167235">
                      <w:pPr>
                        <w:jc w:val="center"/>
                        <w:rPr>
                          <w:rFonts w:hAnsi="宋体"/>
                          <w:color w:val="FF0000"/>
                        </w:rPr>
                      </w:pPr>
                    </w:p>
                    <w:p w14:paraId="68F06E2D">
                      <w:pPr>
                        <w:jc w:val="center"/>
                        <w:rPr>
                          <w:rFonts w:hAnsi="宋体"/>
                          <w:color w:val="FF0000"/>
                        </w:rPr>
                      </w:pPr>
                    </w:p>
                    <w:p w14:paraId="2FE49EED">
                      <w:pPr>
                        <w:jc w:val="center"/>
                        <w:rPr>
                          <w:rFonts w:hAnsi="宋体"/>
                          <w:color w:val="FF0000"/>
                        </w:rPr>
                      </w:pPr>
                    </w:p>
                    <w:p w14:paraId="34A3E62E">
                      <w:pPr>
                        <w:jc w:val="center"/>
                      </w:pPr>
                      <w:r>
                        <w:rPr>
                          <w:rFonts w:hint="eastAsia" w:hAnsi="宋体"/>
                        </w:rPr>
                        <w:t>被授权人身份证反面</w:t>
                      </w:r>
                    </w:p>
                    <w:p w14:paraId="4D7C5B27"/>
                    <w:p w14:paraId="4B18BDC0"/>
                  </w:txbxContent>
                </v:textbox>
              </v:shape>
            </w:pict>
          </mc:Fallback>
        </mc:AlternateContent>
      </w:r>
      <w:r>
        <w:rPr>
          <w:rFonts w:ascii="宋体" w:hAnsi="宋体" w:eastAsia="宋体" w:cs="宋体"/>
          <w:color w:val="auto"/>
          <w:szCs w:val="21"/>
          <w:highlight w:val="none"/>
        </w:rPr>
        <mc:AlternateContent>
          <mc:Choice Requires="wps">
            <w:drawing>
              <wp:anchor distT="0" distB="0" distL="114300" distR="114300" simplePos="0" relativeHeight="251663360" behindDoc="0" locked="0" layoutInCell="1" allowOverlap="1">
                <wp:simplePos x="0" y="0"/>
                <wp:positionH relativeFrom="column">
                  <wp:posOffset>309245</wp:posOffset>
                </wp:positionH>
                <wp:positionV relativeFrom="paragraph">
                  <wp:posOffset>102235</wp:posOffset>
                </wp:positionV>
                <wp:extent cx="2743200" cy="1771650"/>
                <wp:effectExtent l="9525" t="13970" r="9525"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33E8737E"/>
                          <w:p w14:paraId="1DC5727A">
                            <w:pPr>
                              <w:jc w:val="center"/>
                              <w:rPr>
                                <w:rFonts w:hAnsi="宋体"/>
                                <w:color w:val="FF0000"/>
                              </w:rPr>
                            </w:pPr>
                          </w:p>
                          <w:p w14:paraId="22C85697">
                            <w:pPr>
                              <w:jc w:val="center"/>
                              <w:rPr>
                                <w:rFonts w:hAnsi="宋体"/>
                                <w:color w:val="FF0000"/>
                              </w:rPr>
                            </w:pPr>
                          </w:p>
                          <w:p w14:paraId="1CFAF296">
                            <w:pPr>
                              <w:jc w:val="center"/>
                              <w:rPr>
                                <w:rFonts w:hAnsi="宋体"/>
                                <w:color w:val="FF0000"/>
                              </w:rPr>
                            </w:pPr>
                          </w:p>
                          <w:p w14:paraId="69E134F3">
                            <w:pPr>
                              <w:jc w:val="center"/>
                            </w:pPr>
                            <w:r>
                              <w:rPr>
                                <w:rFonts w:hint="eastAsia" w:hAnsi="宋体"/>
                              </w:rPr>
                              <w:t>被授权人身份证正面</w:t>
                            </w:r>
                          </w:p>
                          <w:p w14:paraId="50755036"/>
                          <w:p w14:paraId="41363728"/>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8.05pt;height:139.5pt;width:216pt;z-index:251663360;mso-width-relative:page;mso-height-relative:page;" fillcolor="#FFFFFF" filled="t" stroked="t" coordsize="21600,21600" o:gfxdata="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FRAn2AAAAAkBAAAPAAAAAAAAAAEAIAAA&#10;ACIAAABkcnMvZG93bnJldi54bWxQSwECFAAUAAAACACHTuJAY+kGYEUCAACIBAAADgAAAAAAAAAB&#10;ACAAAAAnAQAAZHJzL2Uyb0RvYy54bWxQSwUGAAAAAAYABgBZAQAA3gUAAAAA&#10;">
                <v:fill on="t" focussize="0,0"/>
                <v:stroke color="#000000" miterlimit="8" joinstyle="miter"/>
                <v:imagedata o:title=""/>
                <o:lock v:ext="edit" aspectratio="f"/>
                <v:textbox>
                  <w:txbxContent>
                    <w:p w14:paraId="33E8737E"/>
                    <w:p w14:paraId="1DC5727A">
                      <w:pPr>
                        <w:jc w:val="center"/>
                        <w:rPr>
                          <w:rFonts w:hAnsi="宋体"/>
                          <w:color w:val="FF0000"/>
                        </w:rPr>
                      </w:pPr>
                    </w:p>
                    <w:p w14:paraId="22C85697">
                      <w:pPr>
                        <w:jc w:val="center"/>
                        <w:rPr>
                          <w:rFonts w:hAnsi="宋体"/>
                          <w:color w:val="FF0000"/>
                        </w:rPr>
                      </w:pPr>
                    </w:p>
                    <w:p w14:paraId="1CFAF296">
                      <w:pPr>
                        <w:jc w:val="center"/>
                        <w:rPr>
                          <w:rFonts w:hAnsi="宋体"/>
                          <w:color w:val="FF0000"/>
                        </w:rPr>
                      </w:pPr>
                    </w:p>
                    <w:p w14:paraId="69E134F3">
                      <w:pPr>
                        <w:jc w:val="center"/>
                      </w:pPr>
                      <w:r>
                        <w:rPr>
                          <w:rFonts w:hint="eastAsia" w:hAnsi="宋体"/>
                        </w:rPr>
                        <w:t>被授权人身份证正面</w:t>
                      </w:r>
                    </w:p>
                    <w:p w14:paraId="50755036"/>
                    <w:p w14:paraId="41363728"/>
                  </w:txbxContent>
                </v:textbox>
              </v:shape>
            </w:pict>
          </mc:Fallback>
        </mc:AlternateContent>
      </w:r>
    </w:p>
    <w:p w14:paraId="2B4D1A0E">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7B6A37B7">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4681FBC1">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3E0D6719">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1675D0E4">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40CBE8D2">
      <w:pPr>
        <w:widowControl/>
        <w:autoSpaceDE w:val="0"/>
        <w:autoSpaceDN w:val="0"/>
        <w:spacing w:before="120" w:after="120" w:line="360" w:lineRule="auto"/>
        <w:ind w:right="781" w:rightChars="372" w:firstLine="422" w:firstLineChars="200"/>
        <w:textAlignment w:val="bottom"/>
        <w:rPr>
          <w:rFonts w:ascii="宋体" w:hAnsi="宋体" w:eastAsia="宋体" w:cs="宋体"/>
          <w:b/>
          <w:color w:val="auto"/>
          <w:szCs w:val="24"/>
          <w:highlight w:val="none"/>
        </w:rPr>
        <w:sectPr>
          <w:footerReference r:id="rId8" w:type="first"/>
          <w:footerReference r:id="rId7" w:type="default"/>
          <w:pgSz w:w="12240" w:h="15840"/>
          <w:pgMar w:top="1191" w:right="1043" w:bottom="1191" w:left="1043" w:header="720" w:footer="720" w:gutter="0"/>
          <w:cols w:space="720" w:num="1"/>
          <w:titlePg/>
          <w:docGrid w:linePitch="326" w:charSpace="0"/>
        </w:sectPr>
      </w:pPr>
      <w:r>
        <w:rPr>
          <w:rFonts w:hint="eastAsia" w:ascii="宋体" w:hAnsi="宋体" w:eastAsia="宋体" w:cs="宋体"/>
          <w:b/>
          <w:color w:val="auto"/>
          <w:szCs w:val="24"/>
          <w:highlight w:val="none"/>
        </w:rPr>
        <w:t>注：上述所附身份证应在有效期限内。</w:t>
      </w:r>
    </w:p>
    <w:p w14:paraId="476A04C6">
      <w:pPr>
        <w:pStyle w:val="5"/>
        <w:pageBreakBefore/>
        <w:spacing w:line="360" w:lineRule="auto"/>
        <w:rPr>
          <w:rFonts w:hint="eastAsia" w:hAnsi="宋体"/>
          <w:b/>
          <w:bCs/>
          <w:color w:val="auto"/>
          <w:kern w:val="2"/>
          <w:sz w:val="32"/>
          <w:szCs w:val="32"/>
          <w:highlight w:val="none"/>
        </w:rPr>
      </w:pPr>
      <w:bookmarkStart w:id="518" w:name="_Toc13114"/>
      <w:bookmarkStart w:id="519" w:name="_Toc8338"/>
      <w:bookmarkStart w:id="520" w:name="_Toc30070"/>
      <w:bookmarkStart w:id="521" w:name="_Toc142508373"/>
      <w:bookmarkStart w:id="522" w:name="_Toc104991880"/>
      <w:bookmarkStart w:id="523" w:name="_Toc1977730"/>
      <w:bookmarkStart w:id="524" w:name="_Toc94107214"/>
      <w:bookmarkStart w:id="525" w:name="_Toc140596933"/>
      <w:r>
        <w:rPr>
          <w:rFonts w:hint="eastAsia" w:hAnsi="宋体"/>
          <w:b/>
          <w:bCs/>
          <w:color w:val="auto"/>
          <w:kern w:val="2"/>
          <w:sz w:val="32"/>
          <w:szCs w:val="32"/>
          <w:highlight w:val="none"/>
          <w:lang w:val="en-US" w:eastAsia="zh-CN"/>
        </w:rPr>
        <w:t xml:space="preserve">5.4 </w:t>
      </w:r>
      <w:r>
        <w:rPr>
          <w:rFonts w:hint="eastAsia" w:hAnsi="宋体"/>
          <w:b/>
          <w:bCs/>
          <w:color w:val="auto"/>
          <w:kern w:val="2"/>
          <w:sz w:val="32"/>
          <w:szCs w:val="32"/>
          <w:highlight w:val="none"/>
        </w:rPr>
        <w:t>资格业绩</w:t>
      </w:r>
      <w:bookmarkEnd w:id="518"/>
    </w:p>
    <w:p w14:paraId="2A3CB5EF">
      <w:pPr>
        <w:pageBreakBefore w:val="0"/>
        <w:spacing w:line="360" w:lineRule="auto"/>
        <w:jc w:val="center"/>
        <w:outlineLvl w:val="9"/>
        <w:rPr>
          <w:rFonts w:hint="eastAsia" w:ascii="宋体" w:hAnsi="宋体" w:eastAsia="宋体" w:cs="宋体"/>
          <w:b/>
          <w:color w:val="auto"/>
          <w:sz w:val="32"/>
          <w:szCs w:val="32"/>
          <w:highlight w:val="none"/>
          <w:lang w:val="zh-CN" w:eastAsia="zh-CN"/>
        </w:rPr>
      </w:pPr>
      <w:r>
        <w:rPr>
          <w:rFonts w:hint="eastAsia" w:ascii="宋体" w:hAnsi="宋体" w:eastAsia="宋体" w:cs="宋体"/>
          <w:b/>
          <w:bCs/>
          <w:color w:val="auto"/>
          <w:sz w:val="32"/>
          <w:szCs w:val="32"/>
          <w:highlight w:val="none"/>
        </w:rPr>
        <w:t>投标人202</w:t>
      </w:r>
      <w:r>
        <w:rPr>
          <w:rFonts w:hint="eastAsia" w:ascii="宋体" w:hAnsi="宋体" w:eastAsia="宋体" w:cs="宋体"/>
          <w:b/>
          <w:bCs/>
          <w:color w:val="auto"/>
          <w:sz w:val="32"/>
          <w:szCs w:val="32"/>
          <w:highlight w:val="none"/>
          <w:lang w:val="en-US" w:eastAsia="zh-CN"/>
        </w:rPr>
        <w:t>3</w:t>
      </w:r>
      <w:r>
        <w:rPr>
          <w:rFonts w:hint="eastAsia" w:ascii="宋体" w:hAnsi="宋体" w:eastAsia="宋体" w:cs="宋体"/>
          <w:b/>
          <w:bCs/>
          <w:color w:val="auto"/>
          <w:sz w:val="32"/>
          <w:szCs w:val="32"/>
          <w:highlight w:val="none"/>
        </w:rPr>
        <w:t>年1月1日以来</w:t>
      </w:r>
      <w:r>
        <w:rPr>
          <w:rFonts w:hint="eastAsia" w:ascii="宋体" w:hAnsi="宋体" w:eastAsia="宋体" w:cs="宋体"/>
          <w:b/>
          <w:bCs/>
          <w:color w:val="auto"/>
          <w:sz w:val="32"/>
          <w:szCs w:val="32"/>
          <w:highlight w:val="none"/>
          <w:lang w:val="en-US" w:eastAsia="zh-CN"/>
        </w:rPr>
        <w:t>具有一份</w:t>
      </w:r>
      <w:r>
        <w:rPr>
          <w:rFonts w:hint="eastAsia" w:ascii="宋体" w:hAnsi="宋体" w:eastAsia="宋体" w:cs="宋体"/>
          <w:b/>
          <w:bCs/>
          <w:color w:val="auto"/>
          <w:sz w:val="32"/>
          <w:szCs w:val="32"/>
          <w:highlight w:val="none"/>
        </w:rPr>
        <w:t>所投车型销售业绩（合同签订日期为</w:t>
      </w:r>
      <w:r>
        <w:rPr>
          <w:rFonts w:hint="default" w:ascii="宋体" w:hAnsi="宋体" w:eastAsia="宋体" w:cs="宋体"/>
          <w:b/>
          <w:bCs/>
          <w:color w:val="auto"/>
          <w:sz w:val="32"/>
          <w:szCs w:val="32"/>
          <w:highlight w:val="none"/>
          <w:lang w:val="en-US"/>
        </w:rPr>
        <w:t>202</w:t>
      </w:r>
      <w:r>
        <w:rPr>
          <w:rFonts w:hint="default" w:ascii="宋体" w:hAnsi="宋体" w:eastAsia="宋体" w:cs="宋体"/>
          <w:b/>
          <w:bCs/>
          <w:color w:val="auto"/>
          <w:sz w:val="32"/>
          <w:szCs w:val="32"/>
          <w:highlight w:val="none"/>
          <w:lang w:val="en-US" w:eastAsia="zh-CN"/>
        </w:rPr>
        <w:t>3</w:t>
      </w:r>
      <w:r>
        <w:rPr>
          <w:rFonts w:hint="default" w:ascii="宋体" w:hAnsi="宋体" w:eastAsia="宋体" w:cs="宋体"/>
          <w:b/>
          <w:bCs/>
          <w:color w:val="auto"/>
          <w:sz w:val="32"/>
          <w:szCs w:val="32"/>
          <w:highlight w:val="none"/>
          <w:lang w:val="en-US"/>
        </w:rPr>
        <w:t>年1月1日或以后</w:t>
      </w:r>
      <w:r>
        <w:rPr>
          <w:rFonts w:hint="eastAsia" w:ascii="宋体" w:hAnsi="宋体" w:eastAsia="宋体" w:cs="宋体"/>
          <w:b/>
          <w:bCs/>
          <w:color w:val="auto"/>
          <w:sz w:val="32"/>
          <w:szCs w:val="32"/>
          <w:highlight w:val="none"/>
        </w:rPr>
        <w:t>）</w:t>
      </w:r>
      <w:bookmarkEnd w:id="519"/>
      <w:bookmarkEnd w:id="520"/>
    </w:p>
    <w:tbl>
      <w:tblPr>
        <w:tblStyle w:val="36"/>
        <w:tblW w:w="499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25"/>
        <w:gridCol w:w="1441"/>
        <w:gridCol w:w="1443"/>
        <w:gridCol w:w="1443"/>
        <w:gridCol w:w="1443"/>
        <w:gridCol w:w="1443"/>
        <w:gridCol w:w="1443"/>
      </w:tblGrid>
      <w:tr w14:paraId="1D1A15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 w:hRule="atLeast"/>
          <w:jc w:val="center"/>
        </w:trPr>
        <w:tc>
          <w:tcPr>
            <w:tcW w:w="337" w:type="pct"/>
            <w:tcBorders>
              <w:top w:val="single" w:color="auto" w:sz="4" w:space="0"/>
              <w:left w:val="single" w:color="auto" w:sz="4" w:space="0"/>
              <w:bottom w:val="single" w:color="auto" w:sz="4" w:space="0"/>
              <w:right w:val="single" w:color="auto" w:sz="4" w:space="0"/>
            </w:tcBorders>
            <w:vAlign w:val="center"/>
          </w:tcPr>
          <w:p w14:paraId="5E79DCC6">
            <w:pPr>
              <w:autoSpaceDE w:val="0"/>
              <w:autoSpaceDN w:val="0"/>
              <w:adjustRightInd w:val="0"/>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序号</w:t>
            </w:r>
          </w:p>
        </w:tc>
        <w:tc>
          <w:tcPr>
            <w:tcW w:w="776" w:type="pct"/>
            <w:tcBorders>
              <w:top w:val="single" w:color="auto" w:sz="4" w:space="0"/>
              <w:left w:val="single" w:color="auto" w:sz="4" w:space="0"/>
              <w:bottom w:val="single" w:color="auto" w:sz="4" w:space="0"/>
              <w:right w:val="single" w:color="auto" w:sz="4" w:space="0"/>
            </w:tcBorders>
            <w:vAlign w:val="center"/>
          </w:tcPr>
          <w:p w14:paraId="5A0F60C1">
            <w:pPr>
              <w:autoSpaceDE w:val="0"/>
              <w:autoSpaceDN w:val="0"/>
              <w:adjustRightInd w:val="0"/>
              <w:jc w:val="center"/>
              <w:rPr>
                <w:rFonts w:ascii="宋体" w:hAnsi="宋体" w:eastAsia="宋体" w:cs="Times New Roman"/>
                <w:color w:val="auto"/>
                <w:kern w:val="0"/>
                <w:szCs w:val="21"/>
                <w:highlight w:val="none"/>
                <w:lang w:val="zh-CN"/>
              </w:rPr>
            </w:pPr>
            <w:r>
              <w:rPr>
                <w:rFonts w:hint="eastAsia" w:ascii="宋体" w:hAnsi="宋体" w:eastAsia="宋体" w:cs="Times New Roman"/>
                <w:color w:val="auto"/>
                <w:kern w:val="0"/>
                <w:szCs w:val="21"/>
                <w:highlight w:val="none"/>
                <w:lang w:val="zh-CN"/>
              </w:rPr>
              <w:t>项目</w:t>
            </w:r>
          </w:p>
          <w:p w14:paraId="6814B5ED">
            <w:pPr>
              <w:autoSpaceDE w:val="0"/>
              <w:autoSpaceDN w:val="0"/>
              <w:adjustRightInd w:val="0"/>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名称</w:t>
            </w:r>
          </w:p>
        </w:tc>
        <w:tc>
          <w:tcPr>
            <w:tcW w:w="777" w:type="pct"/>
            <w:tcBorders>
              <w:top w:val="single" w:color="auto" w:sz="4" w:space="0"/>
              <w:left w:val="single" w:color="auto" w:sz="4" w:space="0"/>
              <w:bottom w:val="single" w:color="auto" w:sz="4" w:space="0"/>
              <w:right w:val="single" w:color="auto" w:sz="4" w:space="0"/>
            </w:tcBorders>
            <w:vAlign w:val="center"/>
          </w:tcPr>
          <w:p w14:paraId="553659E8">
            <w:pPr>
              <w:autoSpaceDE w:val="0"/>
              <w:autoSpaceDN w:val="0"/>
              <w:adjustRightInd w:val="0"/>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合同标的货物名称</w:t>
            </w:r>
          </w:p>
        </w:tc>
        <w:tc>
          <w:tcPr>
            <w:tcW w:w="777" w:type="pct"/>
            <w:tcBorders>
              <w:top w:val="single" w:color="auto" w:sz="4" w:space="0"/>
              <w:left w:val="single" w:color="auto" w:sz="4" w:space="0"/>
              <w:bottom w:val="single" w:color="auto" w:sz="4" w:space="0"/>
              <w:right w:val="single" w:color="auto" w:sz="4" w:space="0"/>
            </w:tcBorders>
            <w:vAlign w:val="center"/>
          </w:tcPr>
          <w:p w14:paraId="1296C7FB">
            <w:pPr>
              <w:autoSpaceDE w:val="0"/>
              <w:autoSpaceDN w:val="0"/>
              <w:adjustRightInd w:val="0"/>
              <w:jc w:val="center"/>
              <w:rPr>
                <w:rFonts w:ascii="宋体" w:hAnsi="宋体" w:eastAsia="宋体" w:cs="Times New Roman"/>
                <w:color w:val="auto"/>
                <w:kern w:val="0"/>
                <w:szCs w:val="21"/>
                <w:highlight w:val="none"/>
                <w:lang w:val="zh-CN"/>
              </w:rPr>
            </w:pPr>
            <w:r>
              <w:rPr>
                <w:rFonts w:hint="eastAsia" w:ascii="宋体" w:hAnsi="宋体" w:eastAsia="宋体" w:cs="宋体"/>
                <w:color w:val="auto"/>
                <w:kern w:val="0"/>
                <w:szCs w:val="21"/>
                <w:highlight w:val="none"/>
              </w:rPr>
              <w:t>合同标的货物品牌</w:t>
            </w:r>
          </w:p>
        </w:tc>
        <w:tc>
          <w:tcPr>
            <w:tcW w:w="777" w:type="pct"/>
            <w:tcBorders>
              <w:top w:val="single" w:color="auto" w:sz="4" w:space="0"/>
              <w:left w:val="single" w:color="auto" w:sz="4" w:space="0"/>
              <w:bottom w:val="single" w:color="auto" w:sz="4" w:space="0"/>
              <w:right w:val="single" w:color="auto" w:sz="4" w:space="0"/>
            </w:tcBorders>
            <w:vAlign w:val="center"/>
          </w:tcPr>
          <w:p w14:paraId="6032B55F">
            <w:pPr>
              <w:autoSpaceDE w:val="0"/>
              <w:autoSpaceDN w:val="0"/>
              <w:adjustRightInd w:val="0"/>
              <w:jc w:val="center"/>
              <w:rPr>
                <w:rFonts w:ascii="宋体" w:hAnsi="宋体" w:eastAsia="宋体" w:cs="Times New Roman"/>
                <w:color w:val="auto"/>
                <w:kern w:val="0"/>
                <w:szCs w:val="21"/>
                <w:highlight w:val="none"/>
                <w:lang w:val="zh-CN"/>
              </w:rPr>
            </w:pPr>
            <w:r>
              <w:rPr>
                <w:rFonts w:hint="eastAsia" w:ascii="宋体" w:hAnsi="宋体" w:eastAsia="宋体" w:cs="宋体"/>
                <w:color w:val="auto"/>
                <w:kern w:val="0"/>
                <w:szCs w:val="21"/>
                <w:highlight w:val="none"/>
              </w:rPr>
              <w:t>合同标的货物</w:t>
            </w:r>
            <w:r>
              <w:rPr>
                <w:rFonts w:hint="eastAsia" w:ascii="宋体" w:hAnsi="宋体" w:eastAsia="宋体" w:cs="宋体"/>
                <w:color w:val="auto"/>
                <w:szCs w:val="21"/>
                <w:highlight w:val="none"/>
                <w:lang w:bidi="ar"/>
              </w:rPr>
              <w:t>型号</w:t>
            </w:r>
          </w:p>
        </w:tc>
        <w:tc>
          <w:tcPr>
            <w:tcW w:w="777" w:type="pct"/>
            <w:tcBorders>
              <w:top w:val="single" w:color="auto" w:sz="4" w:space="0"/>
              <w:left w:val="single" w:color="auto" w:sz="4" w:space="0"/>
              <w:bottom w:val="single" w:color="auto" w:sz="4" w:space="0"/>
              <w:right w:val="single" w:color="auto" w:sz="4" w:space="0"/>
            </w:tcBorders>
            <w:vAlign w:val="center"/>
          </w:tcPr>
          <w:p w14:paraId="14E9C8D0">
            <w:pPr>
              <w:autoSpaceDE w:val="0"/>
              <w:autoSpaceDN w:val="0"/>
              <w:adjustRightInd w:val="0"/>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合同签订日期</w:t>
            </w:r>
          </w:p>
        </w:tc>
        <w:tc>
          <w:tcPr>
            <w:tcW w:w="777" w:type="pct"/>
            <w:tcBorders>
              <w:top w:val="single" w:color="auto" w:sz="4" w:space="0"/>
              <w:left w:val="single" w:color="auto" w:sz="4" w:space="0"/>
              <w:bottom w:val="single" w:color="auto" w:sz="4" w:space="0"/>
              <w:right w:val="single" w:color="auto" w:sz="4" w:space="0"/>
            </w:tcBorders>
            <w:vAlign w:val="center"/>
          </w:tcPr>
          <w:p w14:paraId="76C918AB">
            <w:pPr>
              <w:autoSpaceDE w:val="0"/>
              <w:autoSpaceDN w:val="0"/>
              <w:adjustRightInd w:val="0"/>
              <w:jc w:val="center"/>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买方单位联系人及电话</w:t>
            </w:r>
          </w:p>
        </w:tc>
      </w:tr>
      <w:tr w14:paraId="02B91B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337" w:type="pct"/>
            <w:tcBorders>
              <w:top w:val="single" w:color="auto" w:sz="4" w:space="0"/>
              <w:left w:val="single" w:color="auto" w:sz="4" w:space="0"/>
              <w:bottom w:val="single" w:color="auto" w:sz="4" w:space="0"/>
              <w:right w:val="single" w:color="auto" w:sz="4" w:space="0"/>
            </w:tcBorders>
            <w:vAlign w:val="center"/>
          </w:tcPr>
          <w:p w14:paraId="4CC1C45A">
            <w:pPr>
              <w:autoSpaceDE w:val="0"/>
              <w:autoSpaceDN w:val="0"/>
              <w:adjustRightInd w:val="0"/>
              <w:spacing w:line="360" w:lineRule="auto"/>
              <w:jc w:val="center"/>
              <w:rPr>
                <w:rFonts w:ascii="宋体" w:hAnsi="宋体" w:eastAsia="宋体" w:cs="Times New Roman"/>
                <w:color w:val="auto"/>
                <w:kern w:val="0"/>
                <w:szCs w:val="21"/>
                <w:highlight w:val="none"/>
                <w:lang w:val="zh-CN"/>
              </w:rPr>
            </w:pPr>
            <w:r>
              <w:rPr>
                <w:rFonts w:ascii="宋体" w:hAnsi="宋体" w:eastAsia="宋体" w:cs="Times New Roman"/>
                <w:color w:val="auto"/>
                <w:kern w:val="0"/>
                <w:szCs w:val="21"/>
                <w:highlight w:val="none"/>
                <w:lang w:val="zh-CN"/>
              </w:rPr>
              <w:t>1</w:t>
            </w:r>
          </w:p>
        </w:tc>
        <w:tc>
          <w:tcPr>
            <w:tcW w:w="776" w:type="pct"/>
            <w:tcBorders>
              <w:top w:val="single" w:color="auto" w:sz="4" w:space="0"/>
              <w:left w:val="single" w:color="auto" w:sz="4" w:space="0"/>
              <w:bottom w:val="single" w:color="auto" w:sz="4" w:space="0"/>
              <w:right w:val="single" w:color="auto" w:sz="4" w:space="0"/>
            </w:tcBorders>
            <w:vAlign w:val="center"/>
          </w:tcPr>
          <w:p w14:paraId="1ADC6597">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3E3BC59B">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249C43EB">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23AE9E1E">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3DEFD1FB">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692D1020">
            <w:pPr>
              <w:autoSpaceDE w:val="0"/>
              <w:autoSpaceDN w:val="0"/>
              <w:adjustRightInd w:val="0"/>
              <w:spacing w:line="360" w:lineRule="auto"/>
              <w:jc w:val="center"/>
              <w:rPr>
                <w:rFonts w:ascii="宋体" w:hAnsi="宋体" w:eastAsia="宋体" w:cs="Times New Roman"/>
                <w:color w:val="auto"/>
                <w:kern w:val="0"/>
                <w:szCs w:val="21"/>
                <w:highlight w:val="none"/>
              </w:rPr>
            </w:pPr>
          </w:p>
        </w:tc>
      </w:tr>
      <w:tr w14:paraId="6F0DCC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337" w:type="pct"/>
            <w:tcBorders>
              <w:top w:val="single" w:color="auto" w:sz="4" w:space="0"/>
              <w:left w:val="single" w:color="auto" w:sz="4" w:space="0"/>
              <w:bottom w:val="single" w:color="auto" w:sz="4" w:space="0"/>
              <w:right w:val="single" w:color="auto" w:sz="4" w:space="0"/>
            </w:tcBorders>
            <w:vAlign w:val="center"/>
          </w:tcPr>
          <w:p w14:paraId="764ADC68">
            <w:pPr>
              <w:autoSpaceDE w:val="0"/>
              <w:autoSpaceDN w:val="0"/>
              <w:adjustRightInd w:val="0"/>
              <w:spacing w:line="360" w:lineRule="auto"/>
              <w:jc w:val="center"/>
              <w:rPr>
                <w:rFonts w:ascii="宋体" w:hAnsi="宋体" w:eastAsia="宋体" w:cs="Times New Roman"/>
                <w:color w:val="auto"/>
                <w:kern w:val="0"/>
                <w:szCs w:val="21"/>
                <w:highlight w:val="none"/>
                <w:lang w:val="zh-CN"/>
              </w:rPr>
            </w:pPr>
            <w:r>
              <w:rPr>
                <w:rFonts w:ascii="宋体" w:hAnsi="宋体" w:eastAsia="宋体" w:cs="Times New Roman"/>
                <w:color w:val="auto"/>
                <w:kern w:val="0"/>
                <w:szCs w:val="21"/>
                <w:highlight w:val="none"/>
                <w:lang w:val="zh-CN"/>
              </w:rPr>
              <w:t>2</w:t>
            </w:r>
          </w:p>
        </w:tc>
        <w:tc>
          <w:tcPr>
            <w:tcW w:w="776" w:type="pct"/>
            <w:tcBorders>
              <w:top w:val="single" w:color="auto" w:sz="4" w:space="0"/>
              <w:left w:val="single" w:color="auto" w:sz="4" w:space="0"/>
              <w:bottom w:val="single" w:color="auto" w:sz="4" w:space="0"/>
              <w:right w:val="single" w:color="auto" w:sz="4" w:space="0"/>
            </w:tcBorders>
            <w:vAlign w:val="center"/>
          </w:tcPr>
          <w:p w14:paraId="56C4904D">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455885B8">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102A09B7">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226EE450">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6476DC12">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1E4DE63A">
            <w:pPr>
              <w:autoSpaceDE w:val="0"/>
              <w:autoSpaceDN w:val="0"/>
              <w:adjustRightInd w:val="0"/>
              <w:spacing w:line="360" w:lineRule="auto"/>
              <w:jc w:val="center"/>
              <w:rPr>
                <w:rFonts w:ascii="宋体" w:hAnsi="宋体" w:eastAsia="宋体" w:cs="Times New Roman"/>
                <w:color w:val="auto"/>
                <w:kern w:val="0"/>
                <w:szCs w:val="21"/>
                <w:highlight w:val="none"/>
              </w:rPr>
            </w:pPr>
          </w:p>
        </w:tc>
      </w:tr>
      <w:tr w14:paraId="124E38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jc w:val="center"/>
        </w:trPr>
        <w:tc>
          <w:tcPr>
            <w:tcW w:w="337" w:type="pct"/>
            <w:tcBorders>
              <w:top w:val="single" w:color="auto" w:sz="4" w:space="0"/>
              <w:left w:val="single" w:color="auto" w:sz="4" w:space="0"/>
              <w:bottom w:val="single" w:color="auto" w:sz="4" w:space="0"/>
              <w:right w:val="single" w:color="auto" w:sz="4" w:space="0"/>
            </w:tcBorders>
            <w:vAlign w:val="center"/>
          </w:tcPr>
          <w:p w14:paraId="74D9E400">
            <w:pPr>
              <w:autoSpaceDE w:val="0"/>
              <w:autoSpaceDN w:val="0"/>
              <w:adjustRightInd w:val="0"/>
              <w:spacing w:line="360" w:lineRule="auto"/>
              <w:jc w:val="center"/>
              <w:rPr>
                <w:rFonts w:ascii="宋体" w:hAnsi="宋体" w:eastAsia="宋体" w:cs="Times New Roman"/>
                <w:color w:val="auto"/>
                <w:kern w:val="0"/>
                <w:szCs w:val="21"/>
                <w:highlight w:val="none"/>
                <w:lang w:val="zh-CN"/>
              </w:rPr>
            </w:pPr>
            <w:r>
              <w:rPr>
                <w:rFonts w:ascii="宋体" w:hAnsi="宋体" w:eastAsia="宋体" w:cs="Times New Roman"/>
                <w:color w:val="auto"/>
                <w:kern w:val="0"/>
                <w:szCs w:val="21"/>
                <w:highlight w:val="none"/>
                <w:lang w:val="zh-CN"/>
              </w:rPr>
              <w:t>3</w:t>
            </w:r>
          </w:p>
        </w:tc>
        <w:tc>
          <w:tcPr>
            <w:tcW w:w="776" w:type="pct"/>
            <w:tcBorders>
              <w:top w:val="single" w:color="auto" w:sz="4" w:space="0"/>
              <w:left w:val="single" w:color="auto" w:sz="4" w:space="0"/>
              <w:bottom w:val="single" w:color="auto" w:sz="4" w:space="0"/>
              <w:right w:val="single" w:color="auto" w:sz="4" w:space="0"/>
            </w:tcBorders>
            <w:vAlign w:val="center"/>
          </w:tcPr>
          <w:p w14:paraId="0BD0B50C">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2DB6ED29">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3BA77C58">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6F7EBA01">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065C2EC6">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7EAB1FFE">
            <w:pPr>
              <w:autoSpaceDE w:val="0"/>
              <w:autoSpaceDN w:val="0"/>
              <w:adjustRightInd w:val="0"/>
              <w:spacing w:line="360" w:lineRule="auto"/>
              <w:jc w:val="center"/>
              <w:rPr>
                <w:rFonts w:ascii="宋体" w:hAnsi="宋体" w:eastAsia="宋体" w:cs="Times New Roman"/>
                <w:color w:val="auto"/>
                <w:kern w:val="0"/>
                <w:szCs w:val="21"/>
                <w:highlight w:val="none"/>
              </w:rPr>
            </w:pPr>
          </w:p>
        </w:tc>
      </w:tr>
      <w:tr w14:paraId="245846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3" w:hRule="atLeast"/>
          <w:jc w:val="center"/>
        </w:trPr>
        <w:tc>
          <w:tcPr>
            <w:tcW w:w="337" w:type="pct"/>
            <w:tcBorders>
              <w:top w:val="single" w:color="auto" w:sz="4" w:space="0"/>
              <w:left w:val="single" w:color="auto" w:sz="4" w:space="0"/>
              <w:bottom w:val="single" w:color="auto" w:sz="4" w:space="0"/>
              <w:right w:val="single" w:color="auto" w:sz="4" w:space="0"/>
            </w:tcBorders>
            <w:vAlign w:val="center"/>
          </w:tcPr>
          <w:p w14:paraId="78B56600">
            <w:pPr>
              <w:autoSpaceDE w:val="0"/>
              <w:autoSpaceDN w:val="0"/>
              <w:adjustRightInd w:val="0"/>
              <w:spacing w:line="360" w:lineRule="auto"/>
              <w:jc w:val="center"/>
              <w:rPr>
                <w:rFonts w:ascii="宋体" w:hAnsi="宋体" w:eastAsia="宋体" w:cs="Times New Roman"/>
                <w:color w:val="auto"/>
                <w:kern w:val="0"/>
                <w:szCs w:val="21"/>
                <w:highlight w:val="none"/>
              </w:rPr>
            </w:pPr>
            <w:r>
              <w:rPr>
                <w:rFonts w:ascii="宋体" w:hAnsi="宋体" w:eastAsia="宋体" w:cs="Courier New"/>
                <w:color w:val="auto"/>
                <w:kern w:val="0"/>
                <w:szCs w:val="21"/>
                <w:highlight w:val="none"/>
              </w:rPr>
              <w:t>…</w:t>
            </w:r>
          </w:p>
        </w:tc>
        <w:tc>
          <w:tcPr>
            <w:tcW w:w="776" w:type="pct"/>
            <w:tcBorders>
              <w:top w:val="single" w:color="auto" w:sz="4" w:space="0"/>
              <w:left w:val="single" w:color="auto" w:sz="4" w:space="0"/>
              <w:bottom w:val="single" w:color="auto" w:sz="4" w:space="0"/>
              <w:right w:val="single" w:color="auto" w:sz="4" w:space="0"/>
            </w:tcBorders>
            <w:vAlign w:val="center"/>
          </w:tcPr>
          <w:p w14:paraId="56933FE5">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6B380D54">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7D8A3D68">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49851C89">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5CFA9F0B">
            <w:pPr>
              <w:autoSpaceDE w:val="0"/>
              <w:autoSpaceDN w:val="0"/>
              <w:adjustRightInd w:val="0"/>
              <w:spacing w:line="360" w:lineRule="auto"/>
              <w:jc w:val="center"/>
              <w:rPr>
                <w:rFonts w:ascii="宋体" w:hAnsi="宋体" w:eastAsia="宋体" w:cs="Times New Roman"/>
                <w:color w:val="auto"/>
                <w:kern w:val="0"/>
                <w:szCs w:val="21"/>
                <w:highlight w:val="none"/>
              </w:rPr>
            </w:pPr>
          </w:p>
        </w:tc>
        <w:tc>
          <w:tcPr>
            <w:tcW w:w="777" w:type="pct"/>
            <w:tcBorders>
              <w:top w:val="single" w:color="auto" w:sz="4" w:space="0"/>
              <w:left w:val="single" w:color="auto" w:sz="4" w:space="0"/>
              <w:bottom w:val="single" w:color="auto" w:sz="4" w:space="0"/>
              <w:right w:val="single" w:color="auto" w:sz="4" w:space="0"/>
            </w:tcBorders>
            <w:vAlign w:val="center"/>
          </w:tcPr>
          <w:p w14:paraId="65229B57">
            <w:pPr>
              <w:autoSpaceDE w:val="0"/>
              <w:autoSpaceDN w:val="0"/>
              <w:adjustRightInd w:val="0"/>
              <w:spacing w:line="360" w:lineRule="auto"/>
              <w:jc w:val="center"/>
              <w:rPr>
                <w:rFonts w:ascii="宋体" w:hAnsi="宋体" w:eastAsia="宋体" w:cs="Times New Roman"/>
                <w:color w:val="auto"/>
                <w:kern w:val="0"/>
                <w:szCs w:val="21"/>
                <w:highlight w:val="none"/>
              </w:rPr>
            </w:pPr>
          </w:p>
        </w:tc>
      </w:tr>
    </w:tbl>
    <w:p w14:paraId="28D16BA5">
      <w:pPr>
        <w:spacing w:line="360" w:lineRule="auto"/>
        <w:ind w:left="424" w:hanging="424" w:hangingChars="201"/>
        <w:rPr>
          <w:rFonts w:hint="eastAsia" w:ascii="宋体" w:hAnsi="宋体" w:eastAsia="宋体" w:cs="宋体"/>
          <w:b/>
          <w:color w:val="auto"/>
          <w:szCs w:val="21"/>
          <w:highlight w:val="none"/>
          <w:lang w:val="zh-CN"/>
        </w:rPr>
      </w:pPr>
    </w:p>
    <w:p w14:paraId="264D115C">
      <w:pPr>
        <w:tabs>
          <w:tab w:val="left" w:pos="567"/>
        </w:tabs>
        <w:autoSpaceDE w:val="0"/>
        <w:autoSpaceDN w:val="0"/>
        <w:adjustRightInd w:val="0"/>
        <w:spacing w:line="360" w:lineRule="auto"/>
        <w:ind w:left="422" w:hanging="422" w:hangingChars="200"/>
        <w:jc w:val="left"/>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资格业绩证明材料提交要求：</w:t>
      </w:r>
    </w:p>
    <w:p w14:paraId="3CF9D871">
      <w:pPr>
        <w:spacing w:line="360" w:lineRule="auto"/>
        <w:ind w:left="422" w:hanging="422" w:hangingChars="201"/>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（1）作为投标人资格条件证明的业绩放置在此处；</w:t>
      </w:r>
    </w:p>
    <w:p w14:paraId="78158CDB">
      <w:pPr>
        <w:spacing w:line="360" w:lineRule="auto"/>
        <w:ind w:left="525"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（2）业绩须附买方的合同复印件及销售发票复印件（业绩的销售方须为投标人</w:t>
      </w:r>
      <w:r>
        <w:rPr>
          <w:rFonts w:hint="eastAsia" w:ascii="宋体" w:hAnsi="宋体" w:eastAsia="宋体" w:cs="宋体"/>
          <w:color w:val="auto"/>
          <w:szCs w:val="21"/>
          <w:highlight w:val="none"/>
          <w:lang w:val="en-US" w:eastAsia="zh-CN"/>
        </w:rPr>
        <w:t>或整车生产企业</w:t>
      </w:r>
      <w:r>
        <w:rPr>
          <w:rFonts w:hint="eastAsia" w:ascii="宋体" w:hAnsi="宋体" w:eastAsia="宋体" w:cs="宋体"/>
          <w:color w:val="auto"/>
          <w:szCs w:val="21"/>
          <w:highlight w:val="none"/>
          <w:lang w:val="zh-CN"/>
        </w:rPr>
        <w:t>）；</w:t>
      </w:r>
    </w:p>
    <w:p w14:paraId="60084236">
      <w:pPr>
        <w:spacing w:line="360" w:lineRule="auto"/>
        <w:ind w:left="525"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）合同等业绩证明材料必须能反映资格条件【合同签订日期为202</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val="zh-CN"/>
        </w:rPr>
        <w:t>年1月1日或以后，合同标的必须为</w:t>
      </w:r>
      <w:r>
        <w:rPr>
          <w:rFonts w:hint="eastAsia" w:ascii="宋体" w:hAnsi="宋体" w:eastAsia="宋体" w:cs="宋体"/>
          <w:color w:val="auto"/>
          <w:szCs w:val="21"/>
          <w:highlight w:val="none"/>
          <w:lang w:val="en-US" w:eastAsia="zh-CN"/>
        </w:rPr>
        <w:t>投标的</w:t>
      </w:r>
      <w:r>
        <w:rPr>
          <w:rFonts w:hint="eastAsia" w:ascii="宋体" w:hAnsi="宋体" w:eastAsia="宋体" w:cs="宋体"/>
          <w:color w:val="auto"/>
          <w:szCs w:val="21"/>
          <w:highlight w:val="none"/>
          <w:lang w:val="zh-CN"/>
        </w:rPr>
        <w:t>车型】，否则，需同时提供购买方出具的书面补充说明文件复印件作为辅助证明（补充说明文件复印件能显示购买方公章）；</w:t>
      </w:r>
    </w:p>
    <w:p w14:paraId="232F404E">
      <w:pPr>
        <w:tabs>
          <w:tab w:val="left" w:pos="567"/>
        </w:tabs>
        <w:autoSpaceDE w:val="0"/>
        <w:autoSpaceDN w:val="0"/>
        <w:adjustRightInd w:val="0"/>
        <w:spacing w:line="360" w:lineRule="auto"/>
        <w:ind w:left="422" w:hanging="422" w:hangingChars="200"/>
        <w:jc w:val="left"/>
        <w:outlineLvl w:val="9"/>
        <w:rPr>
          <w:rFonts w:ascii="宋体" w:hAnsi="宋体" w:eastAsia="宋体" w:cs="宋体"/>
          <w:b/>
          <w:color w:val="auto"/>
          <w:kern w:val="0"/>
          <w:sz w:val="30"/>
          <w:szCs w:val="30"/>
          <w:highlight w:val="none"/>
        </w:rPr>
      </w:pPr>
      <w:bookmarkStart w:id="526" w:name="_Toc6253"/>
      <w:bookmarkStart w:id="527" w:name="_Toc14967"/>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4</w:t>
      </w:r>
      <w:r>
        <w:rPr>
          <w:rFonts w:hint="eastAsia" w:ascii="宋体" w:hAnsi="宋体" w:eastAsia="宋体" w:cs="宋体"/>
          <w:b/>
          <w:color w:val="auto"/>
          <w:szCs w:val="21"/>
          <w:highlight w:val="none"/>
          <w:lang w:val="zh-CN"/>
        </w:rPr>
        <w:t>）</w:t>
      </w:r>
      <w:bookmarkEnd w:id="526"/>
      <w:bookmarkEnd w:id="527"/>
      <w:r>
        <w:rPr>
          <w:rFonts w:hint="eastAsia" w:ascii="宋体" w:hAnsi="宋体" w:eastAsia="宋体" w:cs="宋体"/>
          <w:b/>
          <w:color w:val="auto"/>
          <w:szCs w:val="21"/>
          <w:highlight w:val="none"/>
          <w:lang w:val="zh-CN"/>
        </w:rPr>
        <w:t>未按上述要求在此格式下提供证明材料的业绩，或在此格式下所附材料无法证明符合资格要求的业绩，按无效投标文件处理。</w:t>
      </w:r>
    </w:p>
    <w:p w14:paraId="683380EB">
      <w:pPr>
        <w:rPr>
          <w:rFonts w:ascii="宋体" w:hAnsi="宋体" w:eastAsia="宋体" w:cs="宋体"/>
          <w:b/>
          <w:color w:val="auto"/>
          <w:kern w:val="0"/>
          <w:sz w:val="30"/>
          <w:szCs w:val="30"/>
          <w:highlight w:val="none"/>
        </w:rPr>
      </w:pPr>
      <w:r>
        <w:rPr>
          <w:rFonts w:ascii="宋体" w:hAnsi="宋体" w:eastAsia="宋体" w:cs="宋体"/>
          <w:b/>
          <w:color w:val="auto"/>
          <w:kern w:val="0"/>
          <w:sz w:val="30"/>
          <w:szCs w:val="30"/>
          <w:highlight w:val="none"/>
        </w:rPr>
        <w:br w:type="page"/>
      </w:r>
    </w:p>
    <w:p w14:paraId="55FF3C84">
      <w:pPr>
        <w:tabs>
          <w:tab w:val="left" w:pos="567"/>
        </w:tabs>
        <w:autoSpaceDE w:val="0"/>
        <w:autoSpaceDN w:val="0"/>
        <w:adjustRightInd w:val="0"/>
        <w:spacing w:line="360" w:lineRule="auto"/>
        <w:jc w:val="left"/>
        <w:outlineLvl w:val="2"/>
        <w:rPr>
          <w:rFonts w:ascii="宋体" w:hAnsi="宋体" w:eastAsia="宋体" w:cs="Times New Roman"/>
          <w:b/>
          <w:bCs/>
          <w:color w:val="auto"/>
          <w:sz w:val="32"/>
          <w:szCs w:val="32"/>
          <w:highlight w:val="none"/>
          <w:lang w:val="zh-CN"/>
        </w:rPr>
      </w:pPr>
      <w:bookmarkStart w:id="528" w:name="_Toc31879"/>
      <w:bookmarkStart w:id="529" w:name="_Toc25276"/>
      <w:bookmarkStart w:id="530" w:name="_Toc8979"/>
      <w:r>
        <w:rPr>
          <w:rFonts w:hint="eastAsia" w:ascii="宋体" w:hAnsi="宋体" w:eastAsia="宋体" w:cs="宋体"/>
          <w:b/>
          <w:color w:val="auto"/>
          <w:kern w:val="0"/>
          <w:sz w:val="30"/>
          <w:szCs w:val="30"/>
          <w:highlight w:val="none"/>
          <w:lang w:val="en-US" w:eastAsia="zh-CN"/>
        </w:rPr>
        <w:t xml:space="preserve">5.5 </w:t>
      </w:r>
      <w:r>
        <w:rPr>
          <w:rFonts w:hint="eastAsia" w:ascii="宋体" w:hAnsi="宋体" w:eastAsia="宋体" w:cs="宋体"/>
          <w:b/>
          <w:color w:val="auto"/>
          <w:kern w:val="0"/>
          <w:sz w:val="30"/>
          <w:szCs w:val="30"/>
          <w:highlight w:val="none"/>
        </w:rPr>
        <w:t>最近3年投标人牵涉的其他（失信和违法）处罚说明格式</w:t>
      </w:r>
      <w:bookmarkEnd w:id="521"/>
      <w:bookmarkEnd w:id="522"/>
      <w:bookmarkEnd w:id="523"/>
      <w:bookmarkEnd w:id="524"/>
      <w:bookmarkEnd w:id="525"/>
      <w:bookmarkEnd w:id="528"/>
      <w:bookmarkEnd w:id="529"/>
      <w:bookmarkEnd w:id="530"/>
    </w:p>
    <w:p w14:paraId="5B46A1D5">
      <w:pPr>
        <w:autoSpaceDE w:val="0"/>
        <w:autoSpaceDN w:val="0"/>
        <w:adjustRightInd w:val="0"/>
        <w:spacing w:line="360" w:lineRule="auto"/>
        <w:jc w:val="center"/>
        <w:rPr>
          <w:rFonts w:ascii="宋体" w:hAnsi="宋体" w:eastAsia="宋体" w:cs="宋体"/>
          <w:color w:val="auto"/>
          <w:kern w:val="0"/>
          <w:sz w:val="24"/>
          <w:szCs w:val="24"/>
          <w:highlight w:val="none"/>
        </w:rPr>
      </w:pPr>
      <w:r>
        <w:rPr>
          <w:rFonts w:hint="eastAsia" w:ascii="宋体" w:hAnsi="宋体" w:eastAsia="宋体" w:cs="宋体"/>
          <w:b/>
          <w:color w:val="auto"/>
          <w:kern w:val="0"/>
          <w:sz w:val="30"/>
          <w:szCs w:val="30"/>
          <w:highlight w:val="none"/>
        </w:rPr>
        <w:t>最近3年投标人牵涉的其他（失信和违法）</w:t>
      </w:r>
      <w:r>
        <w:rPr>
          <w:rFonts w:hint="eastAsia" w:ascii="宋体" w:hAnsi="宋体" w:eastAsia="宋体" w:cs="宋体"/>
          <w:b/>
          <w:bCs/>
          <w:color w:val="auto"/>
          <w:sz w:val="32"/>
          <w:szCs w:val="32"/>
          <w:highlight w:val="none"/>
          <w:lang w:val="zh-CN"/>
        </w:rPr>
        <w:t>处罚说明</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417"/>
        <w:gridCol w:w="2268"/>
        <w:gridCol w:w="1276"/>
      </w:tblGrid>
      <w:tr w14:paraId="34FD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4253" w:type="dxa"/>
            <w:vAlign w:val="center"/>
          </w:tcPr>
          <w:p w14:paraId="31A61879">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事项名称</w:t>
            </w:r>
          </w:p>
        </w:tc>
        <w:tc>
          <w:tcPr>
            <w:tcW w:w="1417" w:type="dxa"/>
            <w:vAlign w:val="center"/>
          </w:tcPr>
          <w:p w14:paraId="54DACA0B">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认定时间</w:t>
            </w:r>
          </w:p>
        </w:tc>
        <w:tc>
          <w:tcPr>
            <w:tcW w:w="2268" w:type="dxa"/>
          </w:tcPr>
          <w:p w14:paraId="72D3998D">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处罚期届满异常名录信息失效时间</w:t>
            </w:r>
          </w:p>
        </w:tc>
        <w:tc>
          <w:tcPr>
            <w:tcW w:w="1276" w:type="dxa"/>
            <w:vAlign w:val="center"/>
          </w:tcPr>
          <w:p w14:paraId="448A5B7E">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14:paraId="14FA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253" w:type="dxa"/>
            <w:vAlign w:val="center"/>
          </w:tcPr>
          <w:p w14:paraId="6E0FC9AB">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是否被认定为失信被执行人</w:t>
            </w:r>
          </w:p>
        </w:tc>
        <w:tc>
          <w:tcPr>
            <w:tcW w:w="1417" w:type="dxa"/>
            <w:vAlign w:val="center"/>
          </w:tcPr>
          <w:p w14:paraId="22DDA772">
            <w:pPr>
              <w:autoSpaceDE w:val="0"/>
              <w:autoSpaceDN w:val="0"/>
              <w:adjustRightInd w:val="0"/>
              <w:spacing w:line="360" w:lineRule="auto"/>
              <w:jc w:val="center"/>
              <w:rPr>
                <w:rFonts w:ascii="宋体" w:hAnsi="宋体" w:eastAsia="宋体" w:cs="宋体"/>
                <w:color w:val="auto"/>
                <w:kern w:val="0"/>
                <w:szCs w:val="21"/>
                <w:highlight w:val="none"/>
              </w:rPr>
            </w:pPr>
          </w:p>
        </w:tc>
        <w:tc>
          <w:tcPr>
            <w:tcW w:w="2268" w:type="dxa"/>
            <w:vAlign w:val="center"/>
          </w:tcPr>
          <w:p w14:paraId="7C3230CD">
            <w:pPr>
              <w:autoSpaceDE w:val="0"/>
              <w:autoSpaceDN w:val="0"/>
              <w:adjustRightInd w:val="0"/>
              <w:spacing w:line="360" w:lineRule="auto"/>
              <w:jc w:val="center"/>
              <w:rPr>
                <w:rFonts w:ascii="宋体" w:hAnsi="宋体" w:eastAsia="宋体" w:cs="宋体"/>
                <w:color w:val="auto"/>
                <w:kern w:val="0"/>
                <w:szCs w:val="21"/>
                <w:highlight w:val="none"/>
              </w:rPr>
            </w:pPr>
          </w:p>
        </w:tc>
        <w:tc>
          <w:tcPr>
            <w:tcW w:w="1276" w:type="dxa"/>
            <w:vAlign w:val="center"/>
          </w:tcPr>
          <w:p w14:paraId="174BC2DD">
            <w:pPr>
              <w:autoSpaceDE w:val="0"/>
              <w:autoSpaceDN w:val="0"/>
              <w:adjustRightInd w:val="0"/>
              <w:spacing w:line="360" w:lineRule="auto"/>
              <w:jc w:val="center"/>
              <w:rPr>
                <w:rFonts w:ascii="宋体" w:hAnsi="宋体" w:eastAsia="宋体" w:cs="宋体"/>
                <w:color w:val="auto"/>
                <w:kern w:val="0"/>
                <w:szCs w:val="21"/>
                <w:highlight w:val="none"/>
              </w:rPr>
            </w:pPr>
          </w:p>
        </w:tc>
      </w:tr>
      <w:tr w14:paraId="7500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53" w:type="dxa"/>
            <w:vAlign w:val="center"/>
          </w:tcPr>
          <w:p w14:paraId="6E5A606B">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是否被认定为重大税收违法失信主体</w:t>
            </w:r>
          </w:p>
        </w:tc>
        <w:tc>
          <w:tcPr>
            <w:tcW w:w="1417" w:type="dxa"/>
            <w:vAlign w:val="center"/>
          </w:tcPr>
          <w:p w14:paraId="55068513">
            <w:pPr>
              <w:autoSpaceDE w:val="0"/>
              <w:autoSpaceDN w:val="0"/>
              <w:adjustRightInd w:val="0"/>
              <w:spacing w:line="360" w:lineRule="auto"/>
              <w:jc w:val="center"/>
              <w:rPr>
                <w:rFonts w:ascii="宋体" w:hAnsi="宋体" w:eastAsia="宋体" w:cs="宋体"/>
                <w:color w:val="auto"/>
                <w:kern w:val="0"/>
                <w:szCs w:val="21"/>
                <w:highlight w:val="none"/>
              </w:rPr>
            </w:pPr>
          </w:p>
        </w:tc>
        <w:tc>
          <w:tcPr>
            <w:tcW w:w="2268" w:type="dxa"/>
            <w:vAlign w:val="center"/>
          </w:tcPr>
          <w:p w14:paraId="3E556CFF">
            <w:pPr>
              <w:autoSpaceDE w:val="0"/>
              <w:autoSpaceDN w:val="0"/>
              <w:adjustRightInd w:val="0"/>
              <w:spacing w:line="360" w:lineRule="auto"/>
              <w:jc w:val="center"/>
              <w:rPr>
                <w:rFonts w:ascii="宋体" w:hAnsi="宋体" w:eastAsia="宋体" w:cs="宋体"/>
                <w:color w:val="auto"/>
                <w:kern w:val="0"/>
                <w:szCs w:val="21"/>
                <w:highlight w:val="none"/>
              </w:rPr>
            </w:pPr>
          </w:p>
        </w:tc>
        <w:tc>
          <w:tcPr>
            <w:tcW w:w="1276" w:type="dxa"/>
            <w:vAlign w:val="center"/>
          </w:tcPr>
          <w:p w14:paraId="431E5A9A">
            <w:pPr>
              <w:autoSpaceDE w:val="0"/>
              <w:autoSpaceDN w:val="0"/>
              <w:adjustRightInd w:val="0"/>
              <w:spacing w:line="360" w:lineRule="auto"/>
              <w:jc w:val="center"/>
              <w:rPr>
                <w:rFonts w:ascii="宋体" w:hAnsi="宋体" w:eastAsia="宋体" w:cs="宋体"/>
                <w:color w:val="auto"/>
                <w:kern w:val="0"/>
                <w:szCs w:val="21"/>
                <w:highlight w:val="none"/>
              </w:rPr>
            </w:pPr>
          </w:p>
        </w:tc>
      </w:tr>
      <w:tr w14:paraId="77C9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22847683">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w:t>
            </w:r>
            <w:r>
              <w:rPr>
                <w:rFonts w:hint="eastAsia" w:ascii="宋体" w:hAnsi="宋体" w:eastAsia="宋体" w:cs="宋体"/>
                <w:color w:val="auto"/>
                <w:kern w:val="0"/>
                <w:szCs w:val="21"/>
                <w:highlight w:val="none"/>
                <w:lang w:val="en-US" w:eastAsia="zh-CN"/>
              </w:rPr>
              <w:t>政府采购</w:t>
            </w:r>
            <w:r>
              <w:rPr>
                <w:rFonts w:hint="eastAsia" w:ascii="宋体" w:hAnsi="宋体" w:eastAsia="宋体" w:cs="宋体"/>
                <w:color w:val="auto"/>
                <w:kern w:val="0"/>
                <w:szCs w:val="21"/>
                <w:highlight w:val="none"/>
              </w:rPr>
              <w:t>严重违法失信行为记录名单</w:t>
            </w:r>
          </w:p>
        </w:tc>
        <w:tc>
          <w:tcPr>
            <w:tcW w:w="1417" w:type="dxa"/>
            <w:vAlign w:val="center"/>
          </w:tcPr>
          <w:p w14:paraId="0954019B">
            <w:pPr>
              <w:autoSpaceDE w:val="0"/>
              <w:autoSpaceDN w:val="0"/>
              <w:adjustRightInd w:val="0"/>
              <w:spacing w:line="360" w:lineRule="auto"/>
              <w:jc w:val="center"/>
              <w:rPr>
                <w:rFonts w:ascii="宋体" w:hAnsi="宋体" w:eastAsia="宋体" w:cs="宋体"/>
                <w:color w:val="auto"/>
                <w:kern w:val="0"/>
                <w:szCs w:val="21"/>
                <w:highlight w:val="none"/>
              </w:rPr>
            </w:pPr>
          </w:p>
        </w:tc>
        <w:tc>
          <w:tcPr>
            <w:tcW w:w="2268" w:type="dxa"/>
            <w:vAlign w:val="center"/>
          </w:tcPr>
          <w:p w14:paraId="15A48229">
            <w:pPr>
              <w:autoSpaceDE w:val="0"/>
              <w:autoSpaceDN w:val="0"/>
              <w:adjustRightInd w:val="0"/>
              <w:spacing w:line="360" w:lineRule="auto"/>
              <w:jc w:val="center"/>
              <w:rPr>
                <w:rFonts w:ascii="宋体" w:hAnsi="宋体" w:eastAsia="宋体" w:cs="宋体"/>
                <w:color w:val="auto"/>
                <w:kern w:val="0"/>
                <w:szCs w:val="21"/>
                <w:highlight w:val="none"/>
              </w:rPr>
            </w:pPr>
          </w:p>
        </w:tc>
        <w:tc>
          <w:tcPr>
            <w:tcW w:w="1276" w:type="dxa"/>
            <w:vAlign w:val="center"/>
          </w:tcPr>
          <w:p w14:paraId="347A447D">
            <w:pPr>
              <w:autoSpaceDE w:val="0"/>
              <w:autoSpaceDN w:val="0"/>
              <w:adjustRightInd w:val="0"/>
              <w:spacing w:line="360" w:lineRule="auto"/>
              <w:jc w:val="center"/>
              <w:rPr>
                <w:rFonts w:ascii="宋体" w:hAnsi="宋体" w:eastAsia="宋体" w:cs="宋体"/>
                <w:color w:val="auto"/>
                <w:kern w:val="0"/>
                <w:szCs w:val="21"/>
                <w:highlight w:val="none"/>
              </w:rPr>
            </w:pPr>
          </w:p>
        </w:tc>
      </w:tr>
    </w:tbl>
    <w:p w14:paraId="2C670373">
      <w:pPr>
        <w:autoSpaceDE w:val="0"/>
        <w:autoSpaceDN w:val="0"/>
        <w:adjustRightInd w:val="0"/>
        <w:spacing w:line="360" w:lineRule="auto"/>
        <w:jc w:val="left"/>
        <w:rPr>
          <w:rFonts w:ascii="宋体" w:hAnsi="宋体" w:eastAsia="宋体" w:cs="宋体"/>
          <w:color w:val="auto"/>
          <w:kern w:val="0"/>
          <w:szCs w:val="21"/>
          <w:highlight w:val="none"/>
        </w:rPr>
      </w:pPr>
    </w:p>
    <w:p w14:paraId="01006083">
      <w:pPr>
        <w:autoSpaceDE w:val="0"/>
        <w:autoSpaceDN w:val="0"/>
        <w:adjustRightInd w:val="0"/>
        <w:spacing w:line="360" w:lineRule="auto"/>
        <w:jc w:val="left"/>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rPr>
        <w:t>备注：根据投标人及其不具有独立法人资格的分支机构的实际情况自行编写，无相关事项的，在 “认定时间”列填“无”；若受到相关处罚的应附处罚相关材料复印件；若出现相关处罚的处罚期满,但处罚公示没有及时更新的情况,投标人须提供相关材料(复印件)佐证，需原件备查</w:t>
      </w:r>
      <w:r>
        <w:rPr>
          <w:rFonts w:hint="eastAsia" w:ascii="宋体" w:hAnsi="宋体" w:eastAsia="宋体" w:cs="宋体"/>
          <w:color w:val="auto"/>
          <w:szCs w:val="21"/>
          <w:highlight w:val="none"/>
          <w:lang w:val="zh-CN"/>
        </w:rPr>
        <w:t>。</w:t>
      </w:r>
    </w:p>
    <w:p w14:paraId="629E72F0">
      <w:pPr>
        <w:autoSpaceDE w:val="0"/>
        <w:autoSpaceDN w:val="0"/>
        <w:adjustRightInd w:val="0"/>
        <w:ind w:right="-23" w:rightChars="-11"/>
        <w:jc w:val="left"/>
        <w:rPr>
          <w:rFonts w:ascii="宋体" w:hAnsi="宋体" w:eastAsia="宋体" w:cs="Times New Roman"/>
          <w:b/>
          <w:bCs/>
          <w:color w:val="auto"/>
          <w:kern w:val="0"/>
          <w:szCs w:val="21"/>
          <w:highlight w:val="none"/>
          <w:lang w:val="zh-CN"/>
        </w:rPr>
      </w:pPr>
    </w:p>
    <w:p w14:paraId="667F367C">
      <w:pPr>
        <w:autoSpaceDE w:val="0"/>
        <w:autoSpaceDN w:val="0"/>
        <w:adjustRightInd w:val="0"/>
        <w:spacing w:line="360" w:lineRule="auto"/>
        <w:jc w:val="center"/>
        <w:rPr>
          <w:rFonts w:ascii="宋体" w:hAnsi="宋体" w:eastAsia="宋体" w:cs="宋体"/>
          <w:color w:val="auto"/>
          <w:kern w:val="0"/>
          <w:sz w:val="24"/>
          <w:szCs w:val="24"/>
          <w:highlight w:val="none"/>
        </w:rPr>
      </w:pPr>
    </w:p>
    <w:p w14:paraId="4D1ED8B8">
      <w:pPr>
        <w:spacing w:line="360" w:lineRule="auto"/>
        <w:ind w:firstLine="494" w:firstLineChars="206"/>
        <w:rPr>
          <w:rFonts w:ascii="宋体" w:hAnsi="宋体" w:eastAsia="宋体" w:cs="宋体"/>
          <w:color w:val="auto"/>
          <w:kern w:val="0"/>
          <w:sz w:val="24"/>
          <w:szCs w:val="24"/>
          <w:highlight w:val="none"/>
        </w:rPr>
      </w:pPr>
    </w:p>
    <w:p w14:paraId="35A8E3E4">
      <w:pPr>
        <w:spacing w:line="360" w:lineRule="auto"/>
        <w:ind w:firstLine="494" w:firstLineChars="206"/>
        <w:rPr>
          <w:rFonts w:ascii="宋体" w:hAnsi="宋体" w:eastAsia="宋体" w:cs="宋体"/>
          <w:color w:val="auto"/>
          <w:kern w:val="0"/>
          <w:sz w:val="24"/>
          <w:szCs w:val="24"/>
          <w:highlight w:val="none"/>
        </w:rPr>
      </w:pPr>
    </w:p>
    <w:p w14:paraId="245C6008">
      <w:pPr>
        <w:spacing w:line="360" w:lineRule="auto"/>
        <w:ind w:firstLine="494" w:firstLineChars="206"/>
        <w:rPr>
          <w:rFonts w:ascii="宋体" w:hAnsi="宋体" w:eastAsia="宋体" w:cs="宋体"/>
          <w:color w:val="auto"/>
          <w:kern w:val="0"/>
          <w:sz w:val="24"/>
          <w:szCs w:val="24"/>
          <w:highlight w:val="none"/>
        </w:rPr>
      </w:pPr>
    </w:p>
    <w:p w14:paraId="1A583FCB">
      <w:pPr>
        <w:spacing w:line="360" w:lineRule="auto"/>
        <w:ind w:right="368" w:rightChars="175" w:firstLine="5460" w:firstLineChars="2600"/>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kern w:val="0"/>
          <w:szCs w:val="21"/>
          <w:highlight w:val="none"/>
          <w:lang w:val="zh-CN"/>
        </w:rPr>
        <w:t>（加盖投标人法人公章）</w:t>
      </w:r>
    </w:p>
    <w:p w14:paraId="5A97AA6E">
      <w:pPr>
        <w:autoSpaceDE w:val="0"/>
        <w:autoSpaceDN w:val="0"/>
        <w:adjustRightInd w:val="0"/>
        <w:spacing w:line="360" w:lineRule="auto"/>
        <w:ind w:right="781" w:rightChars="372" w:firstLine="2811" w:firstLineChars="1339"/>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w:t>
      </w:r>
      <w:r>
        <w:rPr>
          <w:rFonts w:ascii="宋体" w:hAnsi="宋体" w:eastAsia="宋体" w:cs="宋体"/>
          <w:color w:val="auto"/>
          <w:szCs w:val="24"/>
          <w:highlight w:val="none"/>
          <w:lang w:val="zh-CN"/>
        </w:rPr>
        <w:t xml:space="preserve">            </w:t>
      </w:r>
      <w:r>
        <w:rPr>
          <w:rFonts w:hint="eastAsia" w:ascii="宋体" w:hAnsi="宋体" w:eastAsia="宋体" w:cs="宋体"/>
          <w:color w:val="auto"/>
          <w:szCs w:val="24"/>
          <w:highlight w:val="none"/>
          <w:lang w:val="zh-CN"/>
        </w:rPr>
        <w:t>日  期：   年  月  日</w:t>
      </w:r>
    </w:p>
    <w:p w14:paraId="040EAE24">
      <w:pPr>
        <w:rPr>
          <w:rFonts w:ascii="宋体" w:hAnsi="宋体" w:eastAsia="宋体" w:cs="宋体"/>
          <w:color w:val="auto"/>
          <w:szCs w:val="24"/>
          <w:highlight w:val="none"/>
          <w:lang w:val="zh-CN"/>
        </w:rPr>
      </w:pPr>
      <w:r>
        <w:rPr>
          <w:rFonts w:ascii="宋体" w:hAnsi="宋体" w:eastAsia="宋体" w:cs="宋体"/>
          <w:color w:val="auto"/>
          <w:szCs w:val="24"/>
          <w:highlight w:val="none"/>
          <w:lang w:val="zh-CN"/>
        </w:rPr>
        <w:br w:type="page"/>
      </w:r>
      <w:bookmarkStart w:id="531" w:name="_Toc13237"/>
      <w:bookmarkStart w:id="532" w:name="_Toc1977731"/>
      <w:bookmarkStart w:id="533" w:name="_Toc94107215"/>
      <w:bookmarkStart w:id="534" w:name="_Toc102860079"/>
      <w:bookmarkStart w:id="535" w:name="_Toc140596934"/>
      <w:bookmarkStart w:id="536" w:name="_Toc533708126"/>
      <w:bookmarkStart w:id="537" w:name="_Toc142508374"/>
      <w:bookmarkStart w:id="538" w:name="_Toc102860423"/>
      <w:bookmarkStart w:id="539" w:name="_Toc486167714"/>
      <w:bookmarkStart w:id="540" w:name="_Toc104991881"/>
      <w:bookmarkStart w:id="541" w:name="_Toc2031_WPSOffice_Level2"/>
    </w:p>
    <w:p w14:paraId="24C03C71">
      <w:pPr>
        <w:tabs>
          <w:tab w:val="left" w:pos="567"/>
        </w:tabs>
        <w:autoSpaceDE w:val="0"/>
        <w:autoSpaceDN w:val="0"/>
        <w:adjustRightInd w:val="0"/>
        <w:spacing w:line="360" w:lineRule="auto"/>
        <w:jc w:val="left"/>
        <w:outlineLvl w:val="2"/>
        <w:rPr>
          <w:rFonts w:ascii="宋体" w:hAnsi="宋体" w:eastAsia="宋体" w:cs="Times New Roman"/>
          <w:color w:val="auto"/>
          <w:kern w:val="0"/>
          <w:szCs w:val="21"/>
          <w:highlight w:val="none"/>
          <w:u w:val="single"/>
        </w:rPr>
      </w:pPr>
      <w:bookmarkStart w:id="542" w:name="_Toc15880"/>
      <w:bookmarkStart w:id="543" w:name="_Toc11148"/>
      <w:r>
        <w:rPr>
          <w:rFonts w:hint="eastAsia" w:ascii="宋体" w:hAnsi="宋体" w:eastAsia="宋体" w:cs="宋体"/>
          <w:b/>
          <w:color w:val="auto"/>
          <w:sz w:val="32"/>
          <w:szCs w:val="32"/>
          <w:highlight w:val="none"/>
          <w:lang w:val="en-US" w:eastAsia="zh-CN"/>
        </w:rPr>
        <w:t>六</w:t>
      </w:r>
      <w:r>
        <w:rPr>
          <w:rFonts w:hint="eastAsia" w:ascii="宋体" w:hAnsi="宋体" w:eastAsia="宋体" w:cs="宋体"/>
          <w:b/>
          <w:color w:val="auto"/>
          <w:kern w:val="0"/>
          <w:sz w:val="32"/>
          <w:szCs w:val="32"/>
          <w:highlight w:val="none"/>
        </w:rPr>
        <w:t>、投标人基本情况一览表</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4E09830E">
      <w:pPr>
        <w:autoSpaceDE w:val="0"/>
        <w:autoSpaceDN w:val="0"/>
        <w:adjustRightInd w:val="0"/>
        <w:spacing w:line="360" w:lineRule="auto"/>
        <w:jc w:val="center"/>
        <w:rPr>
          <w:rFonts w:ascii="宋体" w:hAnsi="宋体" w:eastAsia="宋体" w:cs="宋体"/>
          <w:b/>
          <w:bCs/>
          <w:color w:val="auto"/>
          <w:sz w:val="30"/>
          <w:szCs w:val="30"/>
          <w:highlight w:val="none"/>
        </w:rPr>
      </w:pPr>
      <w:bookmarkStart w:id="544" w:name="_Toc2773_WPSOffice_Level3"/>
      <w:r>
        <w:rPr>
          <w:rFonts w:hint="eastAsia" w:ascii="宋体" w:hAnsi="宋体" w:eastAsia="宋体" w:cs="宋体"/>
          <w:b/>
          <w:bCs/>
          <w:color w:val="auto"/>
          <w:sz w:val="30"/>
          <w:szCs w:val="30"/>
          <w:highlight w:val="none"/>
          <w:lang w:val="zh-CN"/>
        </w:rPr>
        <w:t>投标人基本情况一览表</w:t>
      </w:r>
      <w:bookmarkEnd w:id="544"/>
    </w:p>
    <w:p w14:paraId="1CC84550">
      <w:pPr>
        <w:autoSpaceDE w:val="0"/>
        <w:autoSpaceDN w:val="0"/>
        <w:adjustRightInd w:val="0"/>
        <w:spacing w:line="360" w:lineRule="auto"/>
        <w:ind w:firstLine="420"/>
        <w:rPr>
          <w:rFonts w:ascii="宋体" w:hAnsi="宋体" w:eastAsia="宋体" w:cs="宋体"/>
          <w:color w:val="auto"/>
          <w:szCs w:val="21"/>
          <w:highlight w:val="none"/>
        </w:rPr>
      </w:pPr>
      <w:r>
        <w:rPr>
          <w:rFonts w:hint="eastAsia" w:ascii="宋体" w:hAnsi="宋体" w:eastAsia="宋体" w:cs="宋体"/>
          <w:color w:val="auto"/>
          <w:szCs w:val="21"/>
          <w:highlight w:val="none"/>
          <w:lang w:val="zh-CN"/>
        </w:rPr>
        <w:t>1．名称及概况：</w:t>
      </w:r>
    </w:p>
    <w:p w14:paraId="2E5FBB02">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（1）投标人名称：________________________________________</w:t>
      </w:r>
    </w:p>
    <w:p w14:paraId="01254446">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（2）总部地址：__________________________________________</w:t>
      </w:r>
    </w:p>
    <w:p w14:paraId="4F91F709">
      <w:pPr>
        <w:autoSpaceDE w:val="0"/>
        <w:autoSpaceDN w:val="0"/>
        <w:adjustRightInd w:val="0"/>
        <w:spacing w:line="360" w:lineRule="auto"/>
        <w:ind w:firstLine="66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邮政编码：__________________________________________</w:t>
      </w:r>
    </w:p>
    <w:p w14:paraId="4944C19F">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电话号码：__________________________________________ </w:t>
      </w:r>
    </w:p>
    <w:p w14:paraId="5EF2AD07">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传真号码：__________________________________________ </w:t>
      </w:r>
    </w:p>
    <w:p w14:paraId="127D020C">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（3）成立和／或注册日期：________________________________</w:t>
      </w:r>
    </w:p>
    <w:p w14:paraId="6C4BE4DF">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（4）法人代表：_____________________________________ ____</w:t>
      </w:r>
    </w:p>
    <w:p w14:paraId="15D0E96E">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（5）开户银行：__________________________________________</w:t>
      </w:r>
    </w:p>
    <w:p w14:paraId="6A52430E">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（6）开户账号：__________________________________________</w:t>
      </w:r>
    </w:p>
    <w:p w14:paraId="02BDCD94">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（7）注册资金：__________________________________________</w:t>
      </w:r>
    </w:p>
    <w:p w14:paraId="23309AEB">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（8）主要负责人姓名：____________________________________</w:t>
      </w:r>
    </w:p>
    <w:p w14:paraId="585EABCE">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 xml:space="preserve">（9）项目主要联系人（姓名、职务、通讯）：_________________   </w:t>
      </w:r>
    </w:p>
    <w:p w14:paraId="3C9BE5BC">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（10）在中国的代表的姓名和地址（如有）：__________________</w:t>
      </w:r>
    </w:p>
    <w:p w14:paraId="742659B5">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2．供征询之银行的名称和地址：____________________________</w:t>
      </w:r>
    </w:p>
    <w:p w14:paraId="6AB24587">
      <w:pPr>
        <w:autoSpaceDE w:val="0"/>
        <w:autoSpaceDN w:val="0"/>
        <w:adjustRightInd w:val="0"/>
        <w:spacing w:line="360" w:lineRule="auto"/>
        <w:rPr>
          <w:rFonts w:ascii="宋体" w:hAnsi="宋体" w:eastAsia="宋体" w:cs="宋体"/>
          <w:color w:val="auto"/>
          <w:szCs w:val="24"/>
          <w:highlight w:val="none"/>
        </w:rPr>
      </w:pPr>
      <w:r>
        <w:rPr>
          <w:rFonts w:hint="eastAsia" w:ascii="宋体" w:hAnsi="宋体" w:eastAsia="宋体" w:cs="宋体"/>
          <w:color w:val="auto"/>
          <w:szCs w:val="24"/>
          <w:highlight w:val="none"/>
          <w:lang w:val="zh-CN"/>
        </w:rPr>
        <w:t xml:space="preserve">    3．公司所隶属之国际集团名称（如果是）____________________</w:t>
      </w:r>
    </w:p>
    <w:p w14:paraId="294C2291">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4. 提交资料（包括但不限于组织架构、公司简介等）：</w:t>
      </w:r>
    </w:p>
    <w:p w14:paraId="7F24B386">
      <w:pPr>
        <w:autoSpaceDE w:val="0"/>
        <w:autoSpaceDN w:val="0"/>
        <w:adjustRightInd w:val="0"/>
        <w:spacing w:line="360" w:lineRule="auto"/>
        <w:ind w:firstLine="630" w:firstLineChars="3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（1）公司简介；</w:t>
      </w:r>
    </w:p>
    <w:p w14:paraId="2257B961">
      <w:pPr>
        <w:autoSpaceDE w:val="0"/>
        <w:autoSpaceDN w:val="0"/>
        <w:adjustRightInd w:val="0"/>
        <w:spacing w:line="360" w:lineRule="auto"/>
        <w:ind w:firstLine="1155" w:firstLineChars="55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__________________________________________________</w:t>
      </w:r>
    </w:p>
    <w:p w14:paraId="433C0243">
      <w:pPr>
        <w:autoSpaceDE w:val="0"/>
        <w:autoSpaceDN w:val="0"/>
        <w:adjustRightInd w:val="0"/>
        <w:spacing w:line="360" w:lineRule="auto"/>
        <w:ind w:firstLine="630" w:firstLineChars="3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（2）公司组织架构；</w:t>
      </w:r>
    </w:p>
    <w:p w14:paraId="7589CCC3">
      <w:pPr>
        <w:autoSpaceDE w:val="0"/>
        <w:autoSpaceDN w:val="0"/>
        <w:adjustRightInd w:val="0"/>
        <w:spacing w:line="360" w:lineRule="auto"/>
        <w:ind w:firstLine="1155" w:firstLineChars="55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_______________________________________________</w:t>
      </w:r>
      <w:r>
        <w:rPr>
          <w:rFonts w:hint="eastAsia" w:ascii="宋体" w:hAnsi="宋体" w:eastAsia="宋体" w:cs="宋体"/>
          <w:color w:val="auto"/>
          <w:szCs w:val="24"/>
          <w:highlight w:val="none"/>
          <w:u w:val="single"/>
          <w:lang w:val="zh-CN"/>
        </w:rPr>
        <w:t xml:space="preserve">__ </w:t>
      </w:r>
    </w:p>
    <w:p w14:paraId="5644E535">
      <w:pPr>
        <w:autoSpaceDE w:val="0"/>
        <w:autoSpaceDN w:val="0"/>
        <w:adjustRightInd w:val="0"/>
        <w:spacing w:line="360" w:lineRule="auto"/>
        <w:ind w:left="836" w:leftChars="137" w:hanging="548" w:hangingChars="261"/>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（3）东莞市内设有分支机构情况介绍[应提供该分支机构的多证合一营业执照复印件等证明材料]（若无前述分支机构的无需介绍）。</w:t>
      </w:r>
    </w:p>
    <w:p w14:paraId="0A24B20B">
      <w:pPr>
        <w:autoSpaceDE w:val="0"/>
        <w:autoSpaceDN w:val="0"/>
        <w:adjustRightInd w:val="0"/>
        <w:spacing w:line="360" w:lineRule="auto"/>
        <w:ind w:firstLine="420" w:firstLine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兹证明上述说明是真实、正确的，并提供了全部能提供的资料和数据，我们同意遵照贵方要求出示有关证明文件。</w:t>
      </w:r>
    </w:p>
    <w:p w14:paraId="411EC72A">
      <w:pPr>
        <w:autoSpaceDE w:val="0"/>
        <w:autoSpaceDN w:val="0"/>
        <w:adjustRightInd w:val="0"/>
        <w:spacing w:line="360" w:lineRule="auto"/>
        <w:ind w:firstLine="420" w:firstLineChars="200"/>
        <w:rPr>
          <w:rFonts w:ascii="宋体" w:hAnsi="宋体" w:eastAsia="宋体" w:cs="宋体"/>
          <w:color w:val="auto"/>
          <w:szCs w:val="24"/>
          <w:highlight w:val="none"/>
        </w:rPr>
      </w:pPr>
    </w:p>
    <w:p w14:paraId="3E74D11A">
      <w:pPr>
        <w:autoSpaceDE w:val="0"/>
        <w:autoSpaceDN w:val="0"/>
        <w:adjustRightInd w:val="0"/>
        <w:spacing w:line="360" w:lineRule="auto"/>
        <w:ind w:right="368" w:rightChars="175"/>
        <w:jc w:val="right"/>
        <w:rPr>
          <w:rFonts w:ascii="宋体" w:hAnsi="宋体" w:eastAsia="宋体" w:cs="宋体"/>
          <w:color w:val="auto"/>
          <w:szCs w:val="24"/>
          <w:highlight w:val="none"/>
        </w:rPr>
      </w:pPr>
      <w:r>
        <w:rPr>
          <w:rFonts w:hint="eastAsia" w:ascii="宋体" w:hAnsi="宋体" w:eastAsia="宋体" w:cs="宋体"/>
          <w:color w:val="auto"/>
          <w:szCs w:val="24"/>
          <w:highlight w:val="none"/>
          <w:lang w:val="zh-CN"/>
        </w:rPr>
        <w:t>投标人</w:t>
      </w:r>
      <w:r>
        <w:rPr>
          <w:rFonts w:hint="eastAsia" w:ascii="宋体" w:hAnsi="宋体" w:eastAsia="宋体" w:cs="宋体"/>
          <w:color w:val="auto"/>
          <w:szCs w:val="21"/>
          <w:highlight w:val="none"/>
          <w:lang w:val="zh-CN"/>
        </w:rPr>
        <w:t>：</w:t>
      </w:r>
      <w:r>
        <w:rPr>
          <w:rFonts w:hint="eastAsia" w:ascii="宋体" w:hAnsi="宋体" w:eastAsia="宋体" w:cs="宋体"/>
          <w:color w:val="auto"/>
          <w:kern w:val="0"/>
          <w:szCs w:val="21"/>
          <w:highlight w:val="none"/>
          <w:lang w:val="zh-CN"/>
        </w:rPr>
        <w:t>（加盖投标人法人公章）</w:t>
      </w:r>
    </w:p>
    <w:p w14:paraId="72712BDB">
      <w:pPr>
        <w:autoSpaceDE w:val="0"/>
        <w:autoSpaceDN w:val="0"/>
        <w:adjustRightInd w:val="0"/>
        <w:spacing w:line="360" w:lineRule="auto"/>
        <w:ind w:right="368" w:rightChars="175" w:firstLine="6237"/>
        <w:jc w:val="left"/>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日  期：　年  月  日</w:t>
      </w:r>
    </w:p>
    <w:p w14:paraId="12C22BB8">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r>
        <w:rPr>
          <w:rFonts w:hint="eastAsia" w:ascii="宋体" w:hAnsi="宋体" w:eastAsia="宋体" w:cs="宋体"/>
          <w:color w:val="auto"/>
          <w:szCs w:val="24"/>
          <w:highlight w:val="none"/>
          <w:lang w:val="zh-CN"/>
        </w:rPr>
        <w:br w:type="page"/>
      </w:r>
      <w:bookmarkStart w:id="545" w:name="_Toc102860080"/>
      <w:bookmarkStart w:id="546" w:name="_Toc4495"/>
      <w:bookmarkStart w:id="547" w:name="_Toc3711"/>
      <w:bookmarkStart w:id="548" w:name="_Toc94107216"/>
      <w:bookmarkStart w:id="549" w:name="_Toc142508375"/>
      <w:bookmarkStart w:id="550" w:name="_Toc102860424"/>
      <w:bookmarkStart w:id="551" w:name="_Toc104991882"/>
      <w:bookmarkStart w:id="552" w:name="_Toc4534"/>
      <w:bookmarkStart w:id="553" w:name="_Toc140596935"/>
      <w:bookmarkStart w:id="554" w:name="_Toc486167715"/>
      <w:bookmarkStart w:id="555" w:name="_Toc533708128"/>
      <w:bookmarkStart w:id="556" w:name="_Toc9051_WPSOffice_Level2"/>
      <w:bookmarkStart w:id="557" w:name="_Toc1977733"/>
      <w:r>
        <w:rPr>
          <w:rFonts w:hint="eastAsia" w:ascii="宋体" w:hAnsi="宋体" w:eastAsia="宋体" w:cs="宋体"/>
          <w:b/>
          <w:color w:val="auto"/>
          <w:sz w:val="32"/>
          <w:szCs w:val="32"/>
          <w:highlight w:val="none"/>
          <w:lang w:val="en-US" w:eastAsia="zh-CN"/>
        </w:rPr>
        <w:t>七</w:t>
      </w:r>
      <w:r>
        <w:rPr>
          <w:rFonts w:hint="eastAsia" w:ascii="宋体" w:hAnsi="宋体" w:eastAsia="宋体" w:cs="宋体"/>
          <w:b/>
          <w:color w:val="auto"/>
          <w:sz w:val="32"/>
          <w:szCs w:val="32"/>
          <w:highlight w:val="none"/>
          <w:lang w:val="zh-CN"/>
        </w:rPr>
        <w:t>、投标人财务状况表格式</w:t>
      </w:r>
      <w:bookmarkEnd w:id="545"/>
      <w:bookmarkEnd w:id="546"/>
      <w:bookmarkEnd w:id="547"/>
      <w:bookmarkEnd w:id="548"/>
      <w:bookmarkEnd w:id="549"/>
      <w:bookmarkEnd w:id="550"/>
      <w:bookmarkEnd w:id="551"/>
      <w:bookmarkEnd w:id="552"/>
      <w:bookmarkEnd w:id="553"/>
    </w:p>
    <w:p w14:paraId="7ED0DD39">
      <w:pPr>
        <w:autoSpaceDE w:val="0"/>
        <w:autoSpaceDN w:val="0"/>
        <w:adjustRightInd w:val="0"/>
        <w:spacing w:line="360" w:lineRule="auto"/>
        <w:jc w:val="center"/>
        <w:rPr>
          <w:rFonts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 xml:space="preserve">投标人财务状况表 </w:t>
      </w:r>
    </w:p>
    <w:p w14:paraId="237EABE6">
      <w:pPr>
        <w:autoSpaceDE w:val="0"/>
        <w:autoSpaceDN w:val="0"/>
        <w:adjustRightInd w:val="0"/>
        <w:spacing w:line="360" w:lineRule="auto"/>
        <w:jc w:val="righ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[价格单位：（人民币）元]</w:t>
      </w:r>
    </w:p>
    <w:tbl>
      <w:tblPr>
        <w:tblStyle w:val="3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6"/>
        <w:gridCol w:w="1944"/>
        <w:gridCol w:w="1946"/>
        <w:gridCol w:w="2713"/>
        <w:gridCol w:w="2060"/>
      </w:tblGrid>
      <w:tr w14:paraId="2999C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3C3F8390">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年  度</w:t>
            </w:r>
          </w:p>
        </w:tc>
        <w:tc>
          <w:tcPr>
            <w:tcW w:w="1944" w:type="dxa"/>
            <w:vAlign w:val="center"/>
          </w:tcPr>
          <w:p w14:paraId="06CC0D0D">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总资产（元）</w:t>
            </w:r>
          </w:p>
        </w:tc>
        <w:tc>
          <w:tcPr>
            <w:tcW w:w="1946" w:type="dxa"/>
            <w:vAlign w:val="center"/>
          </w:tcPr>
          <w:p w14:paraId="1CD2487F">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净资产（元）</w:t>
            </w:r>
          </w:p>
        </w:tc>
        <w:tc>
          <w:tcPr>
            <w:tcW w:w="2713" w:type="dxa"/>
            <w:vAlign w:val="center"/>
          </w:tcPr>
          <w:p w14:paraId="473684AE">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年营业额（元）</w:t>
            </w:r>
          </w:p>
        </w:tc>
        <w:tc>
          <w:tcPr>
            <w:tcW w:w="2060" w:type="dxa"/>
            <w:vAlign w:val="center"/>
          </w:tcPr>
          <w:p w14:paraId="0792C71D">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年净利润（元）</w:t>
            </w:r>
          </w:p>
        </w:tc>
      </w:tr>
      <w:tr w14:paraId="7931B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7CAB114D">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2022</w:t>
            </w:r>
          </w:p>
        </w:tc>
        <w:tc>
          <w:tcPr>
            <w:tcW w:w="1944" w:type="dxa"/>
            <w:vAlign w:val="center"/>
          </w:tcPr>
          <w:p w14:paraId="7767D0E0">
            <w:pPr>
              <w:autoSpaceDE w:val="0"/>
              <w:autoSpaceDN w:val="0"/>
              <w:adjustRightInd w:val="0"/>
              <w:spacing w:line="360" w:lineRule="auto"/>
              <w:jc w:val="center"/>
              <w:rPr>
                <w:rFonts w:ascii="宋体" w:hAnsi="宋体" w:eastAsia="宋体" w:cs="宋体"/>
                <w:color w:val="auto"/>
                <w:kern w:val="0"/>
                <w:szCs w:val="21"/>
                <w:highlight w:val="none"/>
              </w:rPr>
            </w:pPr>
          </w:p>
        </w:tc>
        <w:tc>
          <w:tcPr>
            <w:tcW w:w="1946" w:type="dxa"/>
            <w:vAlign w:val="center"/>
          </w:tcPr>
          <w:p w14:paraId="780533D7">
            <w:pPr>
              <w:autoSpaceDE w:val="0"/>
              <w:autoSpaceDN w:val="0"/>
              <w:adjustRightInd w:val="0"/>
              <w:spacing w:line="360" w:lineRule="auto"/>
              <w:jc w:val="center"/>
              <w:rPr>
                <w:rFonts w:ascii="宋体" w:hAnsi="宋体" w:eastAsia="宋体" w:cs="宋体"/>
                <w:color w:val="auto"/>
                <w:kern w:val="0"/>
                <w:szCs w:val="21"/>
                <w:highlight w:val="none"/>
              </w:rPr>
            </w:pPr>
          </w:p>
        </w:tc>
        <w:tc>
          <w:tcPr>
            <w:tcW w:w="2713" w:type="dxa"/>
            <w:vAlign w:val="center"/>
          </w:tcPr>
          <w:p w14:paraId="4FC4CD65">
            <w:pPr>
              <w:autoSpaceDE w:val="0"/>
              <w:autoSpaceDN w:val="0"/>
              <w:adjustRightInd w:val="0"/>
              <w:spacing w:line="360" w:lineRule="auto"/>
              <w:jc w:val="center"/>
              <w:rPr>
                <w:rFonts w:ascii="宋体" w:hAnsi="宋体" w:eastAsia="宋体" w:cs="宋体"/>
                <w:color w:val="auto"/>
                <w:kern w:val="0"/>
                <w:szCs w:val="21"/>
                <w:highlight w:val="none"/>
              </w:rPr>
            </w:pPr>
          </w:p>
        </w:tc>
        <w:tc>
          <w:tcPr>
            <w:tcW w:w="2060" w:type="dxa"/>
            <w:vAlign w:val="center"/>
          </w:tcPr>
          <w:p w14:paraId="64067FAC">
            <w:pPr>
              <w:autoSpaceDE w:val="0"/>
              <w:autoSpaceDN w:val="0"/>
              <w:adjustRightInd w:val="0"/>
              <w:spacing w:line="360" w:lineRule="auto"/>
              <w:jc w:val="center"/>
              <w:rPr>
                <w:rFonts w:ascii="宋体" w:hAnsi="宋体" w:eastAsia="宋体" w:cs="宋体"/>
                <w:color w:val="auto"/>
                <w:kern w:val="0"/>
                <w:szCs w:val="21"/>
                <w:highlight w:val="none"/>
              </w:rPr>
            </w:pPr>
          </w:p>
        </w:tc>
      </w:tr>
      <w:tr w14:paraId="43313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401079B2">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2023</w:t>
            </w:r>
          </w:p>
        </w:tc>
        <w:tc>
          <w:tcPr>
            <w:tcW w:w="1944" w:type="dxa"/>
            <w:vAlign w:val="center"/>
          </w:tcPr>
          <w:p w14:paraId="78DB6E75">
            <w:pPr>
              <w:autoSpaceDE w:val="0"/>
              <w:autoSpaceDN w:val="0"/>
              <w:adjustRightInd w:val="0"/>
              <w:spacing w:line="360" w:lineRule="auto"/>
              <w:jc w:val="center"/>
              <w:rPr>
                <w:rFonts w:ascii="宋体" w:hAnsi="宋体" w:eastAsia="宋体" w:cs="宋体"/>
                <w:color w:val="auto"/>
                <w:kern w:val="0"/>
                <w:szCs w:val="21"/>
                <w:highlight w:val="none"/>
              </w:rPr>
            </w:pPr>
          </w:p>
        </w:tc>
        <w:tc>
          <w:tcPr>
            <w:tcW w:w="1946" w:type="dxa"/>
            <w:vAlign w:val="center"/>
          </w:tcPr>
          <w:p w14:paraId="7281B355">
            <w:pPr>
              <w:autoSpaceDE w:val="0"/>
              <w:autoSpaceDN w:val="0"/>
              <w:adjustRightInd w:val="0"/>
              <w:spacing w:line="360" w:lineRule="auto"/>
              <w:jc w:val="center"/>
              <w:rPr>
                <w:rFonts w:ascii="宋体" w:hAnsi="宋体" w:eastAsia="宋体" w:cs="宋体"/>
                <w:color w:val="auto"/>
                <w:kern w:val="0"/>
                <w:szCs w:val="21"/>
                <w:highlight w:val="none"/>
              </w:rPr>
            </w:pPr>
          </w:p>
        </w:tc>
        <w:tc>
          <w:tcPr>
            <w:tcW w:w="2713" w:type="dxa"/>
          </w:tcPr>
          <w:p w14:paraId="526D8DDD">
            <w:pPr>
              <w:autoSpaceDE w:val="0"/>
              <w:autoSpaceDN w:val="0"/>
              <w:adjustRightInd w:val="0"/>
              <w:spacing w:line="360" w:lineRule="auto"/>
              <w:jc w:val="center"/>
              <w:rPr>
                <w:rFonts w:ascii="宋体" w:hAnsi="宋体" w:eastAsia="宋体" w:cs="宋体"/>
                <w:color w:val="auto"/>
                <w:kern w:val="0"/>
                <w:szCs w:val="21"/>
                <w:highlight w:val="none"/>
              </w:rPr>
            </w:pPr>
          </w:p>
        </w:tc>
        <w:tc>
          <w:tcPr>
            <w:tcW w:w="2060" w:type="dxa"/>
            <w:vAlign w:val="center"/>
          </w:tcPr>
          <w:p w14:paraId="58702041">
            <w:pPr>
              <w:autoSpaceDE w:val="0"/>
              <w:autoSpaceDN w:val="0"/>
              <w:adjustRightInd w:val="0"/>
              <w:spacing w:line="360" w:lineRule="auto"/>
              <w:jc w:val="center"/>
              <w:rPr>
                <w:rFonts w:ascii="宋体" w:hAnsi="宋体" w:eastAsia="宋体" w:cs="宋体"/>
                <w:color w:val="auto"/>
                <w:kern w:val="0"/>
                <w:szCs w:val="21"/>
                <w:highlight w:val="none"/>
              </w:rPr>
            </w:pPr>
          </w:p>
        </w:tc>
      </w:tr>
      <w:tr w14:paraId="07E38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1B3BEEA4">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2024</w:t>
            </w:r>
          </w:p>
        </w:tc>
        <w:tc>
          <w:tcPr>
            <w:tcW w:w="1944" w:type="dxa"/>
            <w:vAlign w:val="center"/>
          </w:tcPr>
          <w:p w14:paraId="378DAAF1">
            <w:pPr>
              <w:autoSpaceDE w:val="0"/>
              <w:autoSpaceDN w:val="0"/>
              <w:adjustRightInd w:val="0"/>
              <w:spacing w:line="360" w:lineRule="auto"/>
              <w:jc w:val="center"/>
              <w:rPr>
                <w:rFonts w:ascii="宋体" w:hAnsi="宋体" w:eastAsia="宋体" w:cs="宋体"/>
                <w:color w:val="auto"/>
                <w:kern w:val="0"/>
                <w:szCs w:val="21"/>
                <w:highlight w:val="none"/>
              </w:rPr>
            </w:pPr>
          </w:p>
        </w:tc>
        <w:tc>
          <w:tcPr>
            <w:tcW w:w="1946" w:type="dxa"/>
            <w:vAlign w:val="center"/>
          </w:tcPr>
          <w:p w14:paraId="27AD29BE">
            <w:pPr>
              <w:autoSpaceDE w:val="0"/>
              <w:autoSpaceDN w:val="0"/>
              <w:adjustRightInd w:val="0"/>
              <w:spacing w:line="360" w:lineRule="auto"/>
              <w:jc w:val="center"/>
              <w:rPr>
                <w:rFonts w:ascii="宋体" w:hAnsi="宋体" w:eastAsia="宋体" w:cs="宋体"/>
                <w:color w:val="auto"/>
                <w:kern w:val="0"/>
                <w:szCs w:val="21"/>
                <w:highlight w:val="none"/>
              </w:rPr>
            </w:pPr>
          </w:p>
        </w:tc>
        <w:tc>
          <w:tcPr>
            <w:tcW w:w="2713" w:type="dxa"/>
          </w:tcPr>
          <w:p w14:paraId="049A5B6C">
            <w:pPr>
              <w:autoSpaceDE w:val="0"/>
              <w:autoSpaceDN w:val="0"/>
              <w:adjustRightInd w:val="0"/>
              <w:spacing w:line="360" w:lineRule="auto"/>
              <w:jc w:val="center"/>
              <w:rPr>
                <w:rFonts w:ascii="宋体" w:hAnsi="宋体" w:eastAsia="宋体" w:cs="宋体"/>
                <w:color w:val="auto"/>
                <w:kern w:val="0"/>
                <w:szCs w:val="21"/>
                <w:highlight w:val="none"/>
              </w:rPr>
            </w:pPr>
          </w:p>
        </w:tc>
        <w:tc>
          <w:tcPr>
            <w:tcW w:w="2060" w:type="dxa"/>
            <w:vAlign w:val="center"/>
          </w:tcPr>
          <w:p w14:paraId="19AB4F64">
            <w:pPr>
              <w:autoSpaceDE w:val="0"/>
              <w:autoSpaceDN w:val="0"/>
              <w:adjustRightInd w:val="0"/>
              <w:spacing w:line="360" w:lineRule="auto"/>
              <w:jc w:val="center"/>
              <w:rPr>
                <w:rFonts w:ascii="宋体" w:hAnsi="宋体" w:eastAsia="宋体" w:cs="宋体"/>
                <w:color w:val="auto"/>
                <w:kern w:val="0"/>
                <w:szCs w:val="21"/>
                <w:highlight w:val="none"/>
              </w:rPr>
            </w:pPr>
          </w:p>
        </w:tc>
      </w:tr>
      <w:tr w14:paraId="4B9AA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5056" w:type="dxa"/>
            <w:gridSpan w:val="3"/>
            <w:vAlign w:val="center"/>
          </w:tcPr>
          <w:p w14:paraId="0B422426">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总计</w:t>
            </w:r>
          </w:p>
        </w:tc>
        <w:tc>
          <w:tcPr>
            <w:tcW w:w="2713" w:type="dxa"/>
          </w:tcPr>
          <w:p w14:paraId="05B336D8">
            <w:pPr>
              <w:autoSpaceDE w:val="0"/>
              <w:autoSpaceDN w:val="0"/>
              <w:adjustRightInd w:val="0"/>
              <w:spacing w:line="360" w:lineRule="auto"/>
              <w:jc w:val="center"/>
              <w:rPr>
                <w:rFonts w:ascii="宋体" w:hAnsi="宋体" w:eastAsia="宋体" w:cs="宋体"/>
                <w:color w:val="auto"/>
                <w:kern w:val="0"/>
                <w:szCs w:val="21"/>
                <w:highlight w:val="none"/>
              </w:rPr>
            </w:pPr>
          </w:p>
        </w:tc>
        <w:tc>
          <w:tcPr>
            <w:tcW w:w="2060" w:type="dxa"/>
            <w:vAlign w:val="center"/>
          </w:tcPr>
          <w:p w14:paraId="491F40B2">
            <w:pPr>
              <w:autoSpaceDE w:val="0"/>
              <w:autoSpaceDN w:val="0"/>
              <w:adjustRightInd w:val="0"/>
              <w:spacing w:line="360" w:lineRule="auto"/>
              <w:jc w:val="center"/>
              <w:rPr>
                <w:rFonts w:ascii="宋体" w:hAnsi="宋体" w:eastAsia="宋体" w:cs="宋体"/>
                <w:color w:val="auto"/>
                <w:kern w:val="0"/>
                <w:szCs w:val="21"/>
                <w:highlight w:val="none"/>
              </w:rPr>
            </w:pPr>
          </w:p>
        </w:tc>
      </w:tr>
    </w:tbl>
    <w:p w14:paraId="6F0A9A84">
      <w:pPr>
        <w:spacing w:line="360" w:lineRule="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需提供对应年度经独立会计师事务所审计的审计报告及投标人财务状况表；若投标人为新成立或未进行独立会计师事务所审计的，本表中对应年度的财务信息应填写“/”，投标人的投标文件不作无效投标处理，但存在因不符合评标办法中的评分标准而导致对应项不得分。</w:t>
      </w:r>
    </w:p>
    <w:p w14:paraId="18313EBE">
      <w:pPr>
        <w:autoSpaceDE w:val="0"/>
        <w:autoSpaceDN w:val="0"/>
        <w:adjustRightInd w:val="0"/>
        <w:spacing w:line="360" w:lineRule="auto"/>
        <w:ind w:firstLine="5409" w:firstLineChars="2576"/>
        <w:rPr>
          <w:rFonts w:ascii="宋体" w:hAnsi="宋体" w:eastAsia="宋体" w:cs="宋体"/>
          <w:color w:val="auto"/>
          <w:szCs w:val="24"/>
          <w:highlight w:val="none"/>
          <w:lang w:val="zh-CN"/>
        </w:rPr>
      </w:pPr>
    </w:p>
    <w:p w14:paraId="134C4539">
      <w:pPr>
        <w:autoSpaceDE w:val="0"/>
        <w:autoSpaceDN w:val="0"/>
        <w:adjustRightInd w:val="0"/>
        <w:spacing w:line="360" w:lineRule="auto"/>
        <w:ind w:firstLine="5409" w:firstLineChars="2576"/>
        <w:rPr>
          <w:rFonts w:ascii="宋体" w:hAnsi="宋体" w:eastAsia="宋体" w:cs="宋体"/>
          <w:color w:val="auto"/>
          <w:szCs w:val="24"/>
          <w:highlight w:val="none"/>
          <w:lang w:val="zh-CN"/>
        </w:rPr>
      </w:pPr>
    </w:p>
    <w:p w14:paraId="0C8CB565">
      <w:pPr>
        <w:autoSpaceDE w:val="0"/>
        <w:autoSpaceDN w:val="0"/>
        <w:adjustRightInd w:val="0"/>
        <w:spacing w:line="360" w:lineRule="auto"/>
        <w:ind w:firstLine="5409" w:firstLineChars="2576"/>
        <w:rPr>
          <w:rFonts w:ascii="宋体" w:hAnsi="宋体" w:eastAsia="宋体" w:cs="宋体"/>
          <w:color w:val="auto"/>
          <w:szCs w:val="24"/>
          <w:highlight w:val="none"/>
          <w:u w:val="single"/>
        </w:rPr>
      </w:pPr>
      <w:r>
        <w:rPr>
          <w:rFonts w:hint="eastAsia" w:ascii="宋体" w:hAnsi="宋体" w:eastAsia="宋体" w:cs="宋体"/>
          <w:color w:val="auto"/>
          <w:szCs w:val="24"/>
          <w:highlight w:val="none"/>
          <w:lang w:val="zh-CN"/>
        </w:rPr>
        <w:t>投标人：（加盖投标人</w:t>
      </w:r>
      <w:r>
        <w:rPr>
          <w:rFonts w:hint="eastAsia" w:ascii="宋体" w:hAnsi="宋体" w:eastAsia="宋体" w:cs="宋体"/>
          <w:color w:val="auto"/>
          <w:szCs w:val="24"/>
          <w:highlight w:val="none"/>
        </w:rPr>
        <w:t>法人</w:t>
      </w:r>
      <w:r>
        <w:rPr>
          <w:rFonts w:hint="eastAsia" w:ascii="宋体" w:hAnsi="宋体" w:eastAsia="宋体" w:cs="宋体"/>
          <w:color w:val="auto"/>
          <w:szCs w:val="24"/>
          <w:highlight w:val="none"/>
          <w:lang w:val="zh-CN"/>
        </w:rPr>
        <w:t>公章）</w:t>
      </w:r>
    </w:p>
    <w:p w14:paraId="3CF75120">
      <w:pPr>
        <w:autoSpaceDE w:val="0"/>
        <w:autoSpaceDN w:val="0"/>
        <w:adjustRightInd w:val="0"/>
        <w:spacing w:line="360" w:lineRule="auto"/>
        <w:ind w:firstLine="6249" w:firstLineChars="2976"/>
        <w:rPr>
          <w:rFonts w:ascii="宋体" w:hAnsi="宋体" w:eastAsia="宋体" w:cs="宋体"/>
          <w:b/>
          <w:bCs/>
          <w:color w:val="auto"/>
          <w:kern w:val="0"/>
          <w:szCs w:val="21"/>
          <w:highlight w:val="none"/>
        </w:rPr>
        <w:sectPr>
          <w:footerReference r:id="rId9" w:type="default"/>
          <w:pgSz w:w="11907" w:h="16840"/>
          <w:pgMar w:top="1701" w:right="1418" w:bottom="851" w:left="1418" w:header="720" w:footer="720" w:gutter="0"/>
          <w:cols w:space="720" w:num="1"/>
          <w:titlePg/>
          <w:docGrid w:linePitch="326" w:charSpace="0"/>
        </w:sectPr>
      </w:pPr>
      <w:r>
        <w:rPr>
          <w:rFonts w:hint="eastAsia" w:ascii="宋体" w:hAnsi="宋体" w:eastAsia="宋体" w:cs="宋体"/>
          <w:color w:val="auto"/>
          <w:szCs w:val="24"/>
          <w:highlight w:val="none"/>
          <w:lang w:val="zh-CN"/>
        </w:rPr>
        <w:t>日期：</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月</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u w:val="none"/>
        </w:rPr>
        <w:t>日</w:t>
      </w:r>
    </w:p>
    <w:bookmarkEnd w:id="554"/>
    <w:bookmarkEnd w:id="555"/>
    <w:bookmarkEnd w:id="556"/>
    <w:bookmarkEnd w:id="557"/>
    <w:p w14:paraId="6623386B">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bookmarkStart w:id="558" w:name="_Toc169169444"/>
      <w:bookmarkStart w:id="559" w:name="_Toc23651"/>
      <w:bookmarkStart w:id="560" w:name="_Toc140596936"/>
      <w:bookmarkStart w:id="561" w:name="_Toc15551"/>
      <w:bookmarkStart w:id="562" w:name="_Toc20034"/>
      <w:bookmarkStart w:id="563" w:name="_Toc486167716"/>
      <w:bookmarkStart w:id="564" w:name="_Toc1977736"/>
      <w:bookmarkStart w:id="565" w:name="_Toc104991883"/>
      <w:bookmarkStart w:id="566" w:name="_Toc142508376"/>
      <w:bookmarkStart w:id="567" w:name="_Toc102860425"/>
      <w:bookmarkStart w:id="568" w:name="_Toc94107217"/>
      <w:bookmarkStart w:id="569" w:name="_Toc102860081"/>
      <w:bookmarkStart w:id="570" w:name="_Toc739_WPSOffice_Level2"/>
      <w:bookmarkStart w:id="571" w:name="_Toc533708130"/>
      <w:r>
        <w:rPr>
          <w:rFonts w:hint="eastAsia" w:ascii="宋体" w:hAnsi="宋体" w:eastAsia="宋体" w:cs="宋体"/>
          <w:b/>
          <w:color w:val="auto"/>
          <w:kern w:val="0"/>
          <w:sz w:val="32"/>
          <w:szCs w:val="32"/>
          <w:highlight w:val="none"/>
        </w:rPr>
        <w:t>八、</w:t>
      </w:r>
      <w:r>
        <w:rPr>
          <w:rFonts w:hint="eastAsia" w:ascii="宋体" w:hAnsi="宋体" w:eastAsia="宋体" w:cs="宋体"/>
          <w:b/>
          <w:color w:val="auto"/>
          <w:sz w:val="32"/>
          <w:szCs w:val="32"/>
          <w:highlight w:val="none"/>
        </w:rPr>
        <w:t>标准化</w:t>
      </w:r>
      <w:r>
        <w:rPr>
          <w:rFonts w:hint="eastAsia" w:ascii="宋体" w:hAnsi="宋体" w:eastAsia="宋体" w:cs="宋体"/>
          <w:b/>
          <w:color w:val="auto"/>
          <w:kern w:val="0"/>
          <w:sz w:val="32"/>
          <w:szCs w:val="32"/>
          <w:highlight w:val="none"/>
        </w:rPr>
        <w:t>体系认证</w:t>
      </w:r>
      <w:bookmarkEnd w:id="558"/>
      <w:bookmarkEnd w:id="559"/>
    </w:p>
    <w:p w14:paraId="4B712222">
      <w:pPr>
        <w:autoSpaceDE w:val="0"/>
        <w:autoSpaceDN w:val="0"/>
        <w:adjustRightInd w:val="0"/>
        <w:spacing w:line="360" w:lineRule="auto"/>
        <w:ind w:firstLine="420" w:firstLineChars="200"/>
        <w:jc w:val="left"/>
        <w:outlineLvl w:val="9"/>
        <w:rPr>
          <w:rFonts w:hint="eastAsia" w:ascii="宋体" w:hAnsi="宋体" w:eastAsia="宋体" w:cs="宋体"/>
          <w:bCs/>
          <w:color w:val="auto"/>
          <w:kern w:val="0"/>
          <w:szCs w:val="21"/>
          <w:highlight w:val="none"/>
          <w:lang w:bidi="ar"/>
        </w:rPr>
      </w:pPr>
      <w:r>
        <w:rPr>
          <w:rFonts w:hint="eastAsia" w:ascii="宋体" w:hAnsi="宋体" w:eastAsia="宋体" w:cs="宋体"/>
          <w:bCs/>
          <w:color w:val="auto"/>
          <w:kern w:val="0"/>
          <w:szCs w:val="21"/>
          <w:highlight w:val="none"/>
          <w:lang w:bidi="ar"/>
        </w:rPr>
        <w:t>备注：投标人应提供</w:t>
      </w:r>
      <w:r>
        <w:rPr>
          <w:rFonts w:hint="eastAsia" w:ascii="宋体" w:hAnsi="宋体" w:eastAsia="宋体" w:cs="宋体"/>
          <w:bCs/>
          <w:color w:val="auto"/>
          <w:kern w:val="0"/>
          <w:szCs w:val="21"/>
          <w:highlight w:val="none"/>
          <w:lang w:val="en-US" w:eastAsia="zh-CN" w:bidi="ar"/>
        </w:rPr>
        <w:t>评审内容中要求的有效</w:t>
      </w:r>
      <w:r>
        <w:rPr>
          <w:rFonts w:hint="eastAsia" w:ascii="宋体" w:hAnsi="宋体" w:eastAsia="宋体" w:cs="宋体"/>
          <w:bCs/>
          <w:color w:val="auto"/>
          <w:kern w:val="0"/>
          <w:szCs w:val="21"/>
          <w:highlight w:val="none"/>
          <w:lang w:bidi="ar"/>
        </w:rPr>
        <w:t>证书复印件及能显示证书有效状态的全国认证认可信息公共服务平台（http://cx.cnca.cn/)查询结果凭证{凭证界面需显示有“全国认证认可信息公共服务平台”或“认证证书（需显示网址cx.cnca.cn）”}。</w:t>
      </w:r>
    </w:p>
    <w:p w14:paraId="7EF7E3A2">
      <w:pPr>
        <w:pageBreakBefore/>
        <w:tabs>
          <w:tab w:val="left" w:pos="567"/>
        </w:tabs>
        <w:autoSpaceDE/>
        <w:autoSpaceDN/>
        <w:adjustRightInd w:val="0"/>
        <w:spacing w:line="360" w:lineRule="auto"/>
        <w:ind w:left="357" w:leftChars="-100" w:hanging="567"/>
        <w:jc w:val="left"/>
        <w:outlineLvl w:val="2"/>
        <w:rPr>
          <w:rFonts w:hint="eastAsia" w:ascii="宋体" w:hAnsi="宋体" w:eastAsia="宋体" w:cs="宋体"/>
          <w:b/>
          <w:color w:val="auto"/>
          <w:kern w:val="0"/>
          <w:sz w:val="32"/>
          <w:szCs w:val="32"/>
          <w:highlight w:val="none"/>
          <w:lang w:val="zh-CN"/>
        </w:rPr>
      </w:pPr>
      <w:bookmarkStart w:id="572" w:name="_Toc10492"/>
      <w:r>
        <w:rPr>
          <w:rFonts w:hint="eastAsia" w:ascii="宋体" w:hAnsi="宋体" w:eastAsia="宋体" w:cs="宋体"/>
          <w:b/>
          <w:color w:val="auto"/>
          <w:kern w:val="0"/>
          <w:sz w:val="32"/>
          <w:szCs w:val="32"/>
          <w:highlight w:val="none"/>
          <w:lang w:val="en-US" w:eastAsia="zh-CN"/>
        </w:rPr>
        <w:t>九</w:t>
      </w:r>
      <w:r>
        <w:rPr>
          <w:rFonts w:hint="eastAsia" w:ascii="宋体" w:hAnsi="宋体" w:eastAsia="宋体" w:cs="宋体"/>
          <w:b/>
          <w:color w:val="auto"/>
          <w:kern w:val="0"/>
          <w:sz w:val="32"/>
          <w:szCs w:val="32"/>
          <w:highlight w:val="none"/>
          <w:lang w:val="zh-CN"/>
        </w:rPr>
        <w:t>、合同条款偏离表格式</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6AB73913">
      <w:pPr>
        <w:autoSpaceDE w:val="0"/>
        <w:autoSpaceDN w:val="0"/>
        <w:adjustRightInd w:val="0"/>
        <w:spacing w:line="360" w:lineRule="auto"/>
        <w:jc w:val="center"/>
        <w:rPr>
          <w:rFonts w:ascii="宋体" w:hAnsi="宋体" w:eastAsia="宋体" w:cs="宋体"/>
          <w:b/>
          <w:bCs/>
          <w:color w:val="auto"/>
          <w:kern w:val="0"/>
          <w:sz w:val="28"/>
          <w:szCs w:val="30"/>
          <w:highlight w:val="none"/>
          <w:lang w:val="zh-CN"/>
        </w:rPr>
      </w:pPr>
      <w:bookmarkStart w:id="573" w:name="_Toc26412_WPSOffice_Level3"/>
      <w:r>
        <w:rPr>
          <w:rFonts w:hint="eastAsia" w:ascii="宋体" w:hAnsi="宋体" w:eastAsia="宋体" w:cs="宋体"/>
          <w:b/>
          <w:bCs/>
          <w:color w:val="auto"/>
          <w:kern w:val="0"/>
          <w:sz w:val="28"/>
          <w:szCs w:val="30"/>
          <w:highlight w:val="none"/>
          <w:lang w:val="zh-CN"/>
        </w:rPr>
        <w:t>东莞市水务环境投资控股集团管网有限公司2026年防撞缓冲车采购项目（第四次招标）合同条款偏离表</w:t>
      </w:r>
      <w:bookmarkEnd w:id="573"/>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425"/>
        <w:gridCol w:w="3055"/>
        <w:gridCol w:w="1346"/>
        <w:gridCol w:w="3524"/>
      </w:tblGrid>
      <w:tr w14:paraId="5447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020" w:type="dxa"/>
            <w:vMerge w:val="restart"/>
            <w:vAlign w:val="center"/>
          </w:tcPr>
          <w:p w14:paraId="052BAC3F">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4480" w:type="dxa"/>
            <w:gridSpan w:val="2"/>
            <w:vAlign w:val="center"/>
          </w:tcPr>
          <w:p w14:paraId="2C483C95">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招标文件要求</w:t>
            </w:r>
          </w:p>
        </w:tc>
        <w:tc>
          <w:tcPr>
            <w:tcW w:w="4870" w:type="dxa"/>
            <w:gridSpan w:val="2"/>
            <w:vAlign w:val="center"/>
          </w:tcPr>
          <w:p w14:paraId="48F4961B">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投标文件内容</w:t>
            </w:r>
          </w:p>
        </w:tc>
      </w:tr>
      <w:tr w14:paraId="1654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020" w:type="dxa"/>
            <w:vMerge w:val="continue"/>
            <w:vAlign w:val="center"/>
          </w:tcPr>
          <w:p w14:paraId="24D5F077">
            <w:pPr>
              <w:autoSpaceDE w:val="0"/>
              <w:autoSpaceDN w:val="0"/>
              <w:adjustRightInd w:val="0"/>
              <w:spacing w:line="400" w:lineRule="exact"/>
              <w:jc w:val="center"/>
              <w:rPr>
                <w:rFonts w:ascii="宋体" w:hAnsi="宋体" w:eastAsia="宋体" w:cs="宋体"/>
                <w:color w:val="auto"/>
                <w:kern w:val="0"/>
                <w:szCs w:val="21"/>
                <w:highlight w:val="none"/>
              </w:rPr>
            </w:pPr>
          </w:p>
        </w:tc>
        <w:tc>
          <w:tcPr>
            <w:tcW w:w="1425" w:type="dxa"/>
            <w:vAlign w:val="center"/>
          </w:tcPr>
          <w:p w14:paraId="2F25BC7E">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条款号</w:t>
            </w:r>
          </w:p>
        </w:tc>
        <w:tc>
          <w:tcPr>
            <w:tcW w:w="3055" w:type="dxa"/>
            <w:vAlign w:val="center"/>
          </w:tcPr>
          <w:p w14:paraId="734492AA">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简要内容</w:t>
            </w:r>
          </w:p>
        </w:tc>
        <w:tc>
          <w:tcPr>
            <w:tcW w:w="1346" w:type="dxa"/>
            <w:vAlign w:val="center"/>
          </w:tcPr>
          <w:p w14:paraId="0F7075F5">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偏离情况</w:t>
            </w:r>
          </w:p>
        </w:tc>
        <w:tc>
          <w:tcPr>
            <w:tcW w:w="3524" w:type="dxa"/>
            <w:vAlign w:val="center"/>
          </w:tcPr>
          <w:p w14:paraId="172E934A">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具体偏离内容</w:t>
            </w:r>
          </w:p>
        </w:tc>
      </w:tr>
      <w:tr w14:paraId="5F64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644F7F0">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1425" w:type="dxa"/>
            <w:vAlign w:val="center"/>
          </w:tcPr>
          <w:p w14:paraId="735EA39A">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一</w:t>
            </w:r>
          </w:p>
        </w:tc>
        <w:tc>
          <w:tcPr>
            <w:tcW w:w="3055" w:type="dxa"/>
            <w:vAlign w:val="center"/>
          </w:tcPr>
          <w:p w14:paraId="38BC02BC">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合同货物清单</w:t>
            </w:r>
          </w:p>
        </w:tc>
        <w:tc>
          <w:tcPr>
            <w:tcW w:w="1346" w:type="dxa"/>
            <w:vAlign w:val="center"/>
          </w:tcPr>
          <w:p w14:paraId="303F1F80">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619FBEF9">
            <w:pPr>
              <w:autoSpaceDE w:val="0"/>
              <w:autoSpaceDN w:val="0"/>
              <w:adjustRightInd w:val="0"/>
              <w:spacing w:line="400" w:lineRule="exact"/>
              <w:jc w:val="center"/>
              <w:rPr>
                <w:rFonts w:ascii="宋体" w:hAnsi="宋体" w:eastAsia="宋体" w:cs="宋体"/>
                <w:color w:val="auto"/>
                <w:kern w:val="0"/>
                <w:szCs w:val="21"/>
                <w:highlight w:val="none"/>
              </w:rPr>
            </w:pPr>
          </w:p>
        </w:tc>
      </w:tr>
      <w:tr w14:paraId="029E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9EB56AF">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1425" w:type="dxa"/>
            <w:vAlign w:val="center"/>
          </w:tcPr>
          <w:p w14:paraId="1F41E08C">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二</w:t>
            </w:r>
          </w:p>
        </w:tc>
        <w:tc>
          <w:tcPr>
            <w:tcW w:w="3055" w:type="dxa"/>
            <w:vAlign w:val="center"/>
          </w:tcPr>
          <w:p w14:paraId="6AAFE54D">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合同价款</w:t>
            </w:r>
          </w:p>
        </w:tc>
        <w:tc>
          <w:tcPr>
            <w:tcW w:w="1346" w:type="dxa"/>
            <w:vAlign w:val="center"/>
          </w:tcPr>
          <w:p w14:paraId="6C297122">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60521231">
            <w:pPr>
              <w:autoSpaceDE w:val="0"/>
              <w:autoSpaceDN w:val="0"/>
              <w:adjustRightInd w:val="0"/>
              <w:spacing w:line="400" w:lineRule="exact"/>
              <w:jc w:val="center"/>
              <w:rPr>
                <w:rFonts w:ascii="宋体" w:hAnsi="宋体" w:eastAsia="宋体" w:cs="宋体"/>
                <w:color w:val="auto"/>
                <w:kern w:val="0"/>
                <w:szCs w:val="21"/>
                <w:highlight w:val="none"/>
              </w:rPr>
            </w:pPr>
          </w:p>
        </w:tc>
      </w:tr>
      <w:tr w14:paraId="0E42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DCE68BE">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1425" w:type="dxa"/>
            <w:vAlign w:val="center"/>
          </w:tcPr>
          <w:p w14:paraId="74BCCD6E">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三</w:t>
            </w:r>
          </w:p>
        </w:tc>
        <w:tc>
          <w:tcPr>
            <w:tcW w:w="3055" w:type="dxa"/>
            <w:vAlign w:val="center"/>
          </w:tcPr>
          <w:p w14:paraId="131CC9E8">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货物产地及标准</w:t>
            </w:r>
          </w:p>
        </w:tc>
        <w:tc>
          <w:tcPr>
            <w:tcW w:w="1346" w:type="dxa"/>
            <w:vAlign w:val="center"/>
          </w:tcPr>
          <w:p w14:paraId="541F9F62">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4C5C89F4">
            <w:pPr>
              <w:autoSpaceDE w:val="0"/>
              <w:autoSpaceDN w:val="0"/>
              <w:adjustRightInd w:val="0"/>
              <w:spacing w:line="400" w:lineRule="exact"/>
              <w:jc w:val="center"/>
              <w:rPr>
                <w:rFonts w:ascii="宋体" w:hAnsi="宋体" w:eastAsia="宋体" w:cs="宋体"/>
                <w:color w:val="auto"/>
                <w:kern w:val="0"/>
                <w:szCs w:val="21"/>
                <w:highlight w:val="none"/>
              </w:rPr>
            </w:pPr>
          </w:p>
        </w:tc>
      </w:tr>
      <w:tr w14:paraId="6513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BE3976B">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1425" w:type="dxa"/>
            <w:vAlign w:val="center"/>
          </w:tcPr>
          <w:p w14:paraId="37F4071F">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四</w:t>
            </w:r>
          </w:p>
        </w:tc>
        <w:tc>
          <w:tcPr>
            <w:tcW w:w="3055" w:type="dxa"/>
            <w:vAlign w:val="center"/>
          </w:tcPr>
          <w:p w14:paraId="220CCA7B">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货物运输、包装、保险</w:t>
            </w:r>
          </w:p>
        </w:tc>
        <w:tc>
          <w:tcPr>
            <w:tcW w:w="1346" w:type="dxa"/>
            <w:vAlign w:val="center"/>
          </w:tcPr>
          <w:p w14:paraId="61653F87">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AC9D7AF">
            <w:pPr>
              <w:autoSpaceDE w:val="0"/>
              <w:autoSpaceDN w:val="0"/>
              <w:adjustRightInd w:val="0"/>
              <w:spacing w:line="400" w:lineRule="exact"/>
              <w:jc w:val="center"/>
              <w:rPr>
                <w:rFonts w:ascii="宋体" w:hAnsi="宋体" w:eastAsia="宋体" w:cs="宋体"/>
                <w:color w:val="auto"/>
                <w:kern w:val="0"/>
                <w:szCs w:val="21"/>
                <w:highlight w:val="none"/>
              </w:rPr>
            </w:pPr>
          </w:p>
        </w:tc>
      </w:tr>
      <w:tr w14:paraId="0EA4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AC61FB8">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1425" w:type="dxa"/>
            <w:vAlign w:val="center"/>
          </w:tcPr>
          <w:p w14:paraId="2CB406F3">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五</w:t>
            </w:r>
          </w:p>
        </w:tc>
        <w:tc>
          <w:tcPr>
            <w:tcW w:w="3055" w:type="dxa"/>
            <w:vAlign w:val="center"/>
          </w:tcPr>
          <w:p w14:paraId="143595D1">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交货</w:t>
            </w:r>
          </w:p>
        </w:tc>
        <w:tc>
          <w:tcPr>
            <w:tcW w:w="1346" w:type="dxa"/>
            <w:vAlign w:val="center"/>
          </w:tcPr>
          <w:p w14:paraId="106CB111">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12895B0">
            <w:pPr>
              <w:autoSpaceDE w:val="0"/>
              <w:autoSpaceDN w:val="0"/>
              <w:adjustRightInd w:val="0"/>
              <w:spacing w:line="400" w:lineRule="exact"/>
              <w:jc w:val="center"/>
              <w:rPr>
                <w:rFonts w:ascii="宋体" w:hAnsi="宋体" w:eastAsia="宋体" w:cs="宋体"/>
                <w:color w:val="auto"/>
                <w:kern w:val="0"/>
                <w:szCs w:val="21"/>
                <w:highlight w:val="none"/>
              </w:rPr>
            </w:pPr>
          </w:p>
        </w:tc>
      </w:tr>
      <w:tr w14:paraId="7EC9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48FBDCD">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p>
        </w:tc>
        <w:tc>
          <w:tcPr>
            <w:tcW w:w="1425" w:type="dxa"/>
            <w:vAlign w:val="center"/>
          </w:tcPr>
          <w:p w14:paraId="5A0F1DB4">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六</w:t>
            </w:r>
          </w:p>
        </w:tc>
        <w:tc>
          <w:tcPr>
            <w:tcW w:w="3055" w:type="dxa"/>
            <w:vAlign w:val="center"/>
          </w:tcPr>
          <w:p w14:paraId="30FB4C39">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货物验收</w:t>
            </w:r>
          </w:p>
        </w:tc>
        <w:tc>
          <w:tcPr>
            <w:tcW w:w="1346" w:type="dxa"/>
            <w:vAlign w:val="center"/>
          </w:tcPr>
          <w:p w14:paraId="55FAAEB6">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7606D4C8">
            <w:pPr>
              <w:autoSpaceDE w:val="0"/>
              <w:autoSpaceDN w:val="0"/>
              <w:adjustRightInd w:val="0"/>
              <w:spacing w:line="400" w:lineRule="exact"/>
              <w:jc w:val="center"/>
              <w:rPr>
                <w:rFonts w:ascii="宋体" w:hAnsi="宋体" w:eastAsia="宋体" w:cs="宋体"/>
                <w:color w:val="auto"/>
                <w:kern w:val="0"/>
                <w:szCs w:val="21"/>
                <w:highlight w:val="none"/>
              </w:rPr>
            </w:pPr>
          </w:p>
        </w:tc>
      </w:tr>
      <w:tr w14:paraId="15FC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CD927DB">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p>
        </w:tc>
        <w:tc>
          <w:tcPr>
            <w:tcW w:w="1425" w:type="dxa"/>
            <w:vAlign w:val="center"/>
          </w:tcPr>
          <w:p w14:paraId="57F13ECD">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七</w:t>
            </w:r>
          </w:p>
        </w:tc>
        <w:tc>
          <w:tcPr>
            <w:tcW w:w="3055" w:type="dxa"/>
            <w:vAlign w:val="center"/>
          </w:tcPr>
          <w:p w14:paraId="02808D81">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w:t>
            </w:r>
          </w:p>
        </w:tc>
        <w:tc>
          <w:tcPr>
            <w:tcW w:w="1346" w:type="dxa"/>
            <w:vAlign w:val="center"/>
          </w:tcPr>
          <w:p w14:paraId="5DE4DF4A">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2AA61DCF">
            <w:pPr>
              <w:autoSpaceDE w:val="0"/>
              <w:autoSpaceDN w:val="0"/>
              <w:adjustRightInd w:val="0"/>
              <w:spacing w:line="400" w:lineRule="exact"/>
              <w:jc w:val="center"/>
              <w:rPr>
                <w:rFonts w:ascii="宋体" w:hAnsi="宋体" w:eastAsia="宋体" w:cs="宋体"/>
                <w:color w:val="auto"/>
                <w:kern w:val="0"/>
                <w:szCs w:val="21"/>
                <w:highlight w:val="none"/>
              </w:rPr>
            </w:pPr>
          </w:p>
        </w:tc>
      </w:tr>
      <w:tr w14:paraId="4987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C8D8694">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p>
        </w:tc>
        <w:tc>
          <w:tcPr>
            <w:tcW w:w="1425" w:type="dxa"/>
            <w:vAlign w:val="center"/>
          </w:tcPr>
          <w:p w14:paraId="06F4CBC6">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八</w:t>
            </w:r>
          </w:p>
        </w:tc>
        <w:tc>
          <w:tcPr>
            <w:tcW w:w="3055" w:type="dxa"/>
            <w:vAlign w:val="center"/>
          </w:tcPr>
          <w:p w14:paraId="76994CAD">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培训及质保、售后服务</w:t>
            </w:r>
          </w:p>
        </w:tc>
        <w:tc>
          <w:tcPr>
            <w:tcW w:w="1346" w:type="dxa"/>
            <w:vAlign w:val="center"/>
          </w:tcPr>
          <w:p w14:paraId="04A5E172">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6331D5BF">
            <w:pPr>
              <w:autoSpaceDE w:val="0"/>
              <w:autoSpaceDN w:val="0"/>
              <w:adjustRightInd w:val="0"/>
              <w:spacing w:line="400" w:lineRule="exact"/>
              <w:jc w:val="center"/>
              <w:rPr>
                <w:rFonts w:ascii="宋体" w:hAnsi="宋体" w:eastAsia="宋体" w:cs="宋体"/>
                <w:color w:val="auto"/>
                <w:kern w:val="0"/>
                <w:szCs w:val="21"/>
                <w:highlight w:val="none"/>
              </w:rPr>
            </w:pPr>
          </w:p>
        </w:tc>
      </w:tr>
      <w:tr w14:paraId="628C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9A111B4">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p>
        </w:tc>
        <w:tc>
          <w:tcPr>
            <w:tcW w:w="1425" w:type="dxa"/>
            <w:vAlign w:val="center"/>
          </w:tcPr>
          <w:p w14:paraId="549ADD79">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九</w:t>
            </w:r>
          </w:p>
        </w:tc>
        <w:tc>
          <w:tcPr>
            <w:tcW w:w="3055" w:type="dxa"/>
            <w:vAlign w:val="center"/>
          </w:tcPr>
          <w:p w14:paraId="7E206ADB">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履约担保</w:t>
            </w:r>
          </w:p>
        </w:tc>
        <w:tc>
          <w:tcPr>
            <w:tcW w:w="1346" w:type="dxa"/>
            <w:vAlign w:val="center"/>
          </w:tcPr>
          <w:p w14:paraId="65839EB3">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15E2E674">
            <w:pPr>
              <w:autoSpaceDE w:val="0"/>
              <w:autoSpaceDN w:val="0"/>
              <w:adjustRightInd w:val="0"/>
              <w:spacing w:line="400" w:lineRule="exact"/>
              <w:jc w:val="center"/>
              <w:rPr>
                <w:rFonts w:ascii="宋体" w:hAnsi="宋体" w:eastAsia="宋体" w:cs="宋体"/>
                <w:color w:val="auto"/>
                <w:kern w:val="0"/>
                <w:szCs w:val="21"/>
                <w:highlight w:val="none"/>
              </w:rPr>
            </w:pPr>
          </w:p>
        </w:tc>
      </w:tr>
      <w:tr w14:paraId="3E9B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DDB497E">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1425" w:type="dxa"/>
            <w:vAlign w:val="center"/>
          </w:tcPr>
          <w:p w14:paraId="7E692E36">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w:t>
            </w:r>
          </w:p>
        </w:tc>
        <w:tc>
          <w:tcPr>
            <w:tcW w:w="3055" w:type="dxa"/>
            <w:vAlign w:val="center"/>
          </w:tcPr>
          <w:p w14:paraId="7A58AEE1">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质量保函</w:t>
            </w:r>
          </w:p>
        </w:tc>
        <w:tc>
          <w:tcPr>
            <w:tcW w:w="1346" w:type="dxa"/>
            <w:vAlign w:val="center"/>
          </w:tcPr>
          <w:p w14:paraId="57D1A912">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1033CC15">
            <w:pPr>
              <w:autoSpaceDE w:val="0"/>
              <w:autoSpaceDN w:val="0"/>
              <w:adjustRightInd w:val="0"/>
              <w:spacing w:line="400" w:lineRule="exact"/>
              <w:jc w:val="center"/>
              <w:rPr>
                <w:rFonts w:ascii="宋体" w:hAnsi="宋体" w:eastAsia="宋体" w:cs="宋体"/>
                <w:color w:val="auto"/>
                <w:kern w:val="0"/>
                <w:szCs w:val="21"/>
                <w:highlight w:val="none"/>
              </w:rPr>
            </w:pPr>
          </w:p>
        </w:tc>
      </w:tr>
      <w:tr w14:paraId="7A6C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1A6FAEA">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p>
        </w:tc>
        <w:tc>
          <w:tcPr>
            <w:tcW w:w="1425" w:type="dxa"/>
            <w:vAlign w:val="center"/>
          </w:tcPr>
          <w:p w14:paraId="505EFBC7">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十一</w:t>
            </w:r>
          </w:p>
        </w:tc>
        <w:tc>
          <w:tcPr>
            <w:tcW w:w="3055" w:type="dxa"/>
            <w:vAlign w:val="center"/>
          </w:tcPr>
          <w:p w14:paraId="3FD1AEAA">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合同权利义务的转让</w:t>
            </w:r>
          </w:p>
        </w:tc>
        <w:tc>
          <w:tcPr>
            <w:tcW w:w="1346" w:type="dxa"/>
            <w:vAlign w:val="center"/>
          </w:tcPr>
          <w:p w14:paraId="61470403">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2BFD8EFB">
            <w:pPr>
              <w:autoSpaceDE w:val="0"/>
              <w:autoSpaceDN w:val="0"/>
              <w:adjustRightInd w:val="0"/>
              <w:spacing w:line="400" w:lineRule="exact"/>
              <w:jc w:val="center"/>
              <w:rPr>
                <w:rFonts w:ascii="宋体" w:hAnsi="宋体" w:eastAsia="宋体" w:cs="宋体"/>
                <w:color w:val="auto"/>
                <w:kern w:val="0"/>
                <w:szCs w:val="21"/>
                <w:highlight w:val="none"/>
              </w:rPr>
            </w:pPr>
          </w:p>
        </w:tc>
      </w:tr>
      <w:tr w14:paraId="2A6B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070933A">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12</w:t>
            </w:r>
          </w:p>
        </w:tc>
        <w:tc>
          <w:tcPr>
            <w:tcW w:w="1425" w:type="dxa"/>
            <w:vAlign w:val="center"/>
          </w:tcPr>
          <w:p w14:paraId="754E9B81">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十二</w:t>
            </w:r>
          </w:p>
        </w:tc>
        <w:tc>
          <w:tcPr>
            <w:tcW w:w="3055" w:type="dxa"/>
            <w:vAlign w:val="center"/>
          </w:tcPr>
          <w:p w14:paraId="058C3316">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违约责任</w:t>
            </w:r>
          </w:p>
        </w:tc>
        <w:tc>
          <w:tcPr>
            <w:tcW w:w="1346" w:type="dxa"/>
            <w:vAlign w:val="center"/>
          </w:tcPr>
          <w:p w14:paraId="3AD03979">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36DCC1ED">
            <w:pPr>
              <w:autoSpaceDE w:val="0"/>
              <w:autoSpaceDN w:val="0"/>
              <w:adjustRightInd w:val="0"/>
              <w:spacing w:line="400" w:lineRule="exact"/>
              <w:jc w:val="center"/>
              <w:rPr>
                <w:rFonts w:ascii="宋体" w:hAnsi="宋体" w:eastAsia="宋体" w:cs="宋体"/>
                <w:color w:val="auto"/>
                <w:kern w:val="0"/>
                <w:szCs w:val="21"/>
                <w:highlight w:val="none"/>
              </w:rPr>
            </w:pPr>
          </w:p>
        </w:tc>
      </w:tr>
      <w:tr w14:paraId="295F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CC43820">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13</w:t>
            </w:r>
          </w:p>
        </w:tc>
        <w:tc>
          <w:tcPr>
            <w:tcW w:w="1425" w:type="dxa"/>
            <w:vAlign w:val="center"/>
          </w:tcPr>
          <w:p w14:paraId="6ED3314E">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十三</w:t>
            </w:r>
          </w:p>
        </w:tc>
        <w:tc>
          <w:tcPr>
            <w:tcW w:w="3055" w:type="dxa"/>
            <w:vAlign w:val="center"/>
          </w:tcPr>
          <w:p w14:paraId="2AEEF7B3">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虚假承诺</w:t>
            </w:r>
          </w:p>
        </w:tc>
        <w:tc>
          <w:tcPr>
            <w:tcW w:w="1346" w:type="dxa"/>
            <w:vAlign w:val="center"/>
          </w:tcPr>
          <w:p w14:paraId="47EE8124">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5322D373">
            <w:pPr>
              <w:autoSpaceDE w:val="0"/>
              <w:autoSpaceDN w:val="0"/>
              <w:adjustRightInd w:val="0"/>
              <w:spacing w:line="400" w:lineRule="exact"/>
              <w:jc w:val="center"/>
              <w:rPr>
                <w:rFonts w:ascii="宋体" w:hAnsi="宋体" w:eastAsia="宋体" w:cs="宋体"/>
                <w:color w:val="auto"/>
                <w:kern w:val="0"/>
                <w:szCs w:val="21"/>
                <w:highlight w:val="none"/>
              </w:rPr>
            </w:pPr>
          </w:p>
        </w:tc>
      </w:tr>
      <w:tr w14:paraId="750ED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63C99AF">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14</w:t>
            </w:r>
          </w:p>
        </w:tc>
        <w:tc>
          <w:tcPr>
            <w:tcW w:w="1425" w:type="dxa"/>
            <w:vAlign w:val="center"/>
          </w:tcPr>
          <w:p w14:paraId="428DBE75">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十四</w:t>
            </w:r>
          </w:p>
        </w:tc>
        <w:tc>
          <w:tcPr>
            <w:tcW w:w="3055" w:type="dxa"/>
            <w:vAlign w:val="center"/>
          </w:tcPr>
          <w:p w14:paraId="509BB2A4">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争议的解决</w:t>
            </w:r>
          </w:p>
        </w:tc>
        <w:tc>
          <w:tcPr>
            <w:tcW w:w="1346" w:type="dxa"/>
            <w:vAlign w:val="center"/>
          </w:tcPr>
          <w:p w14:paraId="52909879">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1984D537">
            <w:pPr>
              <w:autoSpaceDE w:val="0"/>
              <w:autoSpaceDN w:val="0"/>
              <w:adjustRightInd w:val="0"/>
              <w:spacing w:line="400" w:lineRule="exact"/>
              <w:jc w:val="center"/>
              <w:rPr>
                <w:rFonts w:ascii="宋体" w:hAnsi="宋体" w:eastAsia="宋体" w:cs="宋体"/>
                <w:color w:val="auto"/>
                <w:kern w:val="0"/>
                <w:szCs w:val="21"/>
                <w:highlight w:val="none"/>
              </w:rPr>
            </w:pPr>
          </w:p>
        </w:tc>
      </w:tr>
      <w:tr w14:paraId="1651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4869373">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15</w:t>
            </w:r>
          </w:p>
        </w:tc>
        <w:tc>
          <w:tcPr>
            <w:tcW w:w="1425" w:type="dxa"/>
            <w:vAlign w:val="center"/>
          </w:tcPr>
          <w:p w14:paraId="0BC228C2">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十五</w:t>
            </w:r>
          </w:p>
        </w:tc>
        <w:tc>
          <w:tcPr>
            <w:tcW w:w="3055" w:type="dxa"/>
            <w:vAlign w:val="center"/>
          </w:tcPr>
          <w:p w14:paraId="31142CAA">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知识产权</w:t>
            </w:r>
          </w:p>
        </w:tc>
        <w:tc>
          <w:tcPr>
            <w:tcW w:w="1346" w:type="dxa"/>
            <w:vAlign w:val="center"/>
          </w:tcPr>
          <w:p w14:paraId="14F05390">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F60C09A">
            <w:pPr>
              <w:autoSpaceDE w:val="0"/>
              <w:autoSpaceDN w:val="0"/>
              <w:adjustRightInd w:val="0"/>
              <w:spacing w:line="400" w:lineRule="exact"/>
              <w:jc w:val="center"/>
              <w:rPr>
                <w:rFonts w:ascii="宋体" w:hAnsi="宋体" w:eastAsia="宋体" w:cs="宋体"/>
                <w:color w:val="auto"/>
                <w:kern w:val="0"/>
                <w:szCs w:val="21"/>
                <w:highlight w:val="none"/>
              </w:rPr>
            </w:pPr>
          </w:p>
        </w:tc>
      </w:tr>
      <w:tr w14:paraId="1029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69C2FD8">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16</w:t>
            </w:r>
          </w:p>
        </w:tc>
        <w:tc>
          <w:tcPr>
            <w:tcW w:w="1425" w:type="dxa"/>
            <w:vAlign w:val="center"/>
          </w:tcPr>
          <w:p w14:paraId="393B5D65">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十六</w:t>
            </w:r>
          </w:p>
        </w:tc>
        <w:tc>
          <w:tcPr>
            <w:tcW w:w="3055" w:type="dxa"/>
            <w:vAlign w:val="center"/>
          </w:tcPr>
          <w:p w14:paraId="6D1BA358">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税和关税</w:t>
            </w:r>
          </w:p>
        </w:tc>
        <w:tc>
          <w:tcPr>
            <w:tcW w:w="1346" w:type="dxa"/>
            <w:vAlign w:val="center"/>
          </w:tcPr>
          <w:p w14:paraId="5F8A5823">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20B68A8">
            <w:pPr>
              <w:autoSpaceDE w:val="0"/>
              <w:autoSpaceDN w:val="0"/>
              <w:adjustRightInd w:val="0"/>
              <w:spacing w:line="400" w:lineRule="exact"/>
              <w:jc w:val="center"/>
              <w:rPr>
                <w:rFonts w:ascii="宋体" w:hAnsi="宋体" w:eastAsia="宋体" w:cs="宋体"/>
                <w:color w:val="auto"/>
                <w:kern w:val="0"/>
                <w:szCs w:val="21"/>
                <w:highlight w:val="none"/>
              </w:rPr>
            </w:pPr>
          </w:p>
        </w:tc>
      </w:tr>
      <w:tr w14:paraId="3DE5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51EC200">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w:t>
            </w:r>
          </w:p>
        </w:tc>
        <w:tc>
          <w:tcPr>
            <w:tcW w:w="1425" w:type="dxa"/>
            <w:vAlign w:val="center"/>
          </w:tcPr>
          <w:p w14:paraId="4B4FA0C3">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十七</w:t>
            </w:r>
          </w:p>
        </w:tc>
        <w:tc>
          <w:tcPr>
            <w:tcW w:w="3055" w:type="dxa"/>
            <w:vAlign w:val="center"/>
          </w:tcPr>
          <w:p w14:paraId="55999158">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不可抗力</w:t>
            </w:r>
          </w:p>
        </w:tc>
        <w:tc>
          <w:tcPr>
            <w:tcW w:w="1346" w:type="dxa"/>
            <w:vAlign w:val="center"/>
          </w:tcPr>
          <w:p w14:paraId="0CDE151E">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23234EB5">
            <w:pPr>
              <w:autoSpaceDE w:val="0"/>
              <w:autoSpaceDN w:val="0"/>
              <w:adjustRightInd w:val="0"/>
              <w:spacing w:line="400" w:lineRule="exact"/>
              <w:jc w:val="center"/>
              <w:rPr>
                <w:rFonts w:ascii="宋体" w:hAnsi="宋体" w:eastAsia="宋体" w:cs="宋体"/>
                <w:color w:val="auto"/>
                <w:kern w:val="0"/>
                <w:szCs w:val="21"/>
                <w:highlight w:val="none"/>
              </w:rPr>
            </w:pPr>
          </w:p>
        </w:tc>
      </w:tr>
      <w:tr w14:paraId="1B70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EE82B21">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w:t>
            </w:r>
          </w:p>
        </w:tc>
        <w:tc>
          <w:tcPr>
            <w:tcW w:w="1425" w:type="dxa"/>
            <w:vAlign w:val="center"/>
          </w:tcPr>
          <w:p w14:paraId="7DFDE0E0">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十八</w:t>
            </w:r>
          </w:p>
        </w:tc>
        <w:tc>
          <w:tcPr>
            <w:tcW w:w="3055" w:type="dxa"/>
            <w:vAlign w:val="center"/>
          </w:tcPr>
          <w:p w14:paraId="1F63816E">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b w:val="0"/>
                <w:color w:val="auto"/>
                <w:kern w:val="0"/>
                <w:szCs w:val="21"/>
                <w:highlight w:val="none"/>
              </w:rPr>
              <w:t>送达</w:t>
            </w:r>
          </w:p>
        </w:tc>
        <w:tc>
          <w:tcPr>
            <w:tcW w:w="1346" w:type="dxa"/>
            <w:vAlign w:val="center"/>
          </w:tcPr>
          <w:p w14:paraId="75F1730D">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51A66176">
            <w:pPr>
              <w:autoSpaceDE w:val="0"/>
              <w:autoSpaceDN w:val="0"/>
              <w:adjustRightInd w:val="0"/>
              <w:spacing w:line="400" w:lineRule="exact"/>
              <w:jc w:val="center"/>
              <w:rPr>
                <w:rFonts w:ascii="宋体" w:hAnsi="宋体" w:eastAsia="宋体" w:cs="宋体"/>
                <w:color w:val="auto"/>
                <w:kern w:val="0"/>
                <w:szCs w:val="21"/>
                <w:highlight w:val="none"/>
              </w:rPr>
            </w:pPr>
          </w:p>
        </w:tc>
      </w:tr>
      <w:tr w14:paraId="0B1DD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69FFA95">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w:t>
            </w:r>
          </w:p>
        </w:tc>
        <w:tc>
          <w:tcPr>
            <w:tcW w:w="1425" w:type="dxa"/>
            <w:vAlign w:val="center"/>
          </w:tcPr>
          <w:p w14:paraId="4027E737">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十九</w:t>
            </w:r>
          </w:p>
        </w:tc>
        <w:tc>
          <w:tcPr>
            <w:tcW w:w="3055" w:type="dxa"/>
            <w:vAlign w:val="center"/>
          </w:tcPr>
          <w:p w14:paraId="31C85F0B">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其他</w:t>
            </w:r>
          </w:p>
        </w:tc>
        <w:tc>
          <w:tcPr>
            <w:tcW w:w="1346" w:type="dxa"/>
            <w:vAlign w:val="center"/>
          </w:tcPr>
          <w:p w14:paraId="3094A26F">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4EB3960A">
            <w:pPr>
              <w:autoSpaceDE w:val="0"/>
              <w:autoSpaceDN w:val="0"/>
              <w:adjustRightInd w:val="0"/>
              <w:spacing w:line="400" w:lineRule="exact"/>
              <w:jc w:val="center"/>
              <w:rPr>
                <w:rFonts w:ascii="宋体" w:hAnsi="宋体" w:eastAsia="宋体" w:cs="宋体"/>
                <w:color w:val="auto"/>
                <w:kern w:val="0"/>
                <w:szCs w:val="21"/>
                <w:highlight w:val="none"/>
              </w:rPr>
            </w:pPr>
          </w:p>
        </w:tc>
      </w:tr>
      <w:tr w14:paraId="3B95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4FFCAB4">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1425" w:type="dxa"/>
            <w:vAlign w:val="center"/>
          </w:tcPr>
          <w:p w14:paraId="6B664078">
            <w:pPr>
              <w:autoSpaceDE w:val="0"/>
              <w:autoSpaceDN w:val="0"/>
              <w:adjustRightInd w:val="0"/>
              <w:spacing w:line="400" w:lineRule="exact"/>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附件1</w:t>
            </w:r>
          </w:p>
        </w:tc>
        <w:tc>
          <w:tcPr>
            <w:tcW w:w="3055" w:type="dxa"/>
            <w:vAlign w:val="center"/>
          </w:tcPr>
          <w:p w14:paraId="081B813B">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廉洁协议书</w:t>
            </w:r>
          </w:p>
        </w:tc>
        <w:tc>
          <w:tcPr>
            <w:tcW w:w="1346" w:type="dxa"/>
            <w:vAlign w:val="center"/>
          </w:tcPr>
          <w:p w14:paraId="598A5EA7">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3C701ADE">
            <w:pPr>
              <w:autoSpaceDE w:val="0"/>
              <w:autoSpaceDN w:val="0"/>
              <w:adjustRightInd w:val="0"/>
              <w:spacing w:line="400" w:lineRule="exact"/>
              <w:jc w:val="center"/>
              <w:rPr>
                <w:rFonts w:ascii="宋体" w:hAnsi="宋体" w:eastAsia="宋体" w:cs="宋体"/>
                <w:color w:val="auto"/>
                <w:kern w:val="0"/>
                <w:szCs w:val="21"/>
                <w:highlight w:val="none"/>
              </w:rPr>
            </w:pPr>
          </w:p>
        </w:tc>
      </w:tr>
      <w:tr w14:paraId="1C99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3C8FA81">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1425" w:type="dxa"/>
            <w:vAlign w:val="center"/>
          </w:tcPr>
          <w:p w14:paraId="5CA77616">
            <w:pPr>
              <w:autoSpaceDE w:val="0"/>
              <w:autoSpaceDN w:val="0"/>
              <w:adjustRightInd w:val="0"/>
              <w:spacing w:line="400" w:lineRule="exact"/>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附件5</w:t>
            </w:r>
          </w:p>
        </w:tc>
        <w:tc>
          <w:tcPr>
            <w:tcW w:w="3055" w:type="dxa"/>
            <w:vAlign w:val="center"/>
          </w:tcPr>
          <w:p w14:paraId="00753147">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承诺书</w:t>
            </w:r>
          </w:p>
        </w:tc>
        <w:tc>
          <w:tcPr>
            <w:tcW w:w="1346" w:type="dxa"/>
            <w:vAlign w:val="center"/>
          </w:tcPr>
          <w:p w14:paraId="24ABBD81">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1A3900D">
            <w:pPr>
              <w:autoSpaceDE w:val="0"/>
              <w:autoSpaceDN w:val="0"/>
              <w:adjustRightInd w:val="0"/>
              <w:spacing w:line="400" w:lineRule="exact"/>
              <w:jc w:val="center"/>
              <w:rPr>
                <w:rFonts w:ascii="宋体" w:hAnsi="宋体" w:eastAsia="宋体" w:cs="宋体"/>
                <w:color w:val="auto"/>
                <w:kern w:val="0"/>
                <w:szCs w:val="21"/>
                <w:highlight w:val="none"/>
              </w:rPr>
            </w:pPr>
          </w:p>
        </w:tc>
      </w:tr>
      <w:tr w14:paraId="0EDC8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F83802C">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w:t>
            </w:r>
          </w:p>
        </w:tc>
        <w:tc>
          <w:tcPr>
            <w:tcW w:w="1425" w:type="dxa"/>
            <w:vAlign w:val="center"/>
          </w:tcPr>
          <w:p w14:paraId="3BE6CA6E">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一</w:t>
            </w:r>
          </w:p>
        </w:tc>
        <w:tc>
          <w:tcPr>
            <w:tcW w:w="3055" w:type="dxa"/>
            <w:vAlign w:val="center"/>
          </w:tcPr>
          <w:p w14:paraId="387F04B5">
            <w:pPr>
              <w:autoSpaceDE w:val="0"/>
              <w:autoSpaceDN w:val="0"/>
              <w:adjustRightInd w:val="0"/>
              <w:spacing w:line="400" w:lineRule="exact"/>
              <w:jc w:val="center"/>
              <w:rPr>
                <w:rFonts w:ascii="宋体" w:hAnsi="宋体" w:eastAsia="宋体" w:cs="宋体"/>
                <w:color w:val="auto"/>
                <w:kern w:val="0"/>
                <w:szCs w:val="21"/>
                <w:highlight w:val="none"/>
              </w:rPr>
            </w:pPr>
            <w:r>
              <w:rPr>
                <w:rFonts w:ascii="宋体" w:hAnsi="宋体" w:eastAsia="宋体" w:cs="宋体"/>
                <w:color w:val="auto"/>
                <w:kern w:val="0"/>
                <w:szCs w:val="21"/>
                <w:highlight w:val="none"/>
              </w:rPr>
              <w:t>不可撤销银行履约保函</w:t>
            </w:r>
          </w:p>
        </w:tc>
        <w:tc>
          <w:tcPr>
            <w:tcW w:w="1346" w:type="dxa"/>
            <w:vAlign w:val="center"/>
          </w:tcPr>
          <w:p w14:paraId="5773BA00">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E7F4675">
            <w:pPr>
              <w:autoSpaceDE w:val="0"/>
              <w:autoSpaceDN w:val="0"/>
              <w:adjustRightInd w:val="0"/>
              <w:spacing w:line="400" w:lineRule="exact"/>
              <w:jc w:val="center"/>
              <w:rPr>
                <w:rFonts w:ascii="宋体" w:hAnsi="宋体" w:eastAsia="宋体" w:cs="宋体"/>
                <w:color w:val="auto"/>
                <w:kern w:val="0"/>
                <w:szCs w:val="21"/>
                <w:highlight w:val="none"/>
              </w:rPr>
            </w:pPr>
          </w:p>
        </w:tc>
      </w:tr>
      <w:tr w14:paraId="70A4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160A301">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w:t>
            </w:r>
          </w:p>
        </w:tc>
        <w:tc>
          <w:tcPr>
            <w:tcW w:w="1425" w:type="dxa"/>
            <w:vAlign w:val="center"/>
          </w:tcPr>
          <w:p w14:paraId="38F95C43">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二</w:t>
            </w:r>
          </w:p>
        </w:tc>
        <w:tc>
          <w:tcPr>
            <w:tcW w:w="3055" w:type="dxa"/>
            <w:vAlign w:val="center"/>
          </w:tcPr>
          <w:p w14:paraId="19C2109C">
            <w:pPr>
              <w:autoSpaceDE w:val="0"/>
              <w:autoSpaceDN w:val="0"/>
              <w:adjustRightInd w:val="0"/>
              <w:spacing w:line="400" w:lineRule="exact"/>
              <w:jc w:val="center"/>
              <w:rPr>
                <w:rFonts w:ascii="宋体" w:hAnsi="宋体" w:eastAsia="宋体" w:cs="宋体"/>
                <w:color w:val="auto"/>
                <w:kern w:val="0"/>
                <w:szCs w:val="21"/>
                <w:highlight w:val="none"/>
              </w:rPr>
            </w:pPr>
            <w:r>
              <w:rPr>
                <w:rFonts w:ascii="宋体" w:hAnsi="宋体" w:eastAsia="宋体" w:cs="宋体"/>
                <w:color w:val="auto"/>
                <w:kern w:val="0"/>
                <w:szCs w:val="21"/>
                <w:highlight w:val="none"/>
              </w:rPr>
              <w:t>履约保证保险凭证</w:t>
            </w:r>
          </w:p>
        </w:tc>
        <w:tc>
          <w:tcPr>
            <w:tcW w:w="1346" w:type="dxa"/>
            <w:vAlign w:val="center"/>
          </w:tcPr>
          <w:p w14:paraId="44562FD8">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5794F9DA">
            <w:pPr>
              <w:autoSpaceDE w:val="0"/>
              <w:autoSpaceDN w:val="0"/>
              <w:adjustRightInd w:val="0"/>
              <w:spacing w:line="400" w:lineRule="exact"/>
              <w:jc w:val="center"/>
              <w:rPr>
                <w:rFonts w:ascii="宋体" w:hAnsi="宋体" w:eastAsia="宋体" w:cs="宋体"/>
                <w:color w:val="auto"/>
                <w:kern w:val="0"/>
                <w:szCs w:val="21"/>
                <w:highlight w:val="none"/>
              </w:rPr>
            </w:pPr>
          </w:p>
        </w:tc>
      </w:tr>
      <w:tr w14:paraId="3993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CC123F5">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w:t>
            </w:r>
          </w:p>
        </w:tc>
        <w:tc>
          <w:tcPr>
            <w:tcW w:w="1425" w:type="dxa"/>
            <w:vAlign w:val="center"/>
          </w:tcPr>
          <w:p w14:paraId="7F073CAA">
            <w:pPr>
              <w:autoSpaceDE w:val="0"/>
              <w:autoSpaceDN w:val="0"/>
              <w:adjustRightIn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w:t>
            </w:r>
          </w:p>
        </w:tc>
        <w:tc>
          <w:tcPr>
            <w:tcW w:w="3055" w:type="dxa"/>
            <w:vAlign w:val="center"/>
          </w:tcPr>
          <w:p w14:paraId="2F4C3D41">
            <w:pPr>
              <w:autoSpaceDE w:val="0"/>
              <w:autoSpaceDN w:val="0"/>
              <w:adjustRightInd w:val="0"/>
              <w:spacing w:line="400" w:lineRule="exact"/>
              <w:jc w:val="center"/>
              <w:rPr>
                <w:rFonts w:ascii="宋体" w:hAnsi="宋体" w:eastAsia="宋体" w:cs="宋体"/>
                <w:color w:val="auto"/>
                <w:kern w:val="0"/>
                <w:szCs w:val="21"/>
                <w:highlight w:val="none"/>
              </w:rPr>
            </w:pPr>
            <w:r>
              <w:rPr>
                <w:rFonts w:ascii="宋体" w:hAnsi="宋体" w:eastAsia="宋体" w:cs="宋体"/>
                <w:color w:val="auto"/>
                <w:kern w:val="0"/>
                <w:szCs w:val="21"/>
                <w:highlight w:val="none"/>
              </w:rPr>
              <w:t>担保公司履约担保书</w:t>
            </w:r>
          </w:p>
        </w:tc>
        <w:tc>
          <w:tcPr>
            <w:tcW w:w="1346" w:type="dxa"/>
            <w:vAlign w:val="center"/>
          </w:tcPr>
          <w:p w14:paraId="27007989">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6CCE197F">
            <w:pPr>
              <w:autoSpaceDE w:val="0"/>
              <w:autoSpaceDN w:val="0"/>
              <w:adjustRightInd w:val="0"/>
              <w:spacing w:line="400" w:lineRule="exact"/>
              <w:jc w:val="center"/>
              <w:rPr>
                <w:rFonts w:ascii="宋体" w:hAnsi="宋体" w:eastAsia="宋体" w:cs="宋体"/>
                <w:color w:val="auto"/>
                <w:kern w:val="0"/>
                <w:szCs w:val="21"/>
                <w:highlight w:val="none"/>
              </w:rPr>
            </w:pPr>
          </w:p>
        </w:tc>
      </w:tr>
      <w:tr w14:paraId="53EC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95DBE0D">
            <w:pPr>
              <w:autoSpaceDE w:val="0"/>
              <w:autoSpaceDN w:val="0"/>
              <w:adjustRightInd w:val="0"/>
              <w:spacing w:line="400" w:lineRule="exact"/>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25</w:t>
            </w:r>
          </w:p>
        </w:tc>
        <w:tc>
          <w:tcPr>
            <w:tcW w:w="1425" w:type="dxa"/>
            <w:vAlign w:val="center"/>
          </w:tcPr>
          <w:p w14:paraId="0ED8EC5C">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四</w:t>
            </w:r>
          </w:p>
        </w:tc>
        <w:tc>
          <w:tcPr>
            <w:tcW w:w="3055" w:type="dxa"/>
            <w:vAlign w:val="center"/>
          </w:tcPr>
          <w:p w14:paraId="3E1B0350">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不可撤销银行质量保函</w:t>
            </w:r>
          </w:p>
        </w:tc>
        <w:tc>
          <w:tcPr>
            <w:tcW w:w="1346" w:type="dxa"/>
            <w:vAlign w:val="center"/>
          </w:tcPr>
          <w:p w14:paraId="6E7C59D0">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C377766">
            <w:pPr>
              <w:autoSpaceDE w:val="0"/>
              <w:autoSpaceDN w:val="0"/>
              <w:adjustRightInd w:val="0"/>
              <w:spacing w:line="400" w:lineRule="exact"/>
              <w:jc w:val="center"/>
              <w:rPr>
                <w:rFonts w:ascii="宋体" w:hAnsi="宋体" w:eastAsia="宋体" w:cs="宋体"/>
                <w:color w:val="auto"/>
                <w:kern w:val="0"/>
                <w:szCs w:val="21"/>
                <w:highlight w:val="none"/>
              </w:rPr>
            </w:pPr>
          </w:p>
        </w:tc>
      </w:tr>
    </w:tbl>
    <w:p w14:paraId="73359664">
      <w:pPr>
        <w:autoSpaceDE w:val="0"/>
        <w:autoSpaceDN w:val="0"/>
        <w:adjustRightInd w:val="0"/>
        <w:snapToGrid w:val="0"/>
        <w:spacing w:line="360" w:lineRule="auto"/>
        <w:ind w:left="186" w:leftChars="-158" w:hanging="518" w:hangingChars="247"/>
        <w:jc w:val="left"/>
        <w:rPr>
          <w:rFonts w:ascii="宋体" w:hAnsi="宋体" w:eastAsia="宋体" w:cs="Times New Roman"/>
          <w:color w:val="auto"/>
          <w:szCs w:val="24"/>
          <w:highlight w:val="none"/>
          <w:lang w:val="zh-CN"/>
        </w:rPr>
      </w:pPr>
    </w:p>
    <w:p w14:paraId="4DF01443">
      <w:pPr>
        <w:autoSpaceDE w:val="0"/>
        <w:autoSpaceDN w:val="0"/>
        <w:adjustRightInd w:val="0"/>
        <w:snapToGrid w:val="0"/>
        <w:spacing w:line="360" w:lineRule="auto"/>
        <w:ind w:left="166" w:leftChars="-101" w:hanging="378" w:hangingChars="180"/>
        <w:jc w:val="left"/>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备注：</w:t>
      </w:r>
    </w:p>
    <w:p w14:paraId="1110B92C">
      <w:pPr>
        <w:spacing w:line="360" w:lineRule="auto"/>
        <w:ind w:left="605" w:leftChars="18"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Times New Roman"/>
          <w:b/>
          <w:color w:val="auto"/>
          <w:kern w:val="0"/>
          <w:szCs w:val="21"/>
          <w:highlight w:val="none"/>
          <w:u w:val="single"/>
        </w:rPr>
        <w:t>投标人应对照招标文件合同格式内合同条款及附件，逐条、如实地填写“偏离情况”项。“偏离情况”项为正偏离（或负偏离）的，必须在“具体偏离内容”项内详细说明与招标文件的偏离内容，“偏离情况”项为无偏离的，在“具体偏离内容”项内填“无”。若发现虚假填写本表，或对合同及其附件响应有负偏离的，按无效投标文件处理。若发现此表未逐条填写视为完全满足招标文件要求</w:t>
      </w:r>
      <w:r>
        <w:rPr>
          <w:rFonts w:hint="eastAsia" w:ascii="宋体" w:hAnsi="宋体" w:eastAsia="宋体" w:cs="Times New Roman"/>
          <w:b/>
          <w:color w:val="auto"/>
          <w:kern w:val="0"/>
          <w:szCs w:val="21"/>
          <w:highlight w:val="none"/>
        </w:rPr>
        <w:t>。</w:t>
      </w:r>
    </w:p>
    <w:p w14:paraId="747642E9">
      <w:pPr>
        <w:spacing w:line="360" w:lineRule="auto"/>
        <w:ind w:left="605" w:leftChars="18"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rPr>
        <w:t>（2）偏离情况（投标文件对招标文件合同条款的响应程度）分为：正偏离、负偏离、无偏离。正偏离是指投标人提供的货物</w:t>
      </w:r>
      <w:r>
        <w:rPr>
          <w:rFonts w:hint="eastAsia" w:ascii="宋体" w:hAnsi="宋体" w:eastAsia="宋体" w:cs="宋体"/>
          <w:color w:val="auto"/>
          <w:szCs w:val="21"/>
          <w:highlight w:val="none"/>
          <w:lang w:val="en-US" w:eastAsia="zh-CN"/>
        </w:rPr>
        <w:t>及有关服务</w:t>
      </w:r>
      <w:r>
        <w:rPr>
          <w:rFonts w:hint="eastAsia" w:ascii="宋体" w:hAnsi="宋体" w:eastAsia="宋体" w:cs="宋体"/>
          <w:color w:val="auto"/>
          <w:szCs w:val="21"/>
          <w:highlight w:val="none"/>
        </w:rPr>
        <w:t>商务条件优于招标文件的要求；负偏离是指投标人提供的货物</w:t>
      </w:r>
      <w:r>
        <w:rPr>
          <w:rFonts w:hint="eastAsia" w:ascii="宋体" w:hAnsi="宋体" w:eastAsia="宋体" w:cs="宋体"/>
          <w:color w:val="auto"/>
          <w:szCs w:val="21"/>
          <w:highlight w:val="none"/>
          <w:lang w:val="en-US" w:eastAsia="zh-CN"/>
        </w:rPr>
        <w:t>及有关服务</w:t>
      </w:r>
      <w:r>
        <w:rPr>
          <w:rFonts w:hint="eastAsia" w:ascii="宋体" w:hAnsi="宋体" w:eastAsia="宋体" w:cs="宋体"/>
          <w:color w:val="auto"/>
          <w:szCs w:val="21"/>
          <w:highlight w:val="none"/>
        </w:rPr>
        <w:t>商务条件不满足或不完全满足招标文件的要求；无偏离是指投标人提供的货物</w:t>
      </w:r>
      <w:r>
        <w:rPr>
          <w:rFonts w:hint="eastAsia" w:ascii="宋体" w:hAnsi="宋体" w:eastAsia="宋体" w:cs="宋体"/>
          <w:color w:val="auto"/>
          <w:szCs w:val="21"/>
          <w:highlight w:val="none"/>
          <w:lang w:val="en-US" w:eastAsia="zh-CN"/>
        </w:rPr>
        <w:t>及有关服务</w:t>
      </w:r>
      <w:r>
        <w:rPr>
          <w:rFonts w:hint="eastAsia" w:ascii="宋体" w:hAnsi="宋体" w:eastAsia="宋体" w:cs="宋体"/>
          <w:color w:val="auto"/>
          <w:szCs w:val="21"/>
          <w:highlight w:val="none"/>
        </w:rPr>
        <w:t>商务条件完全满足招标文件的要求。</w:t>
      </w:r>
    </w:p>
    <w:p w14:paraId="70120E51">
      <w:pPr>
        <w:spacing w:line="360" w:lineRule="auto"/>
        <w:ind w:left="605" w:leftChars="18"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rPr>
        <w:t>（</w:t>
      </w:r>
      <w:r>
        <w:rPr>
          <w:rFonts w:ascii="宋体" w:hAnsi="宋体" w:eastAsia="宋体" w:cs="宋体"/>
          <w:color w:val="auto"/>
          <w:szCs w:val="21"/>
          <w:highlight w:val="none"/>
        </w:rPr>
        <w:t>3）招标文件“第五篇 相关保函格式”作为重要的商务条款，投标人的响应情况列入本合同条款偏离表。</w:t>
      </w:r>
    </w:p>
    <w:p w14:paraId="70909A2C">
      <w:pPr>
        <w:spacing w:line="360" w:lineRule="auto"/>
        <w:ind w:left="605" w:leftChars="18"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rPr>
        <w:t>（</w:t>
      </w:r>
      <w:r>
        <w:rPr>
          <w:rFonts w:ascii="宋体" w:hAnsi="宋体" w:eastAsia="宋体" w:cs="宋体"/>
          <w:color w:val="auto"/>
          <w:szCs w:val="21"/>
          <w:highlight w:val="none"/>
        </w:rPr>
        <w:t>4</w:t>
      </w:r>
      <w:r>
        <w:rPr>
          <w:rFonts w:hint="eastAsia" w:ascii="宋体" w:hAnsi="宋体" w:eastAsia="宋体" w:cs="宋体"/>
          <w:color w:val="auto"/>
          <w:szCs w:val="21"/>
          <w:highlight w:val="none"/>
        </w:rPr>
        <w:t>）如投标人差异内容较多可另附页说明，并在本偏离表“具体偏离内容”项注明其在投标文件中的具体页码。</w:t>
      </w:r>
    </w:p>
    <w:p w14:paraId="4E9D30A0">
      <w:pPr>
        <w:spacing w:line="360" w:lineRule="auto"/>
        <w:ind w:left="357" w:leftChars="-100" w:hanging="567" w:hangingChars="270"/>
        <w:rPr>
          <w:rFonts w:ascii="宋体" w:hAnsi="宋体" w:eastAsia="宋体" w:cs="宋体"/>
          <w:color w:val="auto"/>
          <w:szCs w:val="21"/>
          <w:highlight w:val="none"/>
        </w:rPr>
      </w:pPr>
    </w:p>
    <w:p w14:paraId="5FBDB614">
      <w:pPr>
        <w:spacing w:line="360" w:lineRule="auto"/>
        <w:ind w:left="357" w:leftChars="-100" w:hanging="567" w:hangingChars="270"/>
        <w:rPr>
          <w:rFonts w:ascii="宋体" w:hAnsi="宋体" w:eastAsia="宋体" w:cs="宋体"/>
          <w:color w:val="auto"/>
          <w:szCs w:val="21"/>
          <w:highlight w:val="none"/>
        </w:rPr>
      </w:pPr>
    </w:p>
    <w:p w14:paraId="77B5A722">
      <w:pPr>
        <w:spacing w:line="360" w:lineRule="auto"/>
        <w:ind w:left="357" w:leftChars="-100" w:hanging="567" w:hangingChars="270"/>
        <w:rPr>
          <w:rFonts w:ascii="宋体" w:hAnsi="宋体" w:eastAsia="宋体" w:cs="宋体"/>
          <w:color w:val="auto"/>
          <w:szCs w:val="21"/>
          <w:highlight w:val="none"/>
        </w:rPr>
      </w:pPr>
    </w:p>
    <w:p w14:paraId="5FACFDCE">
      <w:pPr>
        <w:spacing w:line="360" w:lineRule="auto"/>
        <w:ind w:right="368" w:rightChars="175" w:firstLine="5355" w:firstLineChars="2550"/>
        <w:jc w:val="left"/>
        <w:rPr>
          <w:rFonts w:ascii="宋体" w:hAnsi="宋体" w:eastAsia="宋体" w:cs="宋体"/>
          <w:color w:val="auto"/>
          <w:kern w:val="0"/>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kern w:val="0"/>
          <w:szCs w:val="21"/>
          <w:highlight w:val="none"/>
          <w:lang w:val="zh-CN"/>
        </w:rPr>
        <w:t>（加盖投标人法人公章）</w:t>
      </w:r>
    </w:p>
    <w:p w14:paraId="12BFE96D">
      <w:pPr>
        <w:autoSpaceDE w:val="0"/>
        <w:autoSpaceDN w:val="0"/>
        <w:adjustRightInd w:val="0"/>
        <w:spacing w:line="360" w:lineRule="auto"/>
        <w:ind w:firstLine="5355" w:firstLineChars="255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日    期：  年  月  日</w:t>
      </w:r>
    </w:p>
    <w:p w14:paraId="5FB9D446">
      <w:pPr>
        <w:tabs>
          <w:tab w:val="left" w:pos="567"/>
        </w:tabs>
        <w:autoSpaceDE w:val="0"/>
        <w:autoSpaceDN w:val="0"/>
        <w:adjustRightInd w:val="0"/>
        <w:spacing w:line="360" w:lineRule="auto"/>
        <w:jc w:val="left"/>
        <w:outlineLvl w:val="2"/>
        <w:rPr>
          <w:rFonts w:ascii="宋体" w:hAnsi="宋体" w:eastAsia="宋体" w:cs="宋体"/>
          <w:b/>
          <w:color w:val="auto"/>
          <w:kern w:val="0"/>
          <w:sz w:val="32"/>
          <w:szCs w:val="32"/>
          <w:highlight w:val="none"/>
        </w:rPr>
      </w:pPr>
      <w:r>
        <w:rPr>
          <w:rFonts w:hint="eastAsia" w:ascii="宋体" w:hAnsi="宋体" w:eastAsia="宋体" w:cs="宋体"/>
          <w:b/>
          <w:bCs/>
          <w:color w:val="auto"/>
          <w:kern w:val="0"/>
          <w:sz w:val="30"/>
          <w:szCs w:val="30"/>
          <w:highlight w:val="none"/>
          <w:lang w:val="zh-CN"/>
        </w:rPr>
        <w:br w:type="page"/>
      </w:r>
      <w:bookmarkStart w:id="574" w:name="_Toc102860082"/>
      <w:bookmarkStart w:id="575" w:name="_Toc6337"/>
      <w:bookmarkStart w:id="576" w:name="_Toc2075"/>
      <w:bookmarkStart w:id="577" w:name="_Toc102860426"/>
      <w:bookmarkStart w:id="578" w:name="_Toc94107218"/>
      <w:bookmarkStart w:id="579" w:name="_Toc142508377"/>
      <w:bookmarkStart w:id="580" w:name="_Toc13348"/>
      <w:bookmarkStart w:id="581" w:name="_Toc140596937"/>
      <w:bookmarkStart w:id="582" w:name="_Toc104991884"/>
      <w:bookmarkStart w:id="583" w:name="_Toc486167717"/>
      <w:bookmarkStart w:id="584" w:name="_Toc27980_WPSOffice_Level2"/>
      <w:r>
        <w:rPr>
          <w:rFonts w:hint="eastAsia" w:ascii="宋体" w:hAnsi="宋体" w:eastAsia="宋体" w:cs="宋体"/>
          <w:b/>
          <w:color w:val="auto"/>
          <w:kern w:val="0"/>
          <w:sz w:val="32"/>
          <w:szCs w:val="32"/>
          <w:highlight w:val="none"/>
          <w:lang w:val="en-US" w:eastAsia="zh-CN"/>
        </w:rPr>
        <w:t>十</w:t>
      </w:r>
      <w:r>
        <w:rPr>
          <w:rFonts w:hint="eastAsia" w:ascii="宋体" w:hAnsi="宋体" w:eastAsia="宋体" w:cs="宋体"/>
          <w:b/>
          <w:color w:val="auto"/>
          <w:kern w:val="0"/>
          <w:sz w:val="32"/>
          <w:szCs w:val="32"/>
          <w:highlight w:val="none"/>
        </w:rPr>
        <w:t>、业绩表格式</w:t>
      </w:r>
      <w:bookmarkEnd w:id="574"/>
      <w:bookmarkEnd w:id="575"/>
      <w:bookmarkEnd w:id="576"/>
      <w:bookmarkEnd w:id="577"/>
      <w:bookmarkEnd w:id="578"/>
      <w:bookmarkEnd w:id="579"/>
      <w:bookmarkEnd w:id="580"/>
      <w:bookmarkEnd w:id="581"/>
      <w:bookmarkEnd w:id="582"/>
    </w:p>
    <w:p w14:paraId="46E8380C">
      <w:pPr>
        <w:autoSpaceDE w:val="0"/>
        <w:autoSpaceDN w:val="0"/>
        <w:adjustRightInd w:val="0"/>
        <w:spacing w:line="360" w:lineRule="auto"/>
        <w:jc w:val="center"/>
        <w:rPr>
          <w:rFonts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bidi="ar"/>
        </w:rPr>
        <w:t>202</w:t>
      </w:r>
      <w:r>
        <w:rPr>
          <w:rFonts w:hint="eastAsia" w:ascii="宋体" w:hAnsi="宋体" w:eastAsia="宋体" w:cs="宋体"/>
          <w:b/>
          <w:bCs/>
          <w:color w:val="auto"/>
          <w:sz w:val="30"/>
          <w:szCs w:val="30"/>
          <w:highlight w:val="none"/>
          <w:lang w:val="en-US" w:eastAsia="zh-CN" w:bidi="ar"/>
        </w:rPr>
        <w:t>3</w:t>
      </w:r>
      <w:r>
        <w:rPr>
          <w:rFonts w:hint="eastAsia" w:ascii="宋体" w:hAnsi="宋体" w:eastAsia="宋体" w:cs="宋体"/>
          <w:b/>
          <w:bCs/>
          <w:color w:val="auto"/>
          <w:sz w:val="30"/>
          <w:szCs w:val="30"/>
          <w:highlight w:val="none"/>
          <w:lang w:bidi="ar"/>
        </w:rPr>
        <w:t>年以来所投车型销售业绩表</w:t>
      </w:r>
    </w:p>
    <w:p w14:paraId="194B4F90">
      <w:pPr>
        <w:autoSpaceDE w:val="0"/>
        <w:autoSpaceDN w:val="0"/>
        <w:adjustRightInd w:val="0"/>
        <w:spacing w:line="360" w:lineRule="auto"/>
        <w:jc w:val="center"/>
        <w:rPr>
          <w:rFonts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bidi="ar"/>
        </w:rPr>
        <w:t>（签订合同的时间要求为202</w:t>
      </w:r>
      <w:r>
        <w:rPr>
          <w:rFonts w:hint="eastAsia" w:ascii="宋体" w:hAnsi="宋体" w:eastAsia="宋体" w:cs="宋体"/>
          <w:b/>
          <w:bCs/>
          <w:color w:val="auto"/>
          <w:sz w:val="30"/>
          <w:szCs w:val="30"/>
          <w:highlight w:val="none"/>
          <w:lang w:val="en-US" w:eastAsia="zh-CN" w:bidi="ar"/>
        </w:rPr>
        <w:t>3</w:t>
      </w:r>
      <w:r>
        <w:rPr>
          <w:rFonts w:hint="eastAsia" w:ascii="宋体" w:hAnsi="宋体" w:eastAsia="宋体" w:cs="宋体"/>
          <w:b/>
          <w:bCs/>
          <w:color w:val="auto"/>
          <w:sz w:val="30"/>
          <w:szCs w:val="30"/>
          <w:highlight w:val="none"/>
          <w:lang w:bidi="ar"/>
        </w:rPr>
        <w:t>年1月1日或以后）</w:t>
      </w:r>
    </w:p>
    <w:tbl>
      <w:tblPr>
        <w:tblStyle w:val="36"/>
        <w:tblW w:w="5076" w:type="pct"/>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autofit"/>
        <w:tblCellMar>
          <w:top w:w="0" w:type="dxa"/>
          <w:left w:w="108" w:type="dxa"/>
          <w:bottom w:w="0" w:type="dxa"/>
          <w:right w:w="108" w:type="dxa"/>
        </w:tblCellMar>
      </w:tblPr>
      <w:tblGrid>
        <w:gridCol w:w="734"/>
        <w:gridCol w:w="2497"/>
        <w:gridCol w:w="1216"/>
        <w:gridCol w:w="1216"/>
        <w:gridCol w:w="1216"/>
        <w:gridCol w:w="1363"/>
        <w:gridCol w:w="1066"/>
        <w:gridCol w:w="1220"/>
      </w:tblGrid>
      <w:tr w14:paraId="0DE149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38" w:hRule="atLeast"/>
          <w:jc w:val="center"/>
        </w:trPr>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4B7EB34D">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序号</w:t>
            </w:r>
          </w:p>
        </w:tc>
        <w:tc>
          <w:tcPr>
            <w:tcW w:w="1185" w:type="pct"/>
            <w:tcBorders>
              <w:top w:val="single" w:color="auto" w:sz="4" w:space="0"/>
              <w:left w:val="nil"/>
              <w:bottom w:val="single" w:color="auto" w:sz="4" w:space="0"/>
              <w:right w:val="single" w:color="auto" w:sz="4" w:space="0"/>
            </w:tcBorders>
            <w:shd w:val="clear" w:color="auto" w:fill="auto"/>
            <w:vAlign w:val="center"/>
          </w:tcPr>
          <w:p w14:paraId="2134BDF2">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项目名称</w:t>
            </w:r>
          </w:p>
        </w:tc>
        <w:tc>
          <w:tcPr>
            <w:tcW w:w="577" w:type="pct"/>
            <w:tcBorders>
              <w:top w:val="single" w:color="auto" w:sz="4" w:space="0"/>
              <w:left w:val="nil"/>
              <w:bottom w:val="single" w:color="auto" w:sz="4" w:space="0"/>
              <w:right w:val="single" w:color="auto" w:sz="4" w:space="0"/>
            </w:tcBorders>
            <w:shd w:val="clear" w:color="auto" w:fill="auto"/>
            <w:vAlign w:val="center"/>
          </w:tcPr>
          <w:p w14:paraId="31D3EB0F">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合同标的货物名称</w:t>
            </w:r>
          </w:p>
        </w:tc>
        <w:tc>
          <w:tcPr>
            <w:tcW w:w="577" w:type="pct"/>
            <w:tcBorders>
              <w:top w:val="single" w:color="auto" w:sz="4" w:space="0"/>
              <w:left w:val="nil"/>
              <w:bottom w:val="single" w:color="auto" w:sz="4" w:space="0"/>
              <w:right w:val="single" w:color="auto" w:sz="4" w:space="0"/>
            </w:tcBorders>
            <w:shd w:val="clear" w:color="auto" w:fill="auto"/>
            <w:vAlign w:val="center"/>
          </w:tcPr>
          <w:p w14:paraId="0135430F">
            <w:pPr>
              <w:autoSpaceDE w:val="0"/>
              <w:autoSpaceDN w:val="0"/>
              <w:adjustRightInd w:val="0"/>
              <w:spacing w:line="360" w:lineRule="auto"/>
              <w:jc w:val="center"/>
              <w:rPr>
                <w:rFonts w:ascii="宋体" w:hAnsi="宋体" w:eastAsia="宋体" w:cs="宋体"/>
                <w:color w:val="auto"/>
                <w:szCs w:val="21"/>
                <w:highlight w:val="none"/>
                <w:lang w:bidi="ar"/>
              </w:rPr>
            </w:pPr>
            <w:r>
              <w:rPr>
                <w:rFonts w:hint="eastAsia" w:ascii="宋体" w:hAnsi="宋体" w:eastAsia="宋体" w:cs="宋体"/>
                <w:color w:val="auto"/>
                <w:szCs w:val="21"/>
                <w:highlight w:val="none"/>
                <w:lang w:bidi="ar"/>
              </w:rPr>
              <w:t>合同标的货物品牌</w:t>
            </w:r>
          </w:p>
        </w:tc>
        <w:tc>
          <w:tcPr>
            <w:tcW w:w="577" w:type="pct"/>
            <w:tcBorders>
              <w:top w:val="single" w:color="auto" w:sz="4" w:space="0"/>
              <w:left w:val="nil"/>
              <w:bottom w:val="single" w:color="auto" w:sz="4" w:space="0"/>
              <w:right w:val="single" w:color="auto" w:sz="4" w:space="0"/>
            </w:tcBorders>
            <w:shd w:val="clear" w:color="auto" w:fill="auto"/>
            <w:vAlign w:val="center"/>
          </w:tcPr>
          <w:p w14:paraId="770A869C">
            <w:pPr>
              <w:autoSpaceDE w:val="0"/>
              <w:autoSpaceDN w:val="0"/>
              <w:adjustRightInd w:val="0"/>
              <w:spacing w:line="360" w:lineRule="auto"/>
              <w:jc w:val="center"/>
              <w:rPr>
                <w:rFonts w:ascii="宋体" w:hAnsi="宋体" w:eastAsia="宋体" w:cs="宋体"/>
                <w:color w:val="auto"/>
                <w:szCs w:val="21"/>
                <w:highlight w:val="none"/>
                <w:lang w:bidi="ar"/>
              </w:rPr>
            </w:pPr>
            <w:r>
              <w:rPr>
                <w:rFonts w:hint="eastAsia" w:ascii="宋体" w:hAnsi="宋体" w:eastAsia="宋体" w:cs="宋体"/>
                <w:color w:val="auto"/>
                <w:szCs w:val="21"/>
                <w:highlight w:val="none"/>
                <w:lang w:bidi="ar"/>
              </w:rPr>
              <w:t>合同标的货物型号</w:t>
            </w:r>
          </w:p>
        </w:tc>
        <w:tc>
          <w:tcPr>
            <w:tcW w:w="647" w:type="pct"/>
            <w:tcBorders>
              <w:top w:val="single" w:color="auto" w:sz="4" w:space="0"/>
              <w:left w:val="nil"/>
              <w:bottom w:val="single" w:color="auto" w:sz="4" w:space="0"/>
              <w:right w:val="single" w:color="auto" w:sz="4" w:space="0"/>
            </w:tcBorders>
            <w:shd w:val="clear" w:color="auto" w:fill="auto"/>
            <w:vAlign w:val="center"/>
          </w:tcPr>
          <w:p w14:paraId="1622DA18">
            <w:pPr>
              <w:autoSpaceDE w:val="0"/>
              <w:autoSpaceDN w:val="0"/>
              <w:adjustRightInd w:val="0"/>
              <w:spacing w:line="360" w:lineRule="auto"/>
              <w:jc w:val="center"/>
              <w:rPr>
                <w:rFonts w:ascii="宋体" w:hAnsi="宋体" w:eastAsia="宋体" w:cs="宋体"/>
                <w:color w:val="auto"/>
                <w:szCs w:val="21"/>
                <w:highlight w:val="none"/>
                <w:lang w:bidi="ar"/>
              </w:rPr>
            </w:pPr>
            <w:r>
              <w:rPr>
                <w:rFonts w:hint="eastAsia" w:ascii="宋体" w:hAnsi="宋体" w:eastAsia="宋体" w:cs="宋体"/>
                <w:color w:val="auto"/>
                <w:szCs w:val="21"/>
                <w:highlight w:val="none"/>
                <w:lang w:bidi="ar"/>
              </w:rPr>
              <w:t>单项合同所投车型销售数量</w:t>
            </w:r>
          </w:p>
          <w:p w14:paraId="47F2305B">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（单位：辆）</w:t>
            </w:r>
          </w:p>
        </w:tc>
        <w:tc>
          <w:tcPr>
            <w:tcW w:w="506" w:type="pct"/>
            <w:tcBorders>
              <w:top w:val="single" w:color="auto" w:sz="4" w:space="0"/>
              <w:left w:val="nil"/>
              <w:bottom w:val="single" w:color="auto" w:sz="4" w:space="0"/>
              <w:right w:val="single" w:color="auto" w:sz="4" w:space="0"/>
            </w:tcBorders>
            <w:shd w:val="clear" w:color="auto" w:fill="auto"/>
            <w:vAlign w:val="center"/>
          </w:tcPr>
          <w:p w14:paraId="1BEFAEE2">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合同签订日期</w:t>
            </w:r>
          </w:p>
        </w:tc>
        <w:tc>
          <w:tcPr>
            <w:tcW w:w="579" w:type="pct"/>
            <w:tcBorders>
              <w:top w:val="single" w:color="auto" w:sz="4" w:space="0"/>
              <w:left w:val="nil"/>
              <w:bottom w:val="single" w:color="auto" w:sz="4" w:space="0"/>
              <w:right w:val="single" w:color="auto" w:sz="4" w:space="0"/>
            </w:tcBorders>
            <w:shd w:val="clear" w:color="auto" w:fill="auto"/>
            <w:vAlign w:val="center"/>
          </w:tcPr>
          <w:p w14:paraId="635D1D01">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买方单位电话及联系人</w:t>
            </w:r>
          </w:p>
        </w:tc>
      </w:tr>
      <w:tr w14:paraId="7505E6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4" w:hRule="atLeast"/>
          <w:jc w:val="center"/>
        </w:trPr>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3ACFDD76">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1</w:t>
            </w:r>
          </w:p>
        </w:tc>
        <w:tc>
          <w:tcPr>
            <w:tcW w:w="1185" w:type="pct"/>
            <w:tcBorders>
              <w:top w:val="single" w:color="auto" w:sz="4" w:space="0"/>
              <w:left w:val="nil"/>
              <w:bottom w:val="single" w:color="auto" w:sz="4" w:space="0"/>
              <w:right w:val="single" w:color="auto" w:sz="4" w:space="0"/>
            </w:tcBorders>
            <w:shd w:val="clear" w:color="auto" w:fill="auto"/>
            <w:vAlign w:val="center"/>
          </w:tcPr>
          <w:p w14:paraId="4D02E881">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25A88F3A">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6AAAF209">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3216BA87">
            <w:pPr>
              <w:autoSpaceDE w:val="0"/>
              <w:autoSpaceDN w:val="0"/>
              <w:adjustRightInd w:val="0"/>
              <w:spacing w:line="360" w:lineRule="auto"/>
              <w:jc w:val="center"/>
              <w:rPr>
                <w:rFonts w:ascii="宋体" w:hAnsi="宋体" w:eastAsia="宋体" w:cs="宋体"/>
                <w:color w:val="auto"/>
                <w:szCs w:val="21"/>
                <w:highlight w:val="none"/>
              </w:rPr>
            </w:pPr>
          </w:p>
        </w:tc>
        <w:tc>
          <w:tcPr>
            <w:tcW w:w="647" w:type="pct"/>
            <w:tcBorders>
              <w:top w:val="single" w:color="auto" w:sz="4" w:space="0"/>
              <w:left w:val="nil"/>
              <w:bottom w:val="single" w:color="auto" w:sz="4" w:space="0"/>
              <w:right w:val="single" w:color="auto" w:sz="4" w:space="0"/>
            </w:tcBorders>
            <w:shd w:val="clear" w:color="auto" w:fill="auto"/>
            <w:vAlign w:val="center"/>
          </w:tcPr>
          <w:p w14:paraId="3CE87FE5">
            <w:pPr>
              <w:autoSpaceDE w:val="0"/>
              <w:autoSpaceDN w:val="0"/>
              <w:adjustRightInd w:val="0"/>
              <w:spacing w:line="360" w:lineRule="auto"/>
              <w:jc w:val="center"/>
              <w:rPr>
                <w:rFonts w:ascii="宋体" w:hAnsi="宋体" w:eastAsia="宋体" w:cs="宋体"/>
                <w:color w:val="auto"/>
                <w:szCs w:val="21"/>
                <w:highlight w:val="none"/>
              </w:rPr>
            </w:pPr>
          </w:p>
        </w:tc>
        <w:tc>
          <w:tcPr>
            <w:tcW w:w="506" w:type="pct"/>
            <w:tcBorders>
              <w:top w:val="single" w:color="auto" w:sz="4" w:space="0"/>
              <w:left w:val="nil"/>
              <w:bottom w:val="single" w:color="auto" w:sz="4" w:space="0"/>
              <w:right w:val="single" w:color="auto" w:sz="4" w:space="0"/>
            </w:tcBorders>
            <w:shd w:val="clear" w:color="auto" w:fill="auto"/>
            <w:vAlign w:val="center"/>
          </w:tcPr>
          <w:p w14:paraId="5C8250B1">
            <w:pPr>
              <w:autoSpaceDE w:val="0"/>
              <w:autoSpaceDN w:val="0"/>
              <w:adjustRightInd w:val="0"/>
              <w:spacing w:line="360" w:lineRule="auto"/>
              <w:jc w:val="center"/>
              <w:rPr>
                <w:rFonts w:ascii="宋体" w:hAnsi="宋体" w:eastAsia="宋体" w:cs="宋体"/>
                <w:color w:val="auto"/>
                <w:szCs w:val="21"/>
                <w:highlight w:val="none"/>
              </w:rPr>
            </w:pPr>
          </w:p>
        </w:tc>
        <w:tc>
          <w:tcPr>
            <w:tcW w:w="579" w:type="pct"/>
            <w:tcBorders>
              <w:top w:val="single" w:color="auto" w:sz="4" w:space="0"/>
              <w:left w:val="nil"/>
              <w:bottom w:val="single" w:color="auto" w:sz="4" w:space="0"/>
              <w:right w:val="single" w:color="auto" w:sz="4" w:space="0"/>
            </w:tcBorders>
            <w:shd w:val="clear" w:color="auto" w:fill="auto"/>
            <w:vAlign w:val="center"/>
          </w:tcPr>
          <w:p w14:paraId="0ADE227F">
            <w:pPr>
              <w:autoSpaceDE w:val="0"/>
              <w:autoSpaceDN w:val="0"/>
              <w:adjustRightInd w:val="0"/>
              <w:spacing w:line="360" w:lineRule="auto"/>
              <w:jc w:val="center"/>
              <w:rPr>
                <w:rFonts w:ascii="宋体" w:hAnsi="宋体" w:eastAsia="宋体" w:cs="宋体"/>
                <w:color w:val="auto"/>
                <w:szCs w:val="21"/>
                <w:highlight w:val="none"/>
              </w:rPr>
            </w:pPr>
          </w:p>
        </w:tc>
      </w:tr>
      <w:tr w14:paraId="48AEE4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58" w:hRule="atLeast"/>
          <w:jc w:val="center"/>
        </w:trPr>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74D6CC1A">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2</w:t>
            </w:r>
          </w:p>
        </w:tc>
        <w:tc>
          <w:tcPr>
            <w:tcW w:w="1185" w:type="pct"/>
            <w:tcBorders>
              <w:top w:val="single" w:color="auto" w:sz="4" w:space="0"/>
              <w:left w:val="nil"/>
              <w:bottom w:val="single" w:color="auto" w:sz="4" w:space="0"/>
              <w:right w:val="single" w:color="auto" w:sz="4" w:space="0"/>
            </w:tcBorders>
            <w:shd w:val="clear" w:color="auto" w:fill="auto"/>
            <w:vAlign w:val="center"/>
          </w:tcPr>
          <w:p w14:paraId="4D3B7176">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4B7904F5">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7F18F14A">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769A32EC">
            <w:pPr>
              <w:autoSpaceDE w:val="0"/>
              <w:autoSpaceDN w:val="0"/>
              <w:adjustRightInd w:val="0"/>
              <w:spacing w:line="360" w:lineRule="auto"/>
              <w:jc w:val="center"/>
              <w:rPr>
                <w:rFonts w:ascii="宋体" w:hAnsi="宋体" w:eastAsia="宋体" w:cs="宋体"/>
                <w:color w:val="auto"/>
                <w:szCs w:val="21"/>
                <w:highlight w:val="none"/>
              </w:rPr>
            </w:pPr>
          </w:p>
        </w:tc>
        <w:tc>
          <w:tcPr>
            <w:tcW w:w="647" w:type="pct"/>
            <w:tcBorders>
              <w:top w:val="single" w:color="auto" w:sz="4" w:space="0"/>
              <w:left w:val="nil"/>
              <w:bottom w:val="single" w:color="auto" w:sz="4" w:space="0"/>
              <w:right w:val="single" w:color="auto" w:sz="4" w:space="0"/>
            </w:tcBorders>
            <w:shd w:val="clear" w:color="auto" w:fill="auto"/>
            <w:vAlign w:val="center"/>
          </w:tcPr>
          <w:p w14:paraId="694064CC">
            <w:pPr>
              <w:autoSpaceDE w:val="0"/>
              <w:autoSpaceDN w:val="0"/>
              <w:adjustRightInd w:val="0"/>
              <w:spacing w:line="360" w:lineRule="auto"/>
              <w:jc w:val="center"/>
              <w:rPr>
                <w:rFonts w:ascii="宋体" w:hAnsi="宋体" w:eastAsia="宋体" w:cs="宋体"/>
                <w:color w:val="auto"/>
                <w:szCs w:val="21"/>
                <w:highlight w:val="none"/>
              </w:rPr>
            </w:pPr>
          </w:p>
        </w:tc>
        <w:tc>
          <w:tcPr>
            <w:tcW w:w="506" w:type="pct"/>
            <w:tcBorders>
              <w:top w:val="single" w:color="auto" w:sz="4" w:space="0"/>
              <w:left w:val="nil"/>
              <w:bottom w:val="single" w:color="auto" w:sz="4" w:space="0"/>
              <w:right w:val="single" w:color="auto" w:sz="4" w:space="0"/>
            </w:tcBorders>
            <w:shd w:val="clear" w:color="auto" w:fill="auto"/>
            <w:vAlign w:val="center"/>
          </w:tcPr>
          <w:p w14:paraId="33EB059D">
            <w:pPr>
              <w:autoSpaceDE w:val="0"/>
              <w:autoSpaceDN w:val="0"/>
              <w:adjustRightInd w:val="0"/>
              <w:spacing w:line="360" w:lineRule="auto"/>
              <w:jc w:val="center"/>
              <w:rPr>
                <w:rFonts w:ascii="宋体" w:hAnsi="宋体" w:eastAsia="宋体" w:cs="宋体"/>
                <w:color w:val="auto"/>
                <w:szCs w:val="21"/>
                <w:highlight w:val="none"/>
              </w:rPr>
            </w:pPr>
          </w:p>
        </w:tc>
        <w:tc>
          <w:tcPr>
            <w:tcW w:w="579" w:type="pct"/>
            <w:tcBorders>
              <w:top w:val="single" w:color="auto" w:sz="4" w:space="0"/>
              <w:left w:val="nil"/>
              <w:bottom w:val="single" w:color="auto" w:sz="4" w:space="0"/>
              <w:right w:val="single" w:color="auto" w:sz="4" w:space="0"/>
            </w:tcBorders>
            <w:shd w:val="clear" w:color="auto" w:fill="auto"/>
            <w:vAlign w:val="center"/>
          </w:tcPr>
          <w:p w14:paraId="18C14D39">
            <w:pPr>
              <w:autoSpaceDE w:val="0"/>
              <w:autoSpaceDN w:val="0"/>
              <w:adjustRightInd w:val="0"/>
              <w:spacing w:line="360" w:lineRule="auto"/>
              <w:jc w:val="center"/>
              <w:rPr>
                <w:rFonts w:ascii="宋体" w:hAnsi="宋体" w:eastAsia="宋体" w:cs="宋体"/>
                <w:color w:val="auto"/>
                <w:szCs w:val="21"/>
                <w:highlight w:val="none"/>
              </w:rPr>
            </w:pPr>
          </w:p>
        </w:tc>
      </w:tr>
      <w:tr w14:paraId="5221E7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52" w:hRule="atLeast"/>
          <w:jc w:val="center"/>
        </w:trPr>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16C9DD73">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3</w:t>
            </w:r>
          </w:p>
        </w:tc>
        <w:tc>
          <w:tcPr>
            <w:tcW w:w="1185" w:type="pct"/>
            <w:tcBorders>
              <w:top w:val="single" w:color="auto" w:sz="4" w:space="0"/>
              <w:left w:val="nil"/>
              <w:bottom w:val="single" w:color="auto" w:sz="4" w:space="0"/>
              <w:right w:val="single" w:color="auto" w:sz="4" w:space="0"/>
            </w:tcBorders>
            <w:shd w:val="clear" w:color="auto" w:fill="auto"/>
            <w:vAlign w:val="center"/>
          </w:tcPr>
          <w:p w14:paraId="2190C7AA">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1EEAC9B8">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0C50D789">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597A76BA">
            <w:pPr>
              <w:autoSpaceDE w:val="0"/>
              <w:autoSpaceDN w:val="0"/>
              <w:adjustRightInd w:val="0"/>
              <w:spacing w:line="360" w:lineRule="auto"/>
              <w:jc w:val="center"/>
              <w:rPr>
                <w:rFonts w:ascii="宋体" w:hAnsi="宋体" w:eastAsia="宋体" w:cs="宋体"/>
                <w:color w:val="auto"/>
                <w:szCs w:val="21"/>
                <w:highlight w:val="none"/>
              </w:rPr>
            </w:pPr>
          </w:p>
        </w:tc>
        <w:tc>
          <w:tcPr>
            <w:tcW w:w="647" w:type="pct"/>
            <w:tcBorders>
              <w:top w:val="single" w:color="auto" w:sz="4" w:space="0"/>
              <w:left w:val="nil"/>
              <w:bottom w:val="single" w:color="auto" w:sz="4" w:space="0"/>
              <w:right w:val="single" w:color="auto" w:sz="4" w:space="0"/>
            </w:tcBorders>
            <w:shd w:val="clear" w:color="auto" w:fill="auto"/>
            <w:vAlign w:val="center"/>
          </w:tcPr>
          <w:p w14:paraId="31ABB411">
            <w:pPr>
              <w:autoSpaceDE w:val="0"/>
              <w:autoSpaceDN w:val="0"/>
              <w:adjustRightInd w:val="0"/>
              <w:spacing w:line="360" w:lineRule="auto"/>
              <w:jc w:val="center"/>
              <w:rPr>
                <w:rFonts w:ascii="宋体" w:hAnsi="宋体" w:eastAsia="宋体" w:cs="宋体"/>
                <w:color w:val="auto"/>
                <w:szCs w:val="21"/>
                <w:highlight w:val="none"/>
              </w:rPr>
            </w:pPr>
          </w:p>
        </w:tc>
        <w:tc>
          <w:tcPr>
            <w:tcW w:w="506" w:type="pct"/>
            <w:tcBorders>
              <w:top w:val="single" w:color="auto" w:sz="4" w:space="0"/>
              <w:left w:val="nil"/>
              <w:bottom w:val="single" w:color="auto" w:sz="4" w:space="0"/>
              <w:right w:val="single" w:color="auto" w:sz="4" w:space="0"/>
            </w:tcBorders>
            <w:shd w:val="clear" w:color="auto" w:fill="auto"/>
            <w:vAlign w:val="center"/>
          </w:tcPr>
          <w:p w14:paraId="505B3C96">
            <w:pPr>
              <w:autoSpaceDE w:val="0"/>
              <w:autoSpaceDN w:val="0"/>
              <w:adjustRightInd w:val="0"/>
              <w:spacing w:line="360" w:lineRule="auto"/>
              <w:jc w:val="center"/>
              <w:rPr>
                <w:rFonts w:ascii="宋体" w:hAnsi="宋体" w:eastAsia="宋体" w:cs="宋体"/>
                <w:color w:val="auto"/>
                <w:szCs w:val="21"/>
                <w:highlight w:val="none"/>
              </w:rPr>
            </w:pPr>
          </w:p>
        </w:tc>
        <w:tc>
          <w:tcPr>
            <w:tcW w:w="579" w:type="pct"/>
            <w:tcBorders>
              <w:top w:val="single" w:color="auto" w:sz="4" w:space="0"/>
              <w:left w:val="nil"/>
              <w:bottom w:val="single" w:color="auto" w:sz="4" w:space="0"/>
              <w:right w:val="single" w:color="auto" w:sz="4" w:space="0"/>
            </w:tcBorders>
            <w:shd w:val="clear" w:color="auto" w:fill="auto"/>
            <w:vAlign w:val="center"/>
          </w:tcPr>
          <w:p w14:paraId="543D3E50">
            <w:pPr>
              <w:autoSpaceDE w:val="0"/>
              <w:autoSpaceDN w:val="0"/>
              <w:adjustRightInd w:val="0"/>
              <w:spacing w:line="360" w:lineRule="auto"/>
              <w:jc w:val="center"/>
              <w:rPr>
                <w:rFonts w:ascii="宋体" w:hAnsi="宋体" w:eastAsia="宋体" w:cs="宋体"/>
                <w:color w:val="auto"/>
                <w:szCs w:val="21"/>
                <w:highlight w:val="none"/>
              </w:rPr>
            </w:pPr>
          </w:p>
        </w:tc>
      </w:tr>
      <w:tr w14:paraId="5BFBE4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3" w:hRule="atLeast"/>
          <w:jc w:val="center"/>
        </w:trPr>
        <w:tc>
          <w:tcPr>
            <w:tcW w:w="349" w:type="pct"/>
            <w:tcBorders>
              <w:top w:val="single" w:color="auto" w:sz="4" w:space="0"/>
              <w:left w:val="single" w:color="auto" w:sz="4" w:space="0"/>
              <w:bottom w:val="single" w:color="auto" w:sz="4" w:space="0"/>
              <w:right w:val="single" w:color="auto" w:sz="4" w:space="0"/>
            </w:tcBorders>
            <w:shd w:val="clear" w:color="auto" w:fill="auto"/>
            <w:vAlign w:val="center"/>
          </w:tcPr>
          <w:p w14:paraId="4CEAFD98">
            <w:pPr>
              <w:autoSpaceDE w:val="0"/>
              <w:autoSpaceDN w:val="0"/>
              <w:adjustRightInd w:val="0"/>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w:t>
            </w:r>
          </w:p>
        </w:tc>
        <w:tc>
          <w:tcPr>
            <w:tcW w:w="1185" w:type="pct"/>
            <w:tcBorders>
              <w:top w:val="single" w:color="auto" w:sz="4" w:space="0"/>
              <w:left w:val="nil"/>
              <w:bottom w:val="single" w:color="auto" w:sz="4" w:space="0"/>
              <w:right w:val="single" w:color="auto" w:sz="4" w:space="0"/>
            </w:tcBorders>
            <w:shd w:val="clear" w:color="auto" w:fill="auto"/>
            <w:vAlign w:val="center"/>
          </w:tcPr>
          <w:p w14:paraId="49BAEF41">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5D67B2F7">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44683D38">
            <w:pPr>
              <w:autoSpaceDE w:val="0"/>
              <w:autoSpaceDN w:val="0"/>
              <w:adjustRightInd w:val="0"/>
              <w:spacing w:line="360" w:lineRule="auto"/>
              <w:jc w:val="center"/>
              <w:rPr>
                <w:rFonts w:ascii="宋体" w:hAnsi="宋体" w:eastAsia="宋体" w:cs="宋体"/>
                <w:color w:val="auto"/>
                <w:szCs w:val="21"/>
                <w:highlight w:val="none"/>
              </w:rPr>
            </w:pPr>
          </w:p>
        </w:tc>
        <w:tc>
          <w:tcPr>
            <w:tcW w:w="577" w:type="pct"/>
            <w:tcBorders>
              <w:top w:val="single" w:color="auto" w:sz="4" w:space="0"/>
              <w:left w:val="nil"/>
              <w:bottom w:val="single" w:color="auto" w:sz="4" w:space="0"/>
              <w:right w:val="single" w:color="auto" w:sz="4" w:space="0"/>
            </w:tcBorders>
            <w:shd w:val="clear" w:color="auto" w:fill="auto"/>
            <w:vAlign w:val="center"/>
          </w:tcPr>
          <w:p w14:paraId="0F005877">
            <w:pPr>
              <w:autoSpaceDE w:val="0"/>
              <w:autoSpaceDN w:val="0"/>
              <w:adjustRightInd w:val="0"/>
              <w:spacing w:line="360" w:lineRule="auto"/>
              <w:jc w:val="center"/>
              <w:rPr>
                <w:rFonts w:ascii="宋体" w:hAnsi="宋体" w:eastAsia="宋体" w:cs="宋体"/>
                <w:color w:val="auto"/>
                <w:szCs w:val="21"/>
                <w:highlight w:val="none"/>
              </w:rPr>
            </w:pPr>
          </w:p>
        </w:tc>
        <w:tc>
          <w:tcPr>
            <w:tcW w:w="647" w:type="pct"/>
            <w:tcBorders>
              <w:top w:val="single" w:color="auto" w:sz="4" w:space="0"/>
              <w:left w:val="nil"/>
              <w:bottom w:val="single" w:color="auto" w:sz="4" w:space="0"/>
              <w:right w:val="single" w:color="auto" w:sz="4" w:space="0"/>
            </w:tcBorders>
            <w:shd w:val="clear" w:color="auto" w:fill="auto"/>
            <w:vAlign w:val="center"/>
          </w:tcPr>
          <w:p w14:paraId="0968F189">
            <w:pPr>
              <w:autoSpaceDE w:val="0"/>
              <w:autoSpaceDN w:val="0"/>
              <w:adjustRightInd w:val="0"/>
              <w:spacing w:line="360" w:lineRule="auto"/>
              <w:jc w:val="center"/>
              <w:rPr>
                <w:rFonts w:ascii="宋体" w:hAnsi="宋体" w:eastAsia="宋体" w:cs="宋体"/>
                <w:color w:val="auto"/>
                <w:szCs w:val="21"/>
                <w:highlight w:val="none"/>
              </w:rPr>
            </w:pPr>
          </w:p>
        </w:tc>
        <w:tc>
          <w:tcPr>
            <w:tcW w:w="506" w:type="pct"/>
            <w:tcBorders>
              <w:top w:val="single" w:color="auto" w:sz="4" w:space="0"/>
              <w:left w:val="nil"/>
              <w:bottom w:val="single" w:color="auto" w:sz="4" w:space="0"/>
              <w:right w:val="single" w:color="auto" w:sz="4" w:space="0"/>
            </w:tcBorders>
            <w:shd w:val="clear" w:color="auto" w:fill="auto"/>
            <w:vAlign w:val="center"/>
          </w:tcPr>
          <w:p w14:paraId="25F1814B">
            <w:pPr>
              <w:autoSpaceDE w:val="0"/>
              <w:autoSpaceDN w:val="0"/>
              <w:adjustRightInd w:val="0"/>
              <w:spacing w:line="360" w:lineRule="auto"/>
              <w:jc w:val="center"/>
              <w:rPr>
                <w:rFonts w:ascii="宋体" w:hAnsi="宋体" w:eastAsia="宋体" w:cs="宋体"/>
                <w:color w:val="auto"/>
                <w:szCs w:val="21"/>
                <w:highlight w:val="none"/>
              </w:rPr>
            </w:pPr>
          </w:p>
        </w:tc>
        <w:tc>
          <w:tcPr>
            <w:tcW w:w="579" w:type="pct"/>
            <w:tcBorders>
              <w:top w:val="single" w:color="auto" w:sz="4" w:space="0"/>
              <w:left w:val="nil"/>
              <w:bottom w:val="single" w:color="auto" w:sz="4" w:space="0"/>
              <w:right w:val="single" w:color="auto" w:sz="4" w:space="0"/>
            </w:tcBorders>
            <w:shd w:val="clear" w:color="auto" w:fill="auto"/>
            <w:vAlign w:val="center"/>
          </w:tcPr>
          <w:p w14:paraId="4786A4C5">
            <w:pPr>
              <w:autoSpaceDE w:val="0"/>
              <w:autoSpaceDN w:val="0"/>
              <w:adjustRightInd w:val="0"/>
              <w:spacing w:line="360" w:lineRule="auto"/>
              <w:jc w:val="center"/>
              <w:rPr>
                <w:rFonts w:ascii="宋体" w:hAnsi="宋体" w:eastAsia="宋体" w:cs="宋体"/>
                <w:color w:val="auto"/>
                <w:szCs w:val="21"/>
                <w:highlight w:val="none"/>
              </w:rPr>
            </w:pPr>
          </w:p>
        </w:tc>
      </w:tr>
    </w:tbl>
    <w:p w14:paraId="48F4C8F0">
      <w:pPr>
        <w:autoSpaceDE w:val="0"/>
        <w:autoSpaceDN w:val="0"/>
        <w:adjustRightInd w:val="0"/>
        <w:snapToGrid w:val="0"/>
        <w:spacing w:line="360" w:lineRule="auto"/>
        <w:ind w:left="186" w:leftChars="-158" w:hanging="518" w:hangingChars="247"/>
        <w:jc w:val="left"/>
        <w:rPr>
          <w:rFonts w:ascii="宋体" w:hAnsi="宋体" w:eastAsia="宋体" w:cs="Times New Roman"/>
          <w:color w:val="auto"/>
          <w:szCs w:val="24"/>
          <w:highlight w:val="none"/>
          <w:lang w:val="zh-CN"/>
        </w:rPr>
      </w:pPr>
    </w:p>
    <w:p w14:paraId="3DDEAC00">
      <w:pPr>
        <w:autoSpaceDE w:val="0"/>
        <w:autoSpaceDN w:val="0"/>
        <w:adjustRightInd w:val="0"/>
        <w:snapToGrid w:val="0"/>
        <w:spacing w:line="360" w:lineRule="auto"/>
        <w:ind w:left="398" w:leftChars="-57" w:hanging="518" w:hangingChars="247"/>
        <w:jc w:val="left"/>
        <w:rPr>
          <w:rFonts w:hint="eastAsia" w:ascii="宋体" w:hAnsi="宋体" w:eastAsia="宋体" w:cs="宋体"/>
          <w:color w:val="auto"/>
          <w:szCs w:val="21"/>
          <w:highlight w:val="none"/>
          <w:lang w:val="zh-CN" w:bidi="ar"/>
        </w:rPr>
      </w:pPr>
      <w:r>
        <w:rPr>
          <w:rFonts w:hint="eastAsia" w:ascii="宋体" w:hAnsi="宋体" w:eastAsia="宋体" w:cs="宋体"/>
          <w:color w:val="auto"/>
          <w:szCs w:val="21"/>
          <w:highlight w:val="none"/>
          <w:lang w:val="zh-CN" w:bidi="ar"/>
        </w:rPr>
        <w:t>备注：</w:t>
      </w:r>
    </w:p>
    <w:p w14:paraId="54D9F31F">
      <w:pPr>
        <w:autoSpaceDE w:val="0"/>
        <w:autoSpaceDN w:val="0"/>
        <w:adjustRightInd w:val="0"/>
        <w:snapToGrid w:val="0"/>
        <w:spacing w:line="360" w:lineRule="auto"/>
        <w:ind w:left="481" w:leftChars="-41" w:hanging="567" w:hangingChars="270"/>
        <w:jc w:val="left"/>
        <w:rPr>
          <w:rFonts w:hint="eastAsia" w:ascii="宋体" w:hAnsi="宋体" w:eastAsia="宋体" w:cs="Times New Roman"/>
          <w:b/>
          <w:bCs/>
          <w:color w:val="auto"/>
          <w:szCs w:val="24"/>
          <w:highlight w:val="none"/>
          <w:lang w:val="en-US" w:eastAsia="zh-CN"/>
        </w:rPr>
      </w:pPr>
      <w:r>
        <w:rPr>
          <w:rFonts w:hint="eastAsia" w:ascii="宋体" w:hAnsi="宋体" w:eastAsia="宋体" w:cs="Times New Roman"/>
          <w:color w:val="auto"/>
          <w:szCs w:val="24"/>
          <w:highlight w:val="none"/>
          <w:lang w:val="zh-CN"/>
        </w:rPr>
        <w:t>（1）</w:t>
      </w:r>
      <w:r>
        <w:rPr>
          <w:rFonts w:hint="eastAsia" w:ascii="宋体" w:hAnsi="宋体" w:eastAsia="宋体" w:cs="宋体"/>
          <w:color w:val="auto"/>
          <w:szCs w:val="21"/>
          <w:highlight w:val="none"/>
          <w:lang w:bidi="ar"/>
        </w:rPr>
        <w:t>项目业绩按单项合同所投车型销售数量从多到少的方式排列</w:t>
      </w:r>
      <w:r>
        <w:rPr>
          <w:rFonts w:hint="eastAsia" w:ascii="宋体" w:hAnsi="宋体" w:eastAsia="宋体" w:cs="Times New Roman"/>
          <w:color w:val="auto"/>
          <w:szCs w:val="24"/>
          <w:highlight w:val="none"/>
          <w:lang w:val="zh-CN"/>
        </w:rPr>
        <w:t>；</w:t>
      </w:r>
      <w:r>
        <w:rPr>
          <w:rFonts w:hint="eastAsia" w:ascii="宋体" w:hAnsi="宋体" w:eastAsia="宋体" w:cs="Times New Roman"/>
          <w:b/>
          <w:bCs/>
          <w:color w:val="auto"/>
          <w:szCs w:val="24"/>
          <w:highlight w:val="none"/>
          <w:lang w:val="zh-CN"/>
        </w:rPr>
        <w:t>同一个单项合同的业绩可以同时在资格业绩和评分业绩重复放置</w:t>
      </w:r>
      <w:r>
        <w:rPr>
          <w:rFonts w:hint="eastAsia" w:ascii="宋体" w:hAnsi="宋体" w:eastAsia="宋体" w:cs="Times New Roman"/>
          <w:b/>
          <w:bCs/>
          <w:color w:val="auto"/>
          <w:szCs w:val="24"/>
          <w:highlight w:val="none"/>
          <w:lang w:val="en-US" w:eastAsia="zh-CN"/>
        </w:rPr>
        <w:t>；</w:t>
      </w:r>
    </w:p>
    <w:p w14:paraId="1E54DCE4">
      <w:pPr>
        <w:autoSpaceDE w:val="0"/>
        <w:autoSpaceDN w:val="0"/>
        <w:adjustRightInd w:val="0"/>
        <w:snapToGrid w:val="0"/>
        <w:spacing w:line="360" w:lineRule="auto"/>
        <w:ind w:left="398" w:leftChars="-57" w:hanging="518" w:hangingChars="247"/>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（2）业绩须附买方的合同复印件及销售发票复印件（业绩的销售方须为整车生产企业），否则不得分；</w:t>
      </w:r>
    </w:p>
    <w:p w14:paraId="5D3DD84C">
      <w:pPr>
        <w:autoSpaceDE w:val="0"/>
        <w:autoSpaceDN w:val="0"/>
        <w:adjustRightInd w:val="0"/>
        <w:snapToGrid w:val="0"/>
        <w:spacing w:line="360" w:lineRule="auto"/>
        <w:ind w:left="398" w:leftChars="-57" w:hanging="518" w:hangingChars="247"/>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（3）</w:t>
      </w:r>
      <w:r>
        <w:rPr>
          <w:rFonts w:hint="eastAsia" w:ascii="宋体" w:hAnsi="宋体" w:eastAsia="宋体" w:cs="宋体"/>
          <w:color w:val="auto"/>
          <w:kern w:val="0"/>
          <w:szCs w:val="21"/>
          <w:highlight w:val="none"/>
          <w:lang w:bidi="ar"/>
        </w:rPr>
        <w:t>合同等业绩证明材料必须能反映评分条件（合同签订日期为202</w:t>
      </w:r>
      <w:r>
        <w:rPr>
          <w:rFonts w:hint="eastAsia" w:ascii="宋体" w:hAnsi="宋体" w:eastAsia="宋体" w:cs="宋体"/>
          <w:color w:val="auto"/>
          <w:kern w:val="0"/>
          <w:szCs w:val="21"/>
          <w:highlight w:val="none"/>
          <w:lang w:val="en-US" w:eastAsia="zh-CN" w:bidi="ar"/>
        </w:rPr>
        <w:t>3</w:t>
      </w:r>
      <w:r>
        <w:rPr>
          <w:rFonts w:hint="eastAsia" w:ascii="宋体" w:hAnsi="宋体" w:eastAsia="宋体" w:cs="宋体"/>
          <w:color w:val="auto"/>
          <w:kern w:val="0"/>
          <w:szCs w:val="21"/>
          <w:highlight w:val="none"/>
          <w:lang w:bidi="ar"/>
        </w:rPr>
        <w:t>年1月1日或以后，合同标的必须为投标的车型及销售数量），否则，需同时提供购买方出具的书面补充说明文件复印件作为辅助证明</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Cs w:val="21"/>
          <w:highlight w:val="none"/>
          <w:lang w:bidi="ar"/>
        </w:rPr>
        <w:t>补充说明文件复印件能显示购买方公章</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Cs w:val="21"/>
          <w:highlight w:val="none"/>
          <w:lang w:bidi="ar"/>
        </w:rPr>
        <w:t>；</w:t>
      </w:r>
    </w:p>
    <w:p w14:paraId="1329C59E">
      <w:pPr>
        <w:autoSpaceDE w:val="0"/>
        <w:autoSpaceDN w:val="0"/>
        <w:adjustRightInd w:val="0"/>
        <w:snapToGrid w:val="0"/>
        <w:spacing w:line="360" w:lineRule="auto"/>
        <w:ind w:left="398" w:leftChars="-57" w:hanging="518" w:hangingChars="247"/>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4）上述的单项合同销售数量为所投车型销售数量，若为一个合同中包括不限于所投车型的多个产品的，只计算所投车型所占的销售数量，若合同中不能体现所投车型销售数量的，需同时提供购买方出具的书面补充说明文件复印件作为辅助证明</w:t>
      </w:r>
      <w:r>
        <w:rPr>
          <w:rFonts w:hint="eastAsia" w:ascii="宋体" w:hAnsi="宋体" w:eastAsia="宋体" w:cs="宋体"/>
          <w:color w:val="auto"/>
          <w:szCs w:val="21"/>
          <w:highlight w:val="none"/>
          <w:lang w:eastAsia="zh-CN" w:bidi="ar"/>
        </w:rPr>
        <w:t>（</w:t>
      </w:r>
      <w:r>
        <w:rPr>
          <w:rFonts w:hint="eastAsia" w:ascii="宋体" w:hAnsi="宋体" w:eastAsia="宋体" w:cs="宋体"/>
          <w:color w:val="auto"/>
          <w:szCs w:val="21"/>
          <w:highlight w:val="none"/>
          <w:lang w:bidi="ar"/>
        </w:rPr>
        <w:t>补充说明文件复印件能显示购买方公章</w:t>
      </w:r>
      <w:r>
        <w:rPr>
          <w:rFonts w:hint="eastAsia" w:ascii="宋体" w:hAnsi="宋体" w:eastAsia="宋体" w:cs="宋体"/>
          <w:color w:val="auto"/>
          <w:szCs w:val="21"/>
          <w:highlight w:val="none"/>
          <w:lang w:eastAsia="zh-CN" w:bidi="ar"/>
        </w:rPr>
        <w:t>）</w:t>
      </w:r>
      <w:r>
        <w:rPr>
          <w:rFonts w:hint="eastAsia" w:ascii="宋体" w:hAnsi="宋体" w:eastAsia="宋体" w:cs="宋体"/>
          <w:color w:val="auto"/>
          <w:szCs w:val="21"/>
          <w:highlight w:val="none"/>
          <w:lang w:bidi="ar"/>
        </w:rPr>
        <w:t>；</w:t>
      </w:r>
    </w:p>
    <w:p w14:paraId="25D19D2F">
      <w:pPr>
        <w:autoSpaceDE w:val="0"/>
        <w:autoSpaceDN w:val="0"/>
        <w:adjustRightInd w:val="0"/>
        <w:snapToGrid w:val="0"/>
        <w:spacing w:line="360" w:lineRule="auto"/>
        <w:ind w:left="483" w:leftChars="-41" w:hanging="569" w:hangingChars="270"/>
        <w:jc w:val="left"/>
        <w:rPr>
          <w:rFonts w:ascii="宋体" w:hAnsi="宋体" w:eastAsia="宋体" w:cs="宋体"/>
          <w:b/>
          <w:bCs/>
          <w:color w:val="auto"/>
          <w:kern w:val="0"/>
          <w:szCs w:val="21"/>
          <w:highlight w:val="none"/>
        </w:rPr>
      </w:pPr>
      <w:r>
        <w:rPr>
          <w:rFonts w:hint="eastAsia" w:ascii="宋体" w:hAnsi="宋体" w:eastAsia="宋体" w:cs="Times New Roman"/>
          <w:b/>
          <w:bCs/>
          <w:color w:val="auto"/>
          <w:szCs w:val="24"/>
          <w:highlight w:val="none"/>
          <w:lang w:val="zh-CN"/>
        </w:rPr>
        <w:t>（</w:t>
      </w:r>
      <w:r>
        <w:rPr>
          <w:rFonts w:hint="eastAsia" w:ascii="宋体" w:hAnsi="宋体" w:eastAsia="宋体" w:cs="Times New Roman"/>
          <w:b/>
          <w:bCs/>
          <w:color w:val="auto"/>
          <w:szCs w:val="24"/>
          <w:highlight w:val="none"/>
          <w:lang w:val="en-US" w:eastAsia="zh-CN"/>
        </w:rPr>
        <w:t>5</w:t>
      </w:r>
      <w:r>
        <w:rPr>
          <w:rFonts w:hint="eastAsia" w:ascii="宋体" w:hAnsi="宋体" w:eastAsia="宋体" w:cs="Times New Roman"/>
          <w:b/>
          <w:bCs/>
          <w:color w:val="auto"/>
          <w:szCs w:val="24"/>
          <w:highlight w:val="none"/>
          <w:lang w:val="zh-CN"/>
        </w:rPr>
        <w:t>）未按上述要求在此格式下提供证明材料的业绩，或在此格式下所附材料无法证明填报项目符合本项评分要求的业绩，在评标时将不予考虑</w:t>
      </w:r>
      <w:r>
        <w:rPr>
          <w:rFonts w:hint="eastAsia" w:ascii="宋体" w:hAnsi="宋体" w:eastAsia="宋体" w:cs="Times New Roman"/>
          <w:b/>
          <w:bCs/>
          <w:color w:val="auto"/>
          <w:kern w:val="0"/>
          <w:szCs w:val="21"/>
          <w:highlight w:val="none"/>
        </w:rPr>
        <w:t>。</w:t>
      </w:r>
    </w:p>
    <w:p w14:paraId="3A5E6D3C">
      <w:pPr>
        <w:autoSpaceDE w:val="0"/>
        <w:autoSpaceDN w:val="0"/>
        <w:adjustRightInd w:val="0"/>
        <w:spacing w:line="360" w:lineRule="auto"/>
        <w:ind w:firstLine="5040" w:firstLineChars="2400"/>
        <w:jc w:val="left"/>
        <w:rPr>
          <w:rFonts w:ascii="宋体" w:hAnsi="宋体" w:eastAsia="宋体" w:cs="Times New Roman"/>
          <w:color w:val="auto"/>
          <w:szCs w:val="24"/>
          <w:highlight w:val="none"/>
          <w:lang w:val="zh-CN"/>
        </w:rPr>
      </w:pPr>
    </w:p>
    <w:p w14:paraId="043A6ABA">
      <w:pPr>
        <w:autoSpaceDE w:val="0"/>
        <w:autoSpaceDN w:val="0"/>
        <w:adjustRightInd w:val="0"/>
        <w:spacing w:line="360" w:lineRule="auto"/>
        <w:ind w:firstLine="5040" w:firstLineChars="2400"/>
        <w:jc w:val="left"/>
        <w:rPr>
          <w:rFonts w:ascii="宋体" w:hAnsi="宋体" w:eastAsia="宋体" w:cs="Times New Roman"/>
          <w:color w:val="auto"/>
          <w:kern w:val="0"/>
          <w:szCs w:val="21"/>
          <w:highlight w:val="none"/>
        </w:rPr>
      </w:pPr>
      <w:r>
        <w:rPr>
          <w:rFonts w:hint="eastAsia" w:ascii="宋体" w:hAnsi="宋体" w:eastAsia="宋体" w:cs="Times New Roman"/>
          <w:color w:val="auto"/>
          <w:szCs w:val="24"/>
          <w:highlight w:val="none"/>
          <w:lang w:val="zh-CN"/>
        </w:rPr>
        <w:t>投标人：（加盖投标人法人公章）</w:t>
      </w:r>
    </w:p>
    <w:p w14:paraId="2A691C8C">
      <w:pPr>
        <w:autoSpaceDE w:val="0"/>
        <w:autoSpaceDN w:val="0"/>
        <w:adjustRightInd w:val="0"/>
        <w:spacing w:line="360" w:lineRule="auto"/>
        <w:ind w:firstLine="5040" w:firstLineChars="2400"/>
        <w:jc w:val="left"/>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日期：   年   月   日</w:t>
      </w:r>
    </w:p>
    <w:p w14:paraId="43CEE6AF">
      <w:pPr>
        <w:autoSpaceDE w:val="0"/>
        <w:autoSpaceDN w:val="0"/>
        <w:adjustRightInd w:val="0"/>
        <w:spacing w:line="360" w:lineRule="auto"/>
        <w:rPr>
          <w:rFonts w:ascii="宋体" w:hAnsi="宋体" w:eastAsia="宋体" w:cs="Times New Roman"/>
          <w:b/>
          <w:bCs/>
          <w:color w:val="auto"/>
          <w:sz w:val="30"/>
          <w:szCs w:val="30"/>
          <w:highlight w:val="none"/>
          <w:lang w:val="zh-CN"/>
        </w:rPr>
      </w:pPr>
    </w:p>
    <w:p w14:paraId="257547A8">
      <w:pPr>
        <w:pageBreakBefore/>
        <w:autoSpaceDE w:val="0"/>
        <w:autoSpaceDN w:val="0"/>
        <w:adjustRightInd w:val="0"/>
        <w:snapToGrid w:val="0"/>
        <w:spacing w:line="360" w:lineRule="auto"/>
        <w:ind w:left="673" w:leftChars="-57" w:right="420" w:hanging="793" w:hangingChars="247"/>
        <w:jc w:val="center"/>
        <w:rPr>
          <w:rFonts w:ascii="宋体" w:hAnsi="宋体" w:eastAsia="宋体" w:cs="宋体"/>
          <w:b/>
          <w:color w:val="auto"/>
          <w:sz w:val="32"/>
          <w:szCs w:val="32"/>
          <w:highlight w:val="none"/>
        </w:rPr>
      </w:pPr>
      <w:r>
        <w:rPr>
          <w:rFonts w:hint="eastAsia" w:ascii="宋体" w:hAnsi="宋体" w:eastAsia="宋体" w:cs="宋体"/>
          <w:b/>
          <w:color w:val="auto"/>
          <w:kern w:val="0"/>
          <w:sz w:val="32"/>
          <w:szCs w:val="32"/>
          <w:highlight w:val="none"/>
          <w:lang w:bidi="ar"/>
        </w:rPr>
        <w:t>附表：已供货产品发票金额统计表</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3431"/>
        <w:gridCol w:w="1674"/>
        <w:gridCol w:w="1166"/>
        <w:gridCol w:w="1709"/>
        <w:gridCol w:w="1477"/>
      </w:tblGrid>
      <w:tr w14:paraId="0461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EBDC17">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项目名称</w:t>
            </w:r>
          </w:p>
        </w:tc>
        <w:tc>
          <w:tcPr>
            <w:tcW w:w="2905" w:type="pct"/>
            <w:gridSpan w:val="4"/>
            <w:tcBorders>
              <w:top w:val="single" w:color="auto" w:sz="4" w:space="0"/>
              <w:left w:val="nil"/>
              <w:bottom w:val="single" w:color="auto" w:sz="4" w:space="0"/>
              <w:right w:val="single" w:color="auto" w:sz="4" w:space="0"/>
            </w:tcBorders>
            <w:shd w:val="clear" w:color="auto" w:fill="auto"/>
            <w:vAlign w:val="center"/>
          </w:tcPr>
          <w:p w14:paraId="6F07539A">
            <w:pPr>
              <w:pStyle w:val="32"/>
              <w:widowControl w:val="0"/>
              <w:autoSpaceDE w:val="0"/>
              <w:snapToGrid w:val="0"/>
              <w:spacing w:before="0" w:after="0" w:line="360" w:lineRule="auto"/>
              <w:jc w:val="center"/>
              <w:rPr>
                <w:rFonts w:eastAsia="宋体" w:cs="宋体"/>
                <w:color w:val="auto"/>
                <w:sz w:val="21"/>
                <w:szCs w:val="21"/>
                <w:highlight w:val="none"/>
              </w:rPr>
            </w:pPr>
          </w:p>
        </w:tc>
      </w:tr>
      <w:tr w14:paraId="79E7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E87FB3">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合同签订日期</w:t>
            </w:r>
          </w:p>
        </w:tc>
        <w:tc>
          <w:tcPr>
            <w:tcW w:w="2905" w:type="pct"/>
            <w:gridSpan w:val="4"/>
            <w:tcBorders>
              <w:top w:val="single" w:color="auto" w:sz="4" w:space="0"/>
              <w:left w:val="nil"/>
              <w:bottom w:val="single" w:color="auto" w:sz="4" w:space="0"/>
              <w:right w:val="single" w:color="auto" w:sz="4" w:space="0"/>
            </w:tcBorders>
            <w:shd w:val="clear" w:color="auto" w:fill="auto"/>
            <w:vAlign w:val="center"/>
          </w:tcPr>
          <w:p w14:paraId="5A15883E">
            <w:pPr>
              <w:pStyle w:val="32"/>
              <w:widowControl w:val="0"/>
              <w:autoSpaceDE w:val="0"/>
              <w:snapToGrid w:val="0"/>
              <w:spacing w:before="0" w:after="0" w:line="360" w:lineRule="auto"/>
              <w:jc w:val="center"/>
              <w:rPr>
                <w:rFonts w:eastAsia="宋体" w:cs="宋体"/>
                <w:color w:val="auto"/>
                <w:sz w:val="21"/>
                <w:szCs w:val="21"/>
                <w:highlight w:val="none"/>
              </w:rPr>
            </w:pPr>
          </w:p>
        </w:tc>
      </w:tr>
      <w:tr w14:paraId="5AD3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0F0375">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发票抬头（合同买方）</w:t>
            </w:r>
          </w:p>
        </w:tc>
        <w:tc>
          <w:tcPr>
            <w:tcW w:w="2905" w:type="pct"/>
            <w:gridSpan w:val="4"/>
            <w:tcBorders>
              <w:top w:val="single" w:color="auto" w:sz="4" w:space="0"/>
              <w:left w:val="nil"/>
              <w:bottom w:val="single" w:color="auto" w:sz="4" w:space="0"/>
              <w:right w:val="single" w:color="auto" w:sz="4" w:space="0"/>
            </w:tcBorders>
            <w:shd w:val="clear" w:color="auto" w:fill="auto"/>
            <w:vAlign w:val="center"/>
          </w:tcPr>
          <w:p w14:paraId="78EEC901">
            <w:pPr>
              <w:pStyle w:val="32"/>
              <w:widowControl w:val="0"/>
              <w:autoSpaceDE w:val="0"/>
              <w:snapToGrid w:val="0"/>
              <w:spacing w:before="0" w:after="0" w:line="360" w:lineRule="auto"/>
              <w:jc w:val="center"/>
              <w:rPr>
                <w:rFonts w:eastAsia="宋体" w:cs="宋体"/>
                <w:color w:val="auto"/>
                <w:sz w:val="21"/>
                <w:szCs w:val="21"/>
                <w:highlight w:val="none"/>
              </w:rPr>
            </w:pPr>
          </w:p>
        </w:tc>
      </w:tr>
      <w:tr w14:paraId="423B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089A40C0">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序号</w:t>
            </w:r>
          </w:p>
        </w:tc>
        <w:tc>
          <w:tcPr>
            <w:tcW w:w="1654" w:type="pct"/>
            <w:tcBorders>
              <w:top w:val="single" w:color="auto" w:sz="4" w:space="0"/>
              <w:left w:val="nil"/>
              <w:bottom w:val="single" w:color="auto" w:sz="4" w:space="0"/>
              <w:right w:val="single" w:color="auto" w:sz="4" w:space="0"/>
            </w:tcBorders>
            <w:shd w:val="clear" w:color="auto" w:fill="auto"/>
            <w:vAlign w:val="center"/>
          </w:tcPr>
          <w:p w14:paraId="2F5999F8">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发票名目</w:t>
            </w:r>
          </w:p>
        </w:tc>
        <w:tc>
          <w:tcPr>
            <w:tcW w:w="807" w:type="pct"/>
            <w:tcBorders>
              <w:top w:val="single" w:color="auto" w:sz="4" w:space="0"/>
              <w:left w:val="nil"/>
              <w:bottom w:val="single" w:color="auto" w:sz="4" w:space="0"/>
              <w:right w:val="single" w:color="auto" w:sz="4" w:space="0"/>
            </w:tcBorders>
            <w:shd w:val="clear" w:color="auto" w:fill="auto"/>
            <w:vAlign w:val="center"/>
          </w:tcPr>
          <w:p w14:paraId="05A6CE23">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所投车型销售数量（单位：辆）</w:t>
            </w:r>
          </w:p>
        </w:tc>
        <w:tc>
          <w:tcPr>
            <w:tcW w:w="562" w:type="pct"/>
            <w:tcBorders>
              <w:top w:val="single" w:color="auto" w:sz="4" w:space="0"/>
              <w:left w:val="nil"/>
              <w:bottom w:val="single" w:color="auto" w:sz="4" w:space="0"/>
              <w:right w:val="single" w:color="auto" w:sz="4" w:space="0"/>
            </w:tcBorders>
            <w:shd w:val="clear" w:color="auto" w:fill="auto"/>
            <w:vAlign w:val="center"/>
          </w:tcPr>
          <w:p w14:paraId="25816873">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发票号码</w:t>
            </w:r>
          </w:p>
        </w:tc>
        <w:tc>
          <w:tcPr>
            <w:tcW w:w="824" w:type="pct"/>
            <w:tcBorders>
              <w:top w:val="single" w:color="auto" w:sz="4" w:space="0"/>
              <w:left w:val="nil"/>
              <w:bottom w:val="single" w:color="auto" w:sz="4" w:space="0"/>
              <w:right w:val="single" w:color="auto" w:sz="4" w:space="0"/>
            </w:tcBorders>
            <w:shd w:val="clear" w:color="auto" w:fill="auto"/>
            <w:vAlign w:val="center"/>
          </w:tcPr>
          <w:p w14:paraId="63441899">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发票所属时期</w:t>
            </w:r>
          </w:p>
        </w:tc>
        <w:tc>
          <w:tcPr>
            <w:tcW w:w="712" w:type="pct"/>
            <w:tcBorders>
              <w:top w:val="single" w:color="auto" w:sz="4" w:space="0"/>
              <w:left w:val="nil"/>
              <w:bottom w:val="single" w:color="auto" w:sz="4" w:space="0"/>
              <w:right w:val="outset" w:color="auto" w:sz="6" w:space="0"/>
            </w:tcBorders>
            <w:shd w:val="clear" w:color="auto" w:fill="auto"/>
            <w:vAlign w:val="center"/>
          </w:tcPr>
          <w:p w14:paraId="7102F2A9">
            <w:pPr>
              <w:jc w:val="center"/>
              <w:rPr>
                <w:rFonts w:ascii="Calibri" w:hAnsi="Calibri" w:eastAsia="宋体" w:cs="Times New Roman"/>
                <w:color w:val="auto"/>
                <w:szCs w:val="21"/>
                <w:highlight w:val="none"/>
              </w:rPr>
            </w:pPr>
            <w:r>
              <w:rPr>
                <w:rFonts w:hint="eastAsia" w:eastAsia="宋体" w:cs="宋体"/>
                <w:color w:val="auto"/>
                <w:sz w:val="21"/>
                <w:szCs w:val="21"/>
                <w:highlight w:val="none"/>
                <w:lang w:bidi="ar"/>
              </w:rPr>
              <w:t>备注</w:t>
            </w:r>
          </w:p>
        </w:tc>
      </w:tr>
      <w:tr w14:paraId="6E18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6C374213">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1</w:t>
            </w:r>
          </w:p>
        </w:tc>
        <w:tc>
          <w:tcPr>
            <w:tcW w:w="1654" w:type="pct"/>
            <w:tcBorders>
              <w:top w:val="single" w:color="auto" w:sz="4" w:space="0"/>
              <w:left w:val="nil"/>
              <w:bottom w:val="single" w:color="auto" w:sz="4" w:space="0"/>
              <w:right w:val="single" w:color="auto" w:sz="4" w:space="0"/>
            </w:tcBorders>
            <w:shd w:val="clear" w:color="auto" w:fill="auto"/>
            <w:vAlign w:val="center"/>
          </w:tcPr>
          <w:p w14:paraId="17D6A7D2">
            <w:pPr>
              <w:pStyle w:val="32"/>
              <w:widowControl w:val="0"/>
              <w:autoSpaceDE w:val="0"/>
              <w:snapToGrid w:val="0"/>
              <w:spacing w:before="0" w:after="0" w:line="360" w:lineRule="auto"/>
              <w:jc w:val="center"/>
              <w:rPr>
                <w:rFonts w:eastAsia="宋体" w:cs="宋体"/>
                <w:color w:val="auto"/>
                <w:sz w:val="21"/>
                <w:szCs w:val="21"/>
                <w:highlight w:val="none"/>
              </w:rPr>
            </w:pPr>
          </w:p>
        </w:tc>
        <w:tc>
          <w:tcPr>
            <w:tcW w:w="807" w:type="pct"/>
            <w:tcBorders>
              <w:top w:val="single" w:color="auto" w:sz="4" w:space="0"/>
              <w:left w:val="nil"/>
              <w:bottom w:val="single" w:color="auto" w:sz="4" w:space="0"/>
              <w:right w:val="single" w:color="auto" w:sz="4" w:space="0"/>
            </w:tcBorders>
            <w:shd w:val="clear" w:color="auto" w:fill="auto"/>
            <w:vAlign w:val="center"/>
          </w:tcPr>
          <w:p w14:paraId="0329AB78">
            <w:pPr>
              <w:pStyle w:val="32"/>
              <w:widowControl w:val="0"/>
              <w:autoSpaceDE w:val="0"/>
              <w:snapToGrid w:val="0"/>
              <w:spacing w:before="0" w:after="0" w:line="360" w:lineRule="auto"/>
              <w:jc w:val="center"/>
              <w:rPr>
                <w:rFonts w:eastAsia="宋体" w:cs="宋体"/>
                <w:color w:val="auto"/>
                <w:sz w:val="21"/>
                <w:szCs w:val="21"/>
                <w:highlight w:val="none"/>
              </w:rPr>
            </w:pPr>
          </w:p>
        </w:tc>
        <w:tc>
          <w:tcPr>
            <w:tcW w:w="562" w:type="pct"/>
            <w:tcBorders>
              <w:top w:val="single" w:color="auto" w:sz="4" w:space="0"/>
              <w:left w:val="nil"/>
              <w:bottom w:val="single" w:color="auto" w:sz="4" w:space="0"/>
              <w:right w:val="single" w:color="auto" w:sz="4" w:space="0"/>
            </w:tcBorders>
            <w:shd w:val="clear" w:color="auto" w:fill="auto"/>
            <w:vAlign w:val="center"/>
          </w:tcPr>
          <w:p w14:paraId="7A2AAC81">
            <w:pPr>
              <w:pStyle w:val="32"/>
              <w:widowControl w:val="0"/>
              <w:autoSpaceDE w:val="0"/>
              <w:snapToGrid w:val="0"/>
              <w:spacing w:before="0" w:after="0" w:line="360" w:lineRule="auto"/>
              <w:jc w:val="center"/>
              <w:rPr>
                <w:rFonts w:eastAsia="宋体" w:cs="宋体"/>
                <w:color w:val="auto"/>
                <w:sz w:val="21"/>
                <w:szCs w:val="21"/>
                <w:highlight w:val="none"/>
              </w:rPr>
            </w:pPr>
          </w:p>
        </w:tc>
        <w:tc>
          <w:tcPr>
            <w:tcW w:w="824" w:type="pct"/>
            <w:tcBorders>
              <w:top w:val="single" w:color="auto" w:sz="4" w:space="0"/>
              <w:left w:val="nil"/>
              <w:bottom w:val="single" w:color="auto" w:sz="4" w:space="0"/>
              <w:right w:val="single" w:color="auto" w:sz="4" w:space="0"/>
            </w:tcBorders>
            <w:shd w:val="clear" w:color="auto" w:fill="auto"/>
            <w:vAlign w:val="center"/>
          </w:tcPr>
          <w:p w14:paraId="5AB2726B">
            <w:pPr>
              <w:pStyle w:val="32"/>
              <w:widowControl w:val="0"/>
              <w:autoSpaceDE w:val="0"/>
              <w:snapToGrid w:val="0"/>
              <w:spacing w:before="0" w:after="0" w:line="360" w:lineRule="auto"/>
              <w:jc w:val="center"/>
              <w:rPr>
                <w:rFonts w:eastAsia="宋体" w:cs="宋体"/>
                <w:color w:val="auto"/>
                <w:sz w:val="21"/>
                <w:szCs w:val="21"/>
                <w:highlight w:val="none"/>
              </w:rPr>
            </w:pPr>
          </w:p>
        </w:tc>
        <w:tc>
          <w:tcPr>
            <w:tcW w:w="712" w:type="pct"/>
            <w:tcBorders>
              <w:top w:val="single" w:color="auto" w:sz="4" w:space="0"/>
              <w:left w:val="nil"/>
              <w:bottom w:val="single" w:color="auto" w:sz="4" w:space="0"/>
              <w:right w:val="outset" w:color="auto" w:sz="6" w:space="0"/>
            </w:tcBorders>
            <w:shd w:val="clear" w:color="auto" w:fill="auto"/>
            <w:vAlign w:val="center"/>
          </w:tcPr>
          <w:p w14:paraId="114E65EA">
            <w:pPr>
              <w:jc w:val="center"/>
              <w:rPr>
                <w:rFonts w:ascii="Calibri" w:hAnsi="Calibri" w:eastAsia="宋体" w:cs="Times New Roman"/>
                <w:color w:val="auto"/>
                <w:szCs w:val="21"/>
                <w:highlight w:val="none"/>
              </w:rPr>
            </w:pPr>
          </w:p>
        </w:tc>
      </w:tr>
      <w:tr w14:paraId="41E4E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16CABE5D">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2</w:t>
            </w:r>
          </w:p>
        </w:tc>
        <w:tc>
          <w:tcPr>
            <w:tcW w:w="1654" w:type="pct"/>
            <w:tcBorders>
              <w:top w:val="single" w:color="auto" w:sz="4" w:space="0"/>
              <w:left w:val="nil"/>
              <w:bottom w:val="single" w:color="auto" w:sz="4" w:space="0"/>
              <w:right w:val="single" w:color="auto" w:sz="4" w:space="0"/>
            </w:tcBorders>
            <w:shd w:val="clear" w:color="auto" w:fill="auto"/>
            <w:vAlign w:val="center"/>
          </w:tcPr>
          <w:p w14:paraId="112CB326">
            <w:pPr>
              <w:pStyle w:val="32"/>
              <w:widowControl w:val="0"/>
              <w:autoSpaceDE w:val="0"/>
              <w:snapToGrid w:val="0"/>
              <w:spacing w:before="0" w:after="0" w:line="360" w:lineRule="auto"/>
              <w:jc w:val="center"/>
              <w:rPr>
                <w:rFonts w:eastAsia="宋体" w:cs="宋体"/>
                <w:color w:val="auto"/>
                <w:sz w:val="21"/>
                <w:szCs w:val="21"/>
                <w:highlight w:val="none"/>
              </w:rPr>
            </w:pPr>
          </w:p>
        </w:tc>
        <w:tc>
          <w:tcPr>
            <w:tcW w:w="807" w:type="pct"/>
            <w:tcBorders>
              <w:top w:val="single" w:color="auto" w:sz="4" w:space="0"/>
              <w:left w:val="nil"/>
              <w:bottom w:val="single" w:color="auto" w:sz="4" w:space="0"/>
              <w:right w:val="single" w:color="auto" w:sz="4" w:space="0"/>
            </w:tcBorders>
            <w:shd w:val="clear" w:color="auto" w:fill="auto"/>
            <w:vAlign w:val="center"/>
          </w:tcPr>
          <w:p w14:paraId="020CA326">
            <w:pPr>
              <w:pStyle w:val="32"/>
              <w:widowControl w:val="0"/>
              <w:autoSpaceDE w:val="0"/>
              <w:snapToGrid w:val="0"/>
              <w:spacing w:before="0" w:after="0" w:line="360" w:lineRule="auto"/>
              <w:jc w:val="center"/>
              <w:rPr>
                <w:rFonts w:eastAsia="宋体" w:cs="宋体"/>
                <w:color w:val="auto"/>
                <w:sz w:val="21"/>
                <w:szCs w:val="21"/>
                <w:highlight w:val="none"/>
              </w:rPr>
            </w:pPr>
          </w:p>
        </w:tc>
        <w:tc>
          <w:tcPr>
            <w:tcW w:w="562" w:type="pct"/>
            <w:tcBorders>
              <w:top w:val="single" w:color="auto" w:sz="4" w:space="0"/>
              <w:left w:val="nil"/>
              <w:bottom w:val="single" w:color="auto" w:sz="4" w:space="0"/>
              <w:right w:val="single" w:color="auto" w:sz="4" w:space="0"/>
            </w:tcBorders>
            <w:shd w:val="clear" w:color="auto" w:fill="auto"/>
            <w:vAlign w:val="center"/>
          </w:tcPr>
          <w:p w14:paraId="1C5367F6">
            <w:pPr>
              <w:pStyle w:val="32"/>
              <w:widowControl w:val="0"/>
              <w:autoSpaceDE w:val="0"/>
              <w:snapToGrid w:val="0"/>
              <w:spacing w:before="0" w:after="0" w:line="360" w:lineRule="auto"/>
              <w:jc w:val="center"/>
              <w:rPr>
                <w:rFonts w:eastAsia="宋体" w:cs="宋体"/>
                <w:color w:val="auto"/>
                <w:sz w:val="21"/>
                <w:szCs w:val="21"/>
                <w:highlight w:val="none"/>
              </w:rPr>
            </w:pPr>
          </w:p>
        </w:tc>
        <w:tc>
          <w:tcPr>
            <w:tcW w:w="824" w:type="pct"/>
            <w:tcBorders>
              <w:top w:val="single" w:color="auto" w:sz="4" w:space="0"/>
              <w:left w:val="nil"/>
              <w:bottom w:val="single" w:color="auto" w:sz="4" w:space="0"/>
              <w:right w:val="single" w:color="auto" w:sz="4" w:space="0"/>
            </w:tcBorders>
            <w:shd w:val="clear" w:color="auto" w:fill="auto"/>
            <w:vAlign w:val="center"/>
          </w:tcPr>
          <w:p w14:paraId="6F0EA819">
            <w:pPr>
              <w:pStyle w:val="32"/>
              <w:widowControl w:val="0"/>
              <w:autoSpaceDE w:val="0"/>
              <w:snapToGrid w:val="0"/>
              <w:spacing w:before="0" w:after="0" w:line="360" w:lineRule="auto"/>
              <w:jc w:val="center"/>
              <w:rPr>
                <w:rFonts w:eastAsia="宋体" w:cs="宋体"/>
                <w:color w:val="auto"/>
                <w:sz w:val="21"/>
                <w:szCs w:val="21"/>
                <w:highlight w:val="none"/>
              </w:rPr>
            </w:pPr>
          </w:p>
        </w:tc>
        <w:tc>
          <w:tcPr>
            <w:tcW w:w="712" w:type="pct"/>
            <w:tcBorders>
              <w:top w:val="single" w:color="auto" w:sz="4" w:space="0"/>
              <w:left w:val="nil"/>
              <w:bottom w:val="single" w:color="auto" w:sz="4" w:space="0"/>
              <w:right w:val="outset" w:color="auto" w:sz="6" w:space="0"/>
            </w:tcBorders>
            <w:shd w:val="clear" w:color="auto" w:fill="auto"/>
            <w:vAlign w:val="center"/>
          </w:tcPr>
          <w:p w14:paraId="25C61AD3">
            <w:pPr>
              <w:jc w:val="center"/>
              <w:rPr>
                <w:rFonts w:ascii="Calibri" w:hAnsi="Calibri" w:eastAsia="宋体" w:cs="Times New Roman"/>
                <w:color w:val="auto"/>
                <w:szCs w:val="21"/>
                <w:highlight w:val="none"/>
              </w:rPr>
            </w:pPr>
          </w:p>
        </w:tc>
      </w:tr>
      <w:tr w14:paraId="4BB8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69964E90">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3</w:t>
            </w:r>
          </w:p>
        </w:tc>
        <w:tc>
          <w:tcPr>
            <w:tcW w:w="1654" w:type="pct"/>
            <w:tcBorders>
              <w:top w:val="single" w:color="auto" w:sz="4" w:space="0"/>
              <w:left w:val="nil"/>
              <w:bottom w:val="single" w:color="auto" w:sz="4" w:space="0"/>
              <w:right w:val="single" w:color="auto" w:sz="4" w:space="0"/>
            </w:tcBorders>
            <w:shd w:val="clear" w:color="auto" w:fill="auto"/>
            <w:vAlign w:val="center"/>
          </w:tcPr>
          <w:p w14:paraId="0233F8D8">
            <w:pPr>
              <w:pStyle w:val="32"/>
              <w:widowControl w:val="0"/>
              <w:autoSpaceDE w:val="0"/>
              <w:snapToGrid w:val="0"/>
              <w:spacing w:before="0" w:after="0" w:line="360" w:lineRule="auto"/>
              <w:jc w:val="center"/>
              <w:rPr>
                <w:rFonts w:eastAsia="宋体" w:cs="宋体"/>
                <w:color w:val="auto"/>
                <w:sz w:val="21"/>
                <w:szCs w:val="21"/>
                <w:highlight w:val="none"/>
              </w:rPr>
            </w:pPr>
          </w:p>
        </w:tc>
        <w:tc>
          <w:tcPr>
            <w:tcW w:w="807" w:type="pct"/>
            <w:tcBorders>
              <w:top w:val="single" w:color="auto" w:sz="4" w:space="0"/>
              <w:left w:val="nil"/>
              <w:bottom w:val="single" w:color="auto" w:sz="4" w:space="0"/>
              <w:right w:val="single" w:color="auto" w:sz="4" w:space="0"/>
            </w:tcBorders>
            <w:shd w:val="clear" w:color="auto" w:fill="auto"/>
            <w:vAlign w:val="center"/>
          </w:tcPr>
          <w:p w14:paraId="2095B8FD">
            <w:pPr>
              <w:pStyle w:val="32"/>
              <w:widowControl w:val="0"/>
              <w:autoSpaceDE w:val="0"/>
              <w:snapToGrid w:val="0"/>
              <w:spacing w:before="0" w:after="0" w:line="360" w:lineRule="auto"/>
              <w:jc w:val="center"/>
              <w:rPr>
                <w:rFonts w:eastAsia="宋体" w:cs="宋体"/>
                <w:color w:val="auto"/>
                <w:sz w:val="21"/>
                <w:szCs w:val="21"/>
                <w:highlight w:val="none"/>
              </w:rPr>
            </w:pPr>
          </w:p>
        </w:tc>
        <w:tc>
          <w:tcPr>
            <w:tcW w:w="562" w:type="pct"/>
            <w:tcBorders>
              <w:top w:val="single" w:color="auto" w:sz="4" w:space="0"/>
              <w:left w:val="nil"/>
              <w:bottom w:val="single" w:color="auto" w:sz="4" w:space="0"/>
              <w:right w:val="single" w:color="auto" w:sz="4" w:space="0"/>
            </w:tcBorders>
            <w:shd w:val="clear" w:color="auto" w:fill="auto"/>
            <w:vAlign w:val="center"/>
          </w:tcPr>
          <w:p w14:paraId="5BADA2F5">
            <w:pPr>
              <w:pStyle w:val="32"/>
              <w:widowControl w:val="0"/>
              <w:autoSpaceDE w:val="0"/>
              <w:snapToGrid w:val="0"/>
              <w:spacing w:before="0" w:after="0" w:line="360" w:lineRule="auto"/>
              <w:jc w:val="center"/>
              <w:rPr>
                <w:rFonts w:eastAsia="宋体" w:cs="宋体"/>
                <w:color w:val="auto"/>
                <w:sz w:val="21"/>
                <w:szCs w:val="21"/>
                <w:highlight w:val="none"/>
              </w:rPr>
            </w:pPr>
          </w:p>
        </w:tc>
        <w:tc>
          <w:tcPr>
            <w:tcW w:w="824" w:type="pct"/>
            <w:tcBorders>
              <w:top w:val="single" w:color="auto" w:sz="4" w:space="0"/>
              <w:left w:val="nil"/>
              <w:bottom w:val="single" w:color="auto" w:sz="4" w:space="0"/>
              <w:right w:val="single" w:color="auto" w:sz="4" w:space="0"/>
            </w:tcBorders>
            <w:shd w:val="clear" w:color="auto" w:fill="auto"/>
            <w:vAlign w:val="center"/>
          </w:tcPr>
          <w:p w14:paraId="166F1B63">
            <w:pPr>
              <w:pStyle w:val="32"/>
              <w:widowControl w:val="0"/>
              <w:autoSpaceDE w:val="0"/>
              <w:snapToGrid w:val="0"/>
              <w:spacing w:before="0" w:after="0" w:line="360" w:lineRule="auto"/>
              <w:jc w:val="center"/>
              <w:rPr>
                <w:rFonts w:eastAsia="宋体" w:cs="宋体"/>
                <w:color w:val="auto"/>
                <w:sz w:val="21"/>
                <w:szCs w:val="21"/>
                <w:highlight w:val="none"/>
              </w:rPr>
            </w:pPr>
          </w:p>
        </w:tc>
        <w:tc>
          <w:tcPr>
            <w:tcW w:w="712" w:type="pct"/>
            <w:tcBorders>
              <w:top w:val="single" w:color="auto" w:sz="4" w:space="0"/>
              <w:left w:val="nil"/>
              <w:bottom w:val="single" w:color="auto" w:sz="4" w:space="0"/>
              <w:right w:val="outset" w:color="auto" w:sz="6" w:space="0"/>
            </w:tcBorders>
            <w:shd w:val="clear" w:color="auto" w:fill="auto"/>
            <w:vAlign w:val="center"/>
          </w:tcPr>
          <w:p w14:paraId="09C4A66F">
            <w:pPr>
              <w:jc w:val="center"/>
              <w:rPr>
                <w:rFonts w:ascii="Calibri" w:hAnsi="Calibri" w:eastAsia="宋体" w:cs="Times New Roman"/>
                <w:color w:val="auto"/>
                <w:szCs w:val="21"/>
                <w:highlight w:val="none"/>
              </w:rPr>
            </w:pPr>
          </w:p>
        </w:tc>
      </w:tr>
      <w:tr w14:paraId="0338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7CA665D1">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w:t>
            </w:r>
          </w:p>
        </w:tc>
        <w:tc>
          <w:tcPr>
            <w:tcW w:w="1654" w:type="pct"/>
            <w:tcBorders>
              <w:top w:val="single" w:color="auto" w:sz="4" w:space="0"/>
              <w:left w:val="nil"/>
              <w:bottom w:val="single" w:color="auto" w:sz="4" w:space="0"/>
              <w:right w:val="single" w:color="auto" w:sz="4" w:space="0"/>
            </w:tcBorders>
            <w:shd w:val="clear" w:color="auto" w:fill="auto"/>
            <w:vAlign w:val="center"/>
          </w:tcPr>
          <w:p w14:paraId="1DFAAF7B">
            <w:pPr>
              <w:pStyle w:val="32"/>
              <w:widowControl w:val="0"/>
              <w:autoSpaceDE w:val="0"/>
              <w:snapToGrid w:val="0"/>
              <w:spacing w:before="0" w:after="0" w:line="360" w:lineRule="auto"/>
              <w:jc w:val="center"/>
              <w:rPr>
                <w:rFonts w:eastAsia="宋体" w:cs="宋体"/>
                <w:color w:val="auto"/>
                <w:sz w:val="21"/>
                <w:szCs w:val="21"/>
                <w:highlight w:val="none"/>
              </w:rPr>
            </w:pPr>
          </w:p>
        </w:tc>
        <w:tc>
          <w:tcPr>
            <w:tcW w:w="807" w:type="pct"/>
            <w:tcBorders>
              <w:top w:val="single" w:color="auto" w:sz="4" w:space="0"/>
              <w:left w:val="nil"/>
              <w:bottom w:val="single" w:color="auto" w:sz="4" w:space="0"/>
              <w:right w:val="single" w:color="auto" w:sz="4" w:space="0"/>
            </w:tcBorders>
            <w:shd w:val="clear" w:color="auto" w:fill="auto"/>
            <w:vAlign w:val="center"/>
          </w:tcPr>
          <w:p w14:paraId="4271F83F">
            <w:pPr>
              <w:pStyle w:val="32"/>
              <w:widowControl w:val="0"/>
              <w:autoSpaceDE w:val="0"/>
              <w:snapToGrid w:val="0"/>
              <w:spacing w:before="0" w:after="0" w:line="360" w:lineRule="auto"/>
              <w:jc w:val="center"/>
              <w:rPr>
                <w:rFonts w:eastAsia="宋体" w:cs="宋体"/>
                <w:color w:val="auto"/>
                <w:sz w:val="21"/>
                <w:szCs w:val="21"/>
                <w:highlight w:val="none"/>
              </w:rPr>
            </w:pPr>
          </w:p>
        </w:tc>
        <w:tc>
          <w:tcPr>
            <w:tcW w:w="562" w:type="pct"/>
            <w:tcBorders>
              <w:top w:val="single" w:color="auto" w:sz="4" w:space="0"/>
              <w:left w:val="nil"/>
              <w:bottom w:val="single" w:color="auto" w:sz="4" w:space="0"/>
              <w:right w:val="single" w:color="auto" w:sz="4" w:space="0"/>
            </w:tcBorders>
            <w:shd w:val="clear" w:color="auto" w:fill="auto"/>
            <w:vAlign w:val="center"/>
          </w:tcPr>
          <w:p w14:paraId="0D80A483">
            <w:pPr>
              <w:pStyle w:val="32"/>
              <w:widowControl w:val="0"/>
              <w:autoSpaceDE w:val="0"/>
              <w:snapToGrid w:val="0"/>
              <w:spacing w:before="0" w:after="0" w:line="360" w:lineRule="auto"/>
              <w:jc w:val="center"/>
              <w:rPr>
                <w:rFonts w:eastAsia="宋体" w:cs="宋体"/>
                <w:color w:val="auto"/>
                <w:sz w:val="21"/>
                <w:szCs w:val="21"/>
                <w:highlight w:val="none"/>
              </w:rPr>
            </w:pPr>
          </w:p>
        </w:tc>
        <w:tc>
          <w:tcPr>
            <w:tcW w:w="824" w:type="pct"/>
            <w:tcBorders>
              <w:top w:val="single" w:color="auto" w:sz="4" w:space="0"/>
              <w:left w:val="nil"/>
              <w:bottom w:val="single" w:color="auto" w:sz="4" w:space="0"/>
              <w:right w:val="single" w:color="auto" w:sz="4" w:space="0"/>
            </w:tcBorders>
            <w:shd w:val="clear" w:color="auto" w:fill="auto"/>
            <w:vAlign w:val="center"/>
          </w:tcPr>
          <w:p w14:paraId="3F81F17C">
            <w:pPr>
              <w:pStyle w:val="32"/>
              <w:widowControl w:val="0"/>
              <w:autoSpaceDE w:val="0"/>
              <w:snapToGrid w:val="0"/>
              <w:spacing w:before="0" w:after="0" w:line="360" w:lineRule="auto"/>
              <w:jc w:val="center"/>
              <w:rPr>
                <w:rFonts w:eastAsia="宋体" w:cs="宋体"/>
                <w:color w:val="auto"/>
                <w:sz w:val="21"/>
                <w:szCs w:val="21"/>
                <w:highlight w:val="none"/>
              </w:rPr>
            </w:pPr>
          </w:p>
        </w:tc>
        <w:tc>
          <w:tcPr>
            <w:tcW w:w="712" w:type="pct"/>
            <w:tcBorders>
              <w:top w:val="single" w:color="auto" w:sz="4" w:space="0"/>
              <w:left w:val="nil"/>
              <w:bottom w:val="single" w:color="auto" w:sz="4" w:space="0"/>
              <w:right w:val="outset" w:color="auto" w:sz="6" w:space="0"/>
            </w:tcBorders>
            <w:shd w:val="clear" w:color="auto" w:fill="auto"/>
            <w:vAlign w:val="center"/>
          </w:tcPr>
          <w:p w14:paraId="249C796E">
            <w:pPr>
              <w:jc w:val="center"/>
              <w:rPr>
                <w:rFonts w:ascii="Calibri" w:hAnsi="Calibri" w:eastAsia="宋体" w:cs="Times New Roman"/>
                <w:color w:val="auto"/>
                <w:szCs w:val="21"/>
                <w:highlight w:val="none"/>
              </w:rPr>
            </w:pPr>
          </w:p>
        </w:tc>
      </w:tr>
      <w:tr w14:paraId="6294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674B8B">
            <w:pPr>
              <w:pStyle w:val="32"/>
              <w:widowControl w:val="0"/>
              <w:autoSpaceDE w:val="0"/>
              <w:snapToGrid w:val="0"/>
              <w:spacing w:before="0" w:after="0" w:line="360" w:lineRule="auto"/>
              <w:jc w:val="center"/>
              <w:rPr>
                <w:rFonts w:eastAsia="宋体" w:cs="宋体"/>
                <w:color w:val="auto"/>
                <w:sz w:val="21"/>
                <w:szCs w:val="21"/>
                <w:highlight w:val="none"/>
              </w:rPr>
            </w:pPr>
            <w:r>
              <w:rPr>
                <w:rFonts w:hint="eastAsia" w:eastAsia="宋体" w:cs="宋体"/>
                <w:color w:val="auto"/>
                <w:sz w:val="21"/>
                <w:szCs w:val="21"/>
                <w:highlight w:val="none"/>
                <w:lang w:bidi="ar"/>
              </w:rPr>
              <w:t>发票金额合计（单位：万元）</w:t>
            </w:r>
          </w:p>
        </w:tc>
        <w:tc>
          <w:tcPr>
            <w:tcW w:w="2905" w:type="pct"/>
            <w:gridSpan w:val="4"/>
            <w:tcBorders>
              <w:top w:val="single" w:color="auto" w:sz="4" w:space="0"/>
              <w:left w:val="nil"/>
              <w:bottom w:val="single" w:color="auto" w:sz="4" w:space="0"/>
              <w:right w:val="outset" w:color="auto" w:sz="6" w:space="0"/>
            </w:tcBorders>
            <w:shd w:val="clear" w:color="auto" w:fill="auto"/>
            <w:vAlign w:val="center"/>
          </w:tcPr>
          <w:p w14:paraId="7EC2F741">
            <w:pPr>
              <w:rPr>
                <w:rFonts w:ascii="Calibri" w:hAnsi="Calibri" w:eastAsia="宋体" w:cs="Times New Roman"/>
                <w:color w:val="auto"/>
                <w:szCs w:val="21"/>
                <w:highlight w:val="none"/>
              </w:rPr>
            </w:pPr>
          </w:p>
        </w:tc>
      </w:tr>
    </w:tbl>
    <w:p w14:paraId="622D90C8">
      <w:pPr>
        <w:autoSpaceDE w:val="0"/>
        <w:autoSpaceDN w:val="0"/>
        <w:adjustRightInd w:val="0"/>
        <w:snapToGrid w:val="0"/>
        <w:spacing w:line="360" w:lineRule="auto"/>
        <w:ind w:left="493" w:leftChars="-56" w:hanging="611" w:hangingChars="291"/>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5C05EFDA">
      <w:pPr>
        <w:autoSpaceDE w:val="0"/>
        <w:autoSpaceDN w:val="0"/>
        <w:adjustRightInd w:val="0"/>
        <w:snapToGrid w:val="0"/>
        <w:spacing w:line="360" w:lineRule="auto"/>
        <w:ind w:left="493" w:leftChars="-56" w:hanging="611" w:hangingChars="291"/>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备注：</w:t>
      </w:r>
    </w:p>
    <w:p w14:paraId="091409D6">
      <w:pPr>
        <w:autoSpaceDE w:val="0"/>
        <w:autoSpaceDN w:val="0"/>
        <w:adjustRightInd w:val="0"/>
        <w:snapToGrid w:val="0"/>
        <w:spacing w:line="360" w:lineRule="auto"/>
        <w:ind w:left="398" w:leftChars="-57" w:hanging="518" w:hangingChars="247"/>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（1）本统计表及供货发票复印件应后附于合同复印件；</w:t>
      </w:r>
    </w:p>
    <w:p w14:paraId="04DAB13D">
      <w:pPr>
        <w:autoSpaceDE w:val="0"/>
        <w:autoSpaceDN w:val="0"/>
        <w:adjustRightInd w:val="0"/>
        <w:snapToGrid w:val="0"/>
        <w:spacing w:line="360" w:lineRule="auto"/>
        <w:ind w:left="398" w:leftChars="-57" w:hanging="518" w:hangingChars="247"/>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（2）发票抬头应为合同买方，收款人应为合同卖方，且发票名目应与合同约定内容一致，否则不计分。</w:t>
      </w:r>
    </w:p>
    <w:p w14:paraId="0290B9D1">
      <w:pPr>
        <w:rPr>
          <w:rFonts w:ascii="宋体" w:hAnsi="宋体" w:eastAsia="宋体" w:cs="宋体"/>
          <w:b/>
          <w:bCs/>
          <w:color w:val="auto"/>
          <w:sz w:val="30"/>
          <w:szCs w:val="30"/>
          <w:highlight w:val="none"/>
          <w:lang w:bidi="ar"/>
        </w:rPr>
      </w:pPr>
    </w:p>
    <w:p w14:paraId="203E1D7B">
      <w:pPr>
        <w:autoSpaceDE w:val="0"/>
        <w:autoSpaceDN w:val="0"/>
        <w:adjustRightInd w:val="0"/>
        <w:spacing w:line="360" w:lineRule="auto"/>
        <w:rPr>
          <w:rFonts w:ascii="宋体" w:hAnsi="宋体" w:eastAsia="宋体" w:cs="Times New Roman"/>
          <w:b/>
          <w:bCs/>
          <w:color w:val="auto"/>
          <w:sz w:val="30"/>
          <w:szCs w:val="30"/>
          <w:highlight w:val="none"/>
          <w:lang w:val="zh-CN"/>
        </w:rPr>
      </w:pPr>
    </w:p>
    <w:p w14:paraId="4046F93E">
      <w:pPr>
        <w:autoSpaceDE/>
        <w:autoSpaceDN/>
        <w:adjustRightInd/>
        <w:spacing w:line="240" w:lineRule="auto"/>
        <w:jc w:val="left"/>
        <w:rPr>
          <w:rFonts w:hint="eastAsia" w:ascii="宋体" w:hAnsi="宋体" w:eastAsia="宋体" w:cs="宋体"/>
          <w:b/>
          <w:bCs/>
          <w:color w:val="auto"/>
          <w:sz w:val="30"/>
          <w:szCs w:val="30"/>
          <w:highlight w:val="none"/>
          <w:lang w:val="en-US" w:eastAsia="zh-CN" w:bidi="ar"/>
        </w:rPr>
      </w:pPr>
      <w:r>
        <w:rPr>
          <w:rFonts w:hint="eastAsia" w:ascii="宋体" w:hAnsi="宋体" w:eastAsia="宋体" w:cs="宋体"/>
          <w:b/>
          <w:bCs/>
          <w:color w:val="auto"/>
          <w:sz w:val="30"/>
          <w:szCs w:val="30"/>
          <w:highlight w:val="none"/>
          <w:lang w:val="en-US" w:eastAsia="zh-CN" w:bidi="ar"/>
        </w:rPr>
        <w:br w:type="page"/>
      </w:r>
    </w:p>
    <w:bookmarkEnd w:id="583"/>
    <w:bookmarkEnd w:id="584"/>
    <w:p w14:paraId="1D460DC9">
      <w:pPr>
        <w:pStyle w:val="5"/>
        <w:pageBreakBefore/>
        <w:spacing w:line="360" w:lineRule="auto"/>
        <w:rPr>
          <w:rFonts w:hAnsi="宋体" w:cs="宋体"/>
          <w:b/>
          <w:bCs/>
          <w:color w:val="auto"/>
          <w:kern w:val="2"/>
          <w:sz w:val="32"/>
          <w:szCs w:val="32"/>
          <w:highlight w:val="none"/>
          <w:lang w:val="zh-CN"/>
        </w:rPr>
      </w:pPr>
      <w:bookmarkStart w:id="585" w:name="_Toc447044486"/>
      <w:bookmarkStart w:id="586" w:name="_Toc447044610"/>
      <w:bookmarkStart w:id="587" w:name="_Toc24242"/>
      <w:bookmarkStart w:id="588" w:name="_Toc534983546"/>
      <w:bookmarkStart w:id="589" w:name="_Toc78709789"/>
      <w:bookmarkStart w:id="590" w:name="_Toc8972"/>
      <w:bookmarkStart w:id="591" w:name="_Toc447045097"/>
      <w:bookmarkStart w:id="592" w:name="_Toc4743574"/>
      <w:bookmarkStart w:id="593" w:name="_Toc24011"/>
      <w:bookmarkStart w:id="594" w:name="_Toc20155"/>
      <w:bookmarkStart w:id="595" w:name="_Toc11745"/>
      <w:bookmarkStart w:id="596" w:name="_Toc1977737"/>
      <w:bookmarkStart w:id="597" w:name="_Toc533708132"/>
      <w:bookmarkStart w:id="598" w:name="_Toc142508378"/>
      <w:bookmarkStart w:id="599" w:name="_Toc13822"/>
      <w:bookmarkStart w:id="600" w:name="_Toc94107220"/>
      <w:bookmarkStart w:id="601" w:name="_Toc140596938"/>
      <w:bookmarkStart w:id="602" w:name="_Toc30323"/>
      <w:bookmarkStart w:id="603" w:name="_Toc102860427"/>
      <w:bookmarkStart w:id="604" w:name="_Toc486167719"/>
      <w:bookmarkStart w:id="605" w:name="_Toc104991885"/>
      <w:bookmarkStart w:id="606" w:name="_Toc102860083"/>
      <w:bookmarkStart w:id="607" w:name="_Toc18175_WPSOffice_Level2"/>
      <w:r>
        <w:rPr>
          <w:rFonts w:hint="eastAsia" w:hAnsi="宋体" w:cs="宋体"/>
          <w:b/>
          <w:bCs/>
          <w:color w:val="auto"/>
          <w:kern w:val="2"/>
          <w:sz w:val="32"/>
          <w:szCs w:val="32"/>
          <w:highlight w:val="none"/>
          <w:lang w:val="zh-CN"/>
        </w:rPr>
        <w:t>十</w:t>
      </w:r>
      <w:r>
        <w:rPr>
          <w:rFonts w:hint="eastAsia" w:hAnsi="宋体" w:cs="宋体"/>
          <w:b/>
          <w:bCs/>
          <w:color w:val="auto"/>
          <w:kern w:val="2"/>
          <w:sz w:val="32"/>
          <w:szCs w:val="32"/>
          <w:highlight w:val="none"/>
          <w:lang w:val="en-US" w:eastAsia="zh-CN"/>
        </w:rPr>
        <w:t>一</w:t>
      </w:r>
      <w:r>
        <w:rPr>
          <w:rFonts w:hint="eastAsia" w:hAnsi="宋体" w:cs="宋体"/>
          <w:b/>
          <w:bCs/>
          <w:color w:val="auto"/>
          <w:kern w:val="2"/>
          <w:sz w:val="32"/>
          <w:szCs w:val="32"/>
          <w:highlight w:val="none"/>
          <w:lang w:val="zh-CN"/>
        </w:rPr>
        <w:t>、中标服务费承诺书格式</w:t>
      </w:r>
      <w:bookmarkEnd w:id="585"/>
      <w:bookmarkEnd w:id="586"/>
      <w:bookmarkEnd w:id="587"/>
      <w:bookmarkEnd w:id="588"/>
      <w:bookmarkEnd w:id="589"/>
      <w:bookmarkEnd w:id="590"/>
      <w:bookmarkEnd w:id="591"/>
      <w:bookmarkEnd w:id="592"/>
      <w:bookmarkEnd w:id="593"/>
      <w:bookmarkEnd w:id="594"/>
    </w:p>
    <w:p w14:paraId="6226ED22">
      <w:pPr>
        <w:spacing w:line="360" w:lineRule="auto"/>
        <w:jc w:val="center"/>
        <w:rPr>
          <w:rFonts w:ascii="宋体" w:hAnsi="宋体" w:eastAsia="宋体" w:cs="宋体"/>
          <w:b/>
          <w:bCs/>
          <w:color w:val="auto"/>
          <w:sz w:val="30"/>
          <w:szCs w:val="30"/>
          <w:highlight w:val="none"/>
          <w:lang w:val="zh-CN"/>
        </w:rPr>
      </w:pPr>
      <w:r>
        <w:rPr>
          <w:rFonts w:hint="eastAsia" w:ascii="宋体" w:hAnsi="宋体" w:eastAsia="宋体" w:cs="宋体"/>
          <w:b/>
          <w:bCs/>
          <w:color w:val="auto"/>
          <w:sz w:val="30"/>
          <w:szCs w:val="30"/>
          <w:highlight w:val="none"/>
          <w:lang w:val="zh-CN"/>
        </w:rPr>
        <w:t>中标服务费承诺书</w:t>
      </w:r>
    </w:p>
    <w:p w14:paraId="19802286">
      <w:pPr>
        <w:spacing w:line="360" w:lineRule="auto"/>
        <w:rPr>
          <w:rFonts w:ascii="宋体" w:hAnsi="宋体" w:eastAsia="宋体" w:cs="宋体"/>
          <w:b/>
          <w:bCs/>
          <w:color w:val="auto"/>
          <w:highlight w:val="none"/>
          <w:lang w:val="zh-CN"/>
        </w:rPr>
      </w:pPr>
    </w:p>
    <w:p w14:paraId="43B94938">
      <w:pPr>
        <w:spacing w:line="360" w:lineRule="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zh-CN"/>
        </w:rPr>
        <w:t>致：</w:t>
      </w:r>
      <w:r>
        <w:rPr>
          <w:rFonts w:hint="eastAsia" w:ascii="宋体" w:hAnsi="宋体" w:eastAsia="宋体" w:cs="宋体"/>
          <w:b/>
          <w:bCs/>
          <w:color w:val="auto"/>
          <w:szCs w:val="21"/>
          <w:highlight w:val="none"/>
          <w:lang w:val="en-US" w:eastAsia="zh-CN"/>
        </w:rPr>
        <w:t xml:space="preserve">中招国际招标有限公司 </w:t>
      </w:r>
    </w:p>
    <w:p w14:paraId="59D51CC2">
      <w:pPr>
        <w:spacing w:line="360" w:lineRule="auto"/>
        <w:ind w:right="893"/>
        <w:rPr>
          <w:rFonts w:ascii="宋体" w:hAnsi="宋体" w:eastAsia="宋体" w:cs="宋体"/>
          <w:color w:val="auto"/>
          <w:szCs w:val="21"/>
          <w:highlight w:val="none"/>
          <w:lang w:val="zh-CN"/>
        </w:rPr>
      </w:pPr>
    </w:p>
    <w:p w14:paraId="54050216">
      <w:pPr>
        <w:tabs>
          <w:tab w:val="left" w:pos="-142"/>
        </w:tabs>
        <w:wordWrap w:val="0"/>
        <w:spacing w:line="360" w:lineRule="auto"/>
        <w:ind w:left="-31" w:leftChars="-15" w:right="17" w:firstLine="457" w:firstLineChars="218"/>
        <w:rPr>
          <w:rFonts w:ascii="宋体" w:hAnsi="宋体" w:eastAsia="宋体" w:cs="宋体"/>
          <w:color w:val="auto"/>
          <w:highlight w:val="none"/>
          <w:lang w:val="zh-CN"/>
        </w:rPr>
      </w:pPr>
      <w:r>
        <w:rPr>
          <w:rFonts w:hint="eastAsia" w:ascii="宋体" w:hAnsi="宋体" w:eastAsia="宋体" w:cs="宋体"/>
          <w:color w:val="auto"/>
          <w:highlight w:val="none"/>
          <w:lang w:val="zh-CN"/>
        </w:rPr>
        <w:t>在贵司代理的</w:t>
      </w:r>
      <w:r>
        <w:rPr>
          <w:rFonts w:hint="eastAsia" w:ascii="宋体" w:hAnsi="宋体" w:eastAsia="宋体" w:cs="宋体"/>
          <w:color w:val="auto"/>
          <w:highlight w:val="none"/>
          <w:u w:val="single"/>
          <w:lang w:val="zh-CN"/>
        </w:rPr>
        <w:t>东莞市水务环境投资控股集团管网有限公司2026年防撞缓冲车采购项目（第四次招标）</w:t>
      </w:r>
      <w:r>
        <w:rPr>
          <w:rFonts w:hint="eastAsia" w:ascii="宋体" w:hAnsi="宋体" w:eastAsia="宋体" w:cs="宋体"/>
          <w:color w:val="auto"/>
          <w:szCs w:val="21"/>
          <w:highlight w:val="none"/>
          <w:lang w:val="zh-CN"/>
        </w:rPr>
        <w:t>（招标编号：</w:t>
      </w:r>
      <w:r>
        <w:rPr>
          <w:rFonts w:hint="eastAsia" w:ascii="宋体" w:hAnsi="宋体" w:eastAsia="宋体" w:cs="宋体"/>
          <w:color w:val="auto"/>
          <w:szCs w:val="21"/>
          <w:highlight w:val="none"/>
          <w:lang w:val="en-US" w:eastAsia="zh-CN"/>
        </w:rPr>
        <w:t>TC269400L</w:t>
      </w:r>
      <w:r>
        <w:rPr>
          <w:rFonts w:hint="eastAsia" w:ascii="宋体" w:hAnsi="宋体" w:eastAsia="宋体" w:cs="宋体"/>
          <w:color w:val="auto"/>
          <w:szCs w:val="21"/>
          <w:highlight w:val="none"/>
          <w:lang w:val="zh-CN"/>
        </w:rPr>
        <w:t>）</w:t>
      </w:r>
      <w:r>
        <w:rPr>
          <w:rFonts w:hint="eastAsia" w:ascii="宋体" w:hAnsi="宋体" w:eastAsia="宋体" w:cs="宋体"/>
          <w:color w:val="auto"/>
          <w:highlight w:val="none"/>
          <w:lang w:val="zh-CN"/>
        </w:rPr>
        <w:t>招标中，我司如获中标，保证在领取中标通知书原件之</w:t>
      </w:r>
      <w:r>
        <w:rPr>
          <w:rFonts w:hint="eastAsia" w:ascii="宋体" w:hAnsi="宋体" w:eastAsia="宋体" w:cs="宋体"/>
          <w:color w:val="auto"/>
          <w:highlight w:val="none"/>
        </w:rPr>
        <w:t>前</w:t>
      </w:r>
      <w:r>
        <w:rPr>
          <w:rFonts w:hint="eastAsia" w:ascii="宋体" w:hAnsi="宋体" w:eastAsia="宋体" w:cs="宋体"/>
          <w:color w:val="auto"/>
          <w:highlight w:val="none"/>
          <w:lang w:val="zh-CN"/>
        </w:rPr>
        <w:t>按招标文件的规定向贵</w:t>
      </w:r>
      <w:r>
        <w:rPr>
          <w:rFonts w:hint="eastAsia" w:ascii="宋体" w:hAnsi="宋体" w:eastAsia="宋体" w:cs="宋体"/>
          <w:color w:val="auto"/>
          <w:szCs w:val="21"/>
          <w:highlight w:val="none"/>
          <w:lang w:val="zh-CN"/>
        </w:rPr>
        <w:t>司指定的银行账号，一次性交纳中标服务费</w:t>
      </w:r>
      <w:r>
        <w:rPr>
          <w:rFonts w:hint="eastAsia" w:ascii="宋体" w:hAnsi="宋体" w:eastAsia="宋体" w:cs="宋体"/>
          <w:color w:val="auto"/>
          <w:highlight w:val="none"/>
          <w:lang w:val="zh-CN"/>
        </w:rPr>
        <w:t>。</w:t>
      </w:r>
    </w:p>
    <w:p w14:paraId="6B280863">
      <w:pPr>
        <w:spacing w:line="360" w:lineRule="auto"/>
        <w:ind w:right="893"/>
        <w:rPr>
          <w:rFonts w:ascii="宋体" w:hAnsi="宋体" w:eastAsia="宋体" w:cs="宋体"/>
          <w:color w:val="auto"/>
          <w:szCs w:val="21"/>
          <w:highlight w:val="none"/>
          <w:lang w:val="zh-CN"/>
        </w:rPr>
      </w:pPr>
    </w:p>
    <w:p w14:paraId="6028BA4B">
      <w:pPr>
        <w:spacing w:line="360" w:lineRule="auto"/>
        <w:ind w:right="893" w:firstLine="480"/>
        <w:rPr>
          <w:rFonts w:ascii="宋体" w:hAnsi="宋体" w:eastAsia="宋体" w:cs="宋体"/>
          <w:color w:val="auto"/>
          <w:highlight w:val="none"/>
          <w:lang w:val="zh-CN"/>
        </w:rPr>
      </w:pPr>
      <w:r>
        <w:rPr>
          <w:rFonts w:hint="eastAsia" w:ascii="宋体" w:hAnsi="宋体" w:eastAsia="宋体" w:cs="宋体"/>
          <w:color w:val="auto"/>
          <w:highlight w:val="none"/>
          <w:lang w:val="zh-CN"/>
        </w:rPr>
        <w:t>特此承诺。</w:t>
      </w:r>
    </w:p>
    <w:p w14:paraId="08D99BE9">
      <w:pPr>
        <w:spacing w:line="360" w:lineRule="auto"/>
        <w:ind w:right="893"/>
        <w:rPr>
          <w:rFonts w:ascii="宋体" w:hAnsi="宋体" w:eastAsia="宋体" w:cs="宋体"/>
          <w:color w:val="auto"/>
          <w:highlight w:val="none"/>
          <w:lang w:val="zh-CN"/>
        </w:rPr>
      </w:pPr>
    </w:p>
    <w:p w14:paraId="58AA5A98">
      <w:pPr>
        <w:spacing w:line="360" w:lineRule="auto"/>
        <w:ind w:right="893"/>
        <w:rPr>
          <w:rFonts w:ascii="宋体" w:hAnsi="宋体" w:eastAsia="宋体" w:cs="宋体"/>
          <w:color w:val="auto"/>
          <w:highlight w:val="none"/>
          <w:lang w:val="zh-CN"/>
        </w:rPr>
      </w:pPr>
      <w:r>
        <w:rPr>
          <w:rFonts w:hint="eastAsia" w:ascii="宋体" w:hAnsi="宋体" w:eastAsia="宋体" w:cs="宋体"/>
          <w:color w:val="auto"/>
          <w:highlight w:val="none"/>
          <w:lang w:val="zh-CN"/>
        </w:rPr>
        <w:t>地址：</w:t>
      </w:r>
      <w:r>
        <w:rPr>
          <w:rFonts w:hint="eastAsia" w:ascii="宋体" w:hAnsi="宋体" w:eastAsia="宋体" w:cs="宋体"/>
          <w:color w:val="auto"/>
          <w:highlight w:val="none"/>
          <w:u w:val="single"/>
          <w:lang w:val="zh-CN"/>
        </w:rPr>
        <w:t xml:space="preserve">                       </w:t>
      </w:r>
    </w:p>
    <w:p w14:paraId="726CBF7A">
      <w:pPr>
        <w:spacing w:line="360" w:lineRule="auto"/>
        <w:ind w:right="893"/>
        <w:rPr>
          <w:rFonts w:ascii="宋体" w:hAnsi="宋体" w:eastAsia="宋体" w:cs="宋体"/>
          <w:color w:val="auto"/>
          <w:highlight w:val="none"/>
          <w:u w:val="single"/>
          <w:lang w:val="zh-CN"/>
        </w:rPr>
      </w:pPr>
      <w:r>
        <w:rPr>
          <w:rFonts w:hint="eastAsia" w:ascii="宋体" w:hAnsi="宋体" w:eastAsia="宋体" w:cs="宋体"/>
          <w:color w:val="auto"/>
          <w:highlight w:val="none"/>
          <w:lang w:val="zh-CN"/>
        </w:rPr>
        <w:t xml:space="preserve">电话： </w:t>
      </w:r>
      <w:r>
        <w:rPr>
          <w:rFonts w:hint="eastAsia" w:ascii="宋体" w:hAnsi="宋体" w:eastAsia="宋体" w:cs="宋体"/>
          <w:color w:val="auto"/>
          <w:highlight w:val="none"/>
          <w:u w:val="single"/>
          <w:lang w:val="zh-CN"/>
        </w:rPr>
        <w:t xml:space="preserve">                      </w:t>
      </w:r>
      <w:r>
        <w:rPr>
          <w:rFonts w:hint="eastAsia" w:ascii="宋体" w:hAnsi="宋体" w:eastAsia="宋体" w:cs="宋体"/>
          <w:color w:val="auto"/>
          <w:highlight w:val="none"/>
          <w:lang w:val="zh-CN"/>
        </w:rPr>
        <w:t xml:space="preserve">       传真： </w:t>
      </w:r>
      <w:r>
        <w:rPr>
          <w:rFonts w:hint="eastAsia" w:ascii="宋体" w:hAnsi="宋体" w:eastAsia="宋体" w:cs="宋体"/>
          <w:color w:val="auto"/>
          <w:highlight w:val="none"/>
          <w:u w:val="single"/>
          <w:lang w:val="zh-CN"/>
        </w:rPr>
        <w:t xml:space="preserve">                  </w:t>
      </w:r>
    </w:p>
    <w:p w14:paraId="653CBBA5">
      <w:pPr>
        <w:spacing w:line="360" w:lineRule="auto"/>
        <w:ind w:right="893"/>
        <w:rPr>
          <w:rFonts w:ascii="宋体" w:hAnsi="宋体" w:eastAsia="宋体" w:cs="宋体"/>
          <w:color w:val="auto"/>
          <w:highlight w:val="none"/>
          <w:u w:val="single"/>
          <w:lang w:val="zh-CN"/>
        </w:rPr>
      </w:pPr>
      <w:r>
        <w:rPr>
          <w:rFonts w:hint="eastAsia" w:ascii="宋体" w:hAnsi="宋体" w:eastAsia="宋体" w:cs="宋体"/>
          <w:color w:val="auto"/>
          <w:highlight w:val="none"/>
          <w:lang w:val="zh-CN"/>
        </w:rPr>
        <w:t xml:space="preserve">邮箱： </w:t>
      </w:r>
      <w:r>
        <w:rPr>
          <w:rFonts w:hint="eastAsia" w:ascii="宋体" w:hAnsi="宋体" w:eastAsia="宋体" w:cs="宋体"/>
          <w:color w:val="auto"/>
          <w:highlight w:val="none"/>
          <w:u w:val="single"/>
          <w:lang w:val="zh-CN"/>
        </w:rPr>
        <w:t xml:space="preserve">                      </w:t>
      </w:r>
      <w:r>
        <w:rPr>
          <w:rFonts w:hint="eastAsia" w:ascii="宋体" w:hAnsi="宋体" w:eastAsia="宋体" w:cs="宋体"/>
          <w:color w:val="auto"/>
          <w:highlight w:val="none"/>
          <w:lang w:val="zh-CN"/>
        </w:rPr>
        <w:t xml:space="preserve">       邮编： </w:t>
      </w:r>
      <w:r>
        <w:rPr>
          <w:rFonts w:hint="eastAsia" w:ascii="宋体" w:hAnsi="宋体" w:eastAsia="宋体" w:cs="宋体"/>
          <w:color w:val="auto"/>
          <w:highlight w:val="none"/>
          <w:u w:val="single"/>
          <w:lang w:val="zh-CN"/>
        </w:rPr>
        <w:t xml:space="preserve">                  </w:t>
      </w:r>
    </w:p>
    <w:p w14:paraId="3D7014B5">
      <w:pPr>
        <w:spacing w:line="360" w:lineRule="auto"/>
        <w:ind w:right="893"/>
        <w:rPr>
          <w:rFonts w:ascii="宋体" w:hAnsi="宋体" w:eastAsia="宋体" w:cs="宋体"/>
          <w:color w:val="auto"/>
          <w:highlight w:val="none"/>
          <w:lang w:val="zh-CN"/>
        </w:rPr>
      </w:pPr>
    </w:p>
    <w:p w14:paraId="27C9BE80">
      <w:pPr>
        <w:autoSpaceDE w:val="0"/>
        <w:autoSpaceDN w:val="0"/>
        <w:adjustRightInd w:val="0"/>
        <w:spacing w:line="360" w:lineRule="auto"/>
        <w:ind w:firstLine="5040" w:firstLineChars="24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投标人：（加盖投标人法人公章）</w:t>
      </w:r>
    </w:p>
    <w:p w14:paraId="79D2D66E">
      <w:pPr>
        <w:autoSpaceDE w:val="0"/>
        <w:autoSpaceDN w:val="0"/>
        <w:adjustRightInd w:val="0"/>
        <w:spacing w:line="360" w:lineRule="auto"/>
        <w:ind w:firstLine="5040" w:firstLineChars="2400"/>
        <w:rPr>
          <w:rFonts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2C91DD04">
      <w:pPr>
        <w:pageBreakBefore/>
        <w:spacing w:before="120" w:after="120" w:line="360" w:lineRule="auto"/>
        <w:jc w:val="left"/>
        <w:outlineLvl w:val="2"/>
        <w:rPr>
          <w:rFonts w:ascii="宋体" w:hAnsi="宋体" w:eastAsia="宋体" w:cs="宋体"/>
          <w:b/>
          <w:bCs/>
          <w:color w:val="auto"/>
          <w:kern w:val="0"/>
          <w:sz w:val="32"/>
          <w:szCs w:val="32"/>
          <w:highlight w:val="none"/>
          <w:lang w:val="zh-CN"/>
        </w:rPr>
      </w:pPr>
      <w:r>
        <w:rPr>
          <w:rFonts w:hint="eastAsia" w:ascii="宋体" w:hAnsi="宋体" w:eastAsia="宋体" w:cs="宋体"/>
          <w:b/>
          <w:bCs/>
          <w:color w:val="auto"/>
          <w:kern w:val="0"/>
          <w:sz w:val="32"/>
          <w:szCs w:val="32"/>
          <w:highlight w:val="none"/>
          <w:lang w:val="zh-CN"/>
        </w:rPr>
        <w:t>十</w:t>
      </w:r>
      <w:r>
        <w:rPr>
          <w:rFonts w:hint="eastAsia" w:ascii="宋体" w:hAnsi="宋体" w:eastAsia="宋体" w:cs="宋体"/>
          <w:b/>
          <w:bCs/>
          <w:color w:val="auto"/>
          <w:kern w:val="0"/>
          <w:sz w:val="32"/>
          <w:szCs w:val="32"/>
          <w:highlight w:val="none"/>
          <w:lang w:val="en-US" w:eastAsia="zh-CN"/>
        </w:rPr>
        <w:t>二</w:t>
      </w:r>
      <w:r>
        <w:rPr>
          <w:rFonts w:hint="eastAsia" w:ascii="宋体" w:hAnsi="宋体" w:eastAsia="宋体" w:cs="宋体"/>
          <w:b/>
          <w:bCs/>
          <w:color w:val="auto"/>
          <w:kern w:val="0"/>
          <w:sz w:val="32"/>
          <w:szCs w:val="32"/>
          <w:highlight w:val="none"/>
          <w:lang w:val="zh-CN"/>
        </w:rPr>
        <w:t>、投标保证金汇入情况说明</w:t>
      </w:r>
      <w:bookmarkEnd w:id="595"/>
      <w:bookmarkEnd w:id="596"/>
      <w:bookmarkEnd w:id="597"/>
      <w:bookmarkEnd w:id="598"/>
      <w:bookmarkEnd w:id="599"/>
      <w:bookmarkEnd w:id="600"/>
      <w:bookmarkEnd w:id="601"/>
      <w:bookmarkEnd w:id="602"/>
      <w:bookmarkEnd w:id="603"/>
      <w:bookmarkEnd w:id="604"/>
      <w:bookmarkEnd w:id="605"/>
      <w:bookmarkEnd w:id="606"/>
      <w:bookmarkEnd w:id="607"/>
    </w:p>
    <w:p w14:paraId="019F590B">
      <w:pPr>
        <w:autoSpaceDE w:val="0"/>
        <w:autoSpaceDN w:val="0"/>
        <w:adjustRightInd w:val="0"/>
        <w:spacing w:line="360" w:lineRule="auto"/>
        <w:jc w:val="center"/>
        <w:rPr>
          <w:rFonts w:ascii="宋体" w:hAnsi="宋体" w:eastAsia="宋体" w:cs="宋体"/>
          <w:b/>
          <w:bCs/>
          <w:color w:val="auto"/>
          <w:kern w:val="0"/>
          <w:szCs w:val="24"/>
          <w:highlight w:val="none"/>
        </w:rPr>
      </w:pPr>
      <w:bookmarkStart w:id="608" w:name="_Toc31832_WPSOffice_Level3"/>
      <w:r>
        <w:rPr>
          <w:rFonts w:hint="eastAsia" w:ascii="宋体" w:hAnsi="宋体" w:eastAsia="宋体" w:cs="宋体"/>
          <w:b/>
          <w:bCs/>
          <w:color w:val="auto"/>
          <w:kern w:val="0"/>
          <w:sz w:val="28"/>
          <w:szCs w:val="28"/>
          <w:highlight w:val="none"/>
        </w:rPr>
        <w:t>投标保证金汇入情况说明</w:t>
      </w:r>
      <w:bookmarkEnd w:id="608"/>
    </w:p>
    <w:p w14:paraId="1546410A">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lang w:eastAsia="zh-CN"/>
        </w:rPr>
        <w:t>东莞市水务环境投资控股集团管网有限公司</w:t>
      </w:r>
      <w:r>
        <w:rPr>
          <w:rFonts w:hint="eastAsia" w:ascii="宋体" w:hAnsi="宋体" w:eastAsia="宋体" w:cs="宋体"/>
          <w:color w:val="auto"/>
          <w:szCs w:val="21"/>
          <w:highlight w:val="none"/>
        </w:rPr>
        <w:t>：</w:t>
      </w:r>
    </w:p>
    <w:p w14:paraId="1E8EEC8A">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本单位已按</w:t>
      </w:r>
      <w:r>
        <w:rPr>
          <w:rFonts w:hint="eastAsia" w:ascii="宋体" w:hAnsi="宋体" w:eastAsia="宋体" w:cs="宋体"/>
          <w:color w:val="auto"/>
          <w:kern w:val="0"/>
          <w:szCs w:val="21"/>
          <w:highlight w:val="none"/>
          <w:u w:val="none"/>
          <w:lang w:eastAsia="zh-CN"/>
        </w:rPr>
        <w:t>东莞市水务环境投资控股集团管网有限公司2026年防撞缓冲车采购项目（第四次招标）</w:t>
      </w:r>
      <w:r>
        <w:rPr>
          <w:rFonts w:hint="eastAsia" w:ascii="宋体" w:hAnsi="宋体" w:eastAsia="宋体" w:cs="宋体"/>
          <w:color w:val="auto"/>
          <w:szCs w:val="21"/>
          <w:highlight w:val="none"/>
        </w:rPr>
        <w:t>（招标编号：</w:t>
      </w:r>
      <w:r>
        <w:rPr>
          <w:rFonts w:hint="eastAsia" w:ascii="宋体" w:hAnsi="宋体" w:eastAsia="宋体" w:cs="宋体"/>
          <w:color w:val="auto"/>
          <w:szCs w:val="21"/>
          <w:highlight w:val="none"/>
          <w:u w:val="none"/>
          <w:lang w:val="en-US" w:eastAsia="zh-CN"/>
        </w:rPr>
        <w:t>TC269400L</w:t>
      </w:r>
      <w:r>
        <w:rPr>
          <w:rFonts w:hint="eastAsia" w:ascii="宋体" w:hAnsi="宋体" w:eastAsia="宋体" w:cs="宋体"/>
          <w:color w:val="auto"/>
          <w:szCs w:val="21"/>
          <w:highlight w:val="none"/>
        </w:rPr>
        <w:t>）的招标文件要求，于</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日前以</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付款形式）方式汇入指定账户（账户名称：</w:t>
      </w:r>
      <w:r>
        <w:rPr>
          <w:rFonts w:hint="eastAsia" w:ascii="宋体" w:hAnsi="宋体" w:eastAsia="宋体" w:cs="宋体"/>
          <w:b/>
          <w:color w:val="auto"/>
          <w:szCs w:val="21"/>
          <w:highlight w:val="none"/>
          <w:u w:val="single"/>
        </w:rPr>
        <w:t xml:space="preserve">                    </w:t>
      </w:r>
      <w:r>
        <w:rPr>
          <w:rFonts w:hint="eastAsia" w:ascii="宋体" w:hAnsi="宋体" w:eastAsia="宋体" w:cs="宋体"/>
          <w:color w:val="auto"/>
          <w:szCs w:val="21"/>
          <w:highlight w:val="none"/>
        </w:rPr>
        <w:t>，账号：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lang w:val="zh-CN"/>
        </w:rPr>
        <w:t xml:space="preserve"> </w:t>
      </w:r>
      <w:r>
        <w:rPr>
          <w:rFonts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rPr>
        <w:t>）。</w:t>
      </w:r>
    </w:p>
    <w:p w14:paraId="58934281">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本单位投标保证金的汇款情况：（详见附件－投标保证金进</w:t>
      </w:r>
      <w:r>
        <w:rPr>
          <w:rFonts w:hint="eastAsia" w:ascii="宋体" w:hAnsi="宋体" w:eastAsia="宋体" w:cs="宋体"/>
          <w:color w:val="auto"/>
          <w:szCs w:val="21"/>
          <w:highlight w:val="none"/>
          <w:lang w:val="en-US" w:eastAsia="zh-CN"/>
        </w:rPr>
        <w:t>账</w:t>
      </w:r>
      <w:r>
        <w:rPr>
          <w:rFonts w:hint="eastAsia" w:ascii="宋体" w:hAnsi="宋体" w:eastAsia="宋体" w:cs="宋体"/>
          <w:color w:val="auto"/>
          <w:szCs w:val="21"/>
          <w:highlight w:val="none"/>
        </w:rPr>
        <w:t>单）</w:t>
      </w:r>
    </w:p>
    <w:p w14:paraId="1BAF525B">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汇出时间：</w:t>
      </w:r>
      <w:r>
        <w:rPr>
          <w:rFonts w:hint="eastAsia" w:ascii="宋体" w:hAnsi="宋体" w:eastAsia="宋体" w:cs="宋体"/>
          <w:color w:val="auto"/>
          <w:szCs w:val="21"/>
          <w:highlight w:val="none"/>
          <w:u w:val="single"/>
        </w:rPr>
        <w:t xml:space="preserve">    年   月    日</w:t>
      </w:r>
    </w:p>
    <w:p w14:paraId="22E6D18B">
      <w:pPr>
        <w:spacing w:line="360" w:lineRule="auto"/>
        <w:ind w:firstLine="424" w:firstLineChars="202"/>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汇款金额：</w:t>
      </w:r>
      <w:r>
        <w:rPr>
          <w:rFonts w:hint="eastAsia" w:ascii="宋体" w:hAnsi="宋体" w:eastAsia="宋体" w:cs="宋体"/>
          <w:color w:val="auto"/>
          <w:szCs w:val="21"/>
          <w:highlight w:val="none"/>
          <w:u w:val="single"/>
          <w:lang w:eastAsia="zh-CN"/>
        </w:rPr>
        <w:t>（大写）人民币      元（小写：¥      元）</w:t>
      </w:r>
    </w:p>
    <w:p w14:paraId="2F28E44E">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汇款账户名称：</w:t>
      </w:r>
      <w:r>
        <w:rPr>
          <w:rFonts w:hint="eastAsia" w:ascii="宋体" w:hAnsi="宋体" w:eastAsia="宋体" w:cs="宋体"/>
          <w:color w:val="auto"/>
          <w:szCs w:val="21"/>
          <w:highlight w:val="none"/>
          <w:u w:val="single"/>
        </w:rPr>
        <w:t>（必须是投标时使用的账户名）</w:t>
      </w:r>
    </w:p>
    <w:p w14:paraId="6006A111">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账号：</w:t>
      </w:r>
      <w:r>
        <w:rPr>
          <w:rFonts w:hint="eastAsia" w:ascii="宋体" w:hAnsi="宋体" w:eastAsia="宋体" w:cs="宋体"/>
          <w:color w:val="auto"/>
          <w:szCs w:val="21"/>
          <w:highlight w:val="none"/>
          <w:u w:val="single"/>
        </w:rPr>
        <w:t>（必须是投标时使用的账号）</w:t>
      </w:r>
    </w:p>
    <w:p w14:paraId="261C1E19">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 xml:space="preserve">省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 xml:space="preserve">市         </w:t>
      </w:r>
    </w:p>
    <w:p w14:paraId="086AD807">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本单位谨承诺上述资料是正确、真实的，如因上述证明与事实不符导致的一切损失，本单位保证承担赔偿等一切法律责任。</w:t>
      </w:r>
    </w:p>
    <w:p w14:paraId="5EC6A965">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保证金退回时，请按上述资料退回。</w:t>
      </w:r>
    </w:p>
    <w:p w14:paraId="19428222">
      <w:pPr>
        <w:spacing w:line="360" w:lineRule="auto"/>
        <w:ind w:right="844" w:rightChars="402" w:firstLine="424" w:firstLineChars="202"/>
        <w:jc w:val="right"/>
        <w:rPr>
          <w:rFonts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ascii="宋体" w:hAnsi="宋体" w:eastAsia="宋体" w:cs="宋体"/>
          <w:bCs/>
          <w:color w:val="auto"/>
          <w:szCs w:val="24"/>
          <w:highlight w:val="none"/>
        </w:rPr>
        <w:t>投标人法人公章</w:t>
      </w:r>
      <w:r>
        <w:rPr>
          <w:rFonts w:hint="eastAsia" w:ascii="宋体" w:hAnsi="宋体" w:eastAsia="宋体" w:cs="宋体"/>
          <w:color w:val="auto"/>
          <w:szCs w:val="24"/>
          <w:highlight w:val="none"/>
        </w:rPr>
        <w:t>）</w:t>
      </w:r>
    </w:p>
    <w:p w14:paraId="5E5E90D0">
      <w:pPr>
        <w:spacing w:line="360" w:lineRule="auto"/>
        <w:ind w:right="628" w:rightChars="299" w:firstLine="7774" w:firstLineChars="3702"/>
        <w:jc w:val="left"/>
        <w:rPr>
          <w:rFonts w:ascii="宋体" w:hAnsi="宋体" w:eastAsia="宋体" w:cs="宋体"/>
          <w:color w:val="auto"/>
          <w:szCs w:val="24"/>
          <w:highlight w:val="none"/>
        </w:rPr>
      </w:pPr>
      <w:r>
        <w:rPr>
          <w:rFonts w:hint="eastAsia" w:ascii="宋体" w:hAnsi="宋体" w:eastAsia="宋体" w:cs="宋体"/>
          <w:color w:val="auto"/>
          <w:szCs w:val="24"/>
          <w:highlight w:val="none"/>
        </w:rPr>
        <w:t>年   月   日</w:t>
      </w:r>
    </w:p>
    <w:p w14:paraId="0397BF9C">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单位名称：</w:t>
      </w:r>
    </w:p>
    <w:p w14:paraId="1D252DB7">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单位地址：</w:t>
      </w:r>
    </w:p>
    <w:p w14:paraId="06C7EE74">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联系人：</w:t>
      </w:r>
    </w:p>
    <w:p w14:paraId="6B9057B4">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 xml:space="preserve">单位电话：                    </w:t>
      </w:r>
    </w:p>
    <w:p w14:paraId="44534E2C">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联系人手机：</w:t>
      </w:r>
    </w:p>
    <w:p w14:paraId="18723474">
      <w:pPr>
        <w:spacing w:line="360" w:lineRule="auto"/>
        <w:ind w:left="340" w:leftChars="162" w:firstLine="425"/>
        <w:rPr>
          <w:rFonts w:ascii="宋体" w:hAnsi="宋体" w:eastAsia="宋体" w:cs="宋体"/>
          <w:b/>
          <w:bCs/>
          <w:color w:val="auto"/>
          <w:szCs w:val="21"/>
          <w:highlight w:val="none"/>
        </w:rPr>
      </w:pPr>
      <w:bookmarkStart w:id="609" w:name="_Toc26208_WPSOffice_Level3"/>
      <w:r>
        <w:rPr>
          <w:rFonts w:hint="eastAsia" w:ascii="宋体" w:hAnsi="宋体" w:eastAsia="宋体" w:cs="宋体"/>
          <w:b/>
          <w:bCs/>
          <w:color w:val="auto"/>
          <w:szCs w:val="21"/>
          <w:highlight w:val="none"/>
        </w:rPr>
        <w:t>附：1、我方投标保证金汇款凭证（复印件）</w:t>
      </w:r>
      <w:bookmarkEnd w:id="609"/>
    </w:p>
    <w:p w14:paraId="68DDB3B5">
      <w:pPr>
        <w:spacing w:line="360" w:lineRule="auto"/>
        <w:ind w:left="340" w:leftChars="162" w:firstLine="839" w:firstLineChars="398"/>
        <w:rPr>
          <w:rFonts w:ascii="宋体" w:hAnsi="宋体" w:eastAsia="宋体" w:cs="宋体"/>
          <w:b/>
          <w:bCs/>
          <w:color w:val="auto"/>
          <w:szCs w:val="21"/>
          <w:highlight w:val="none"/>
        </w:rPr>
      </w:pPr>
      <w:bookmarkStart w:id="610" w:name="_Toc12992_WPSOffice_Level3"/>
      <w:r>
        <w:rPr>
          <w:rFonts w:hint="eastAsia" w:ascii="宋体" w:hAnsi="宋体" w:eastAsia="宋体" w:cs="宋体"/>
          <w:b/>
          <w:bCs/>
          <w:color w:val="auto"/>
          <w:szCs w:val="21"/>
          <w:highlight w:val="none"/>
        </w:rPr>
        <w:t>2、我方基本账户开户许可证（复印件）</w:t>
      </w:r>
      <w:bookmarkEnd w:id="610"/>
    </w:p>
    <w:p w14:paraId="0E4A29FE">
      <w:pPr>
        <w:spacing w:line="360" w:lineRule="auto"/>
        <w:ind w:left="340" w:leftChars="162" w:firstLine="839" w:firstLineChars="398"/>
        <w:rPr>
          <w:rFonts w:hint="eastAsia"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注：本情况说明手写无效。</w:t>
      </w:r>
    </w:p>
    <w:p w14:paraId="6677E4FB">
      <w:pPr>
        <w:autoSpaceDE w:val="0"/>
        <w:autoSpaceDN w:val="0"/>
        <w:adjustRightInd w:val="0"/>
        <w:spacing w:line="360" w:lineRule="auto"/>
        <w:ind w:firstLine="5145" w:firstLineChars="2450"/>
        <w:rPr>
          <w:rFonts w:ascii="宋体" w:hAnsi="宋体" w:eastAsia="宋体" w:cs="宋体"/>
          <w:color w:val="auto"/>
          <w:szCs w:val="24"/>
          <w:highlight w:val="none"/>
          <w:lang w:val="zh-CN"/>
        </w:rPr>
      </w:pPr>
    </w:p>
    <w:p w14:paraId="5EA6D3A9">
      <w:pPr>
        <w:spacing w:line="360" w:lineRule="auto"/>
        <w:ind w:firstLine="424" w:firstLineChars="202"/>
        <w:rPr>
          <w:rFonts w:ascii="宋体" w:hAnsi="宋体" w:eastAsia="宋体" w:cs="宋体"/>
          <w:color w:val="auto"/>
          <w:szCs w:val="24"/>
          <w:highlight w:val="none"/>
        </w:rPr>
      </w:pPr>
      <w:bookmarkStart w:id="611" w:name="_Toc486167721"/>
    </w:p>
    <w:p w14:paraId="12E22441">
      <w:pPr>
        <w:spacing w:line="360" w:lineRule="auto"/>
        <w:ind w:firstLine="424" w:firstLineChars="202"/>
        <w:rPr>
          <w:rFonts w:ascii="宋体" w:hAnsi="宋体" w:eastAsia="宋体" w:cs="宋体"/>
          <w:color w:val="auto"/>
          <w:szCs w:val="24"/>
          <w:highlight w:val="none"/>
        </w:rPr>
      </w:pPr>
      <w:bookmarkStart w:id="612" w:name="_Toc533708134"/>
    </w:p>
    <w:p w14:paraId="6394317B">
      <w:pPr>
        <w:widowControl/>
        <w:jc w:val="left"/>
        <w:rPr>
          <w:rFonts w:ascii="宋体" w:hAnsi="宋体" w:eastAsia="宋体" w:cs="宋体"/>
          <w:b/>
          <w:color w:val="auto"/>
          <w:kern w:val="0"/>
          <w:szCs w:val="21"/>
          <w:highlight w:val="none"/>
        </w:rPr>
      </w:pPr>
      <w:r>
        <w:rPr>
          <w:rFonts w:ascii="宋体" w:hAnsi="宋体" w:eastAsia="宋体" w:cs="宋体"/>
          <w:b/>
          <w:color w:val="auto"/>
          <w:kern w:val="0"/>
          <w:szCs w:val="21"/>
          <w:highlight w:val="none"/>
        </w:rPr>
        <w:br w:type="page"/>
      </w:r>
    </w:p>
    <w:p w14:paraId="723FA47D">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sectPr>
          <w:pgSz w:w="12240" w:h="15840"/>
          <w:pgMar w:top="1191" w:right="1043" w:bottom="1191" w:left="1043" w:header="720" w:footer="720" w:gutter="0"/>
          <w:cols w:space="720" w:num="1"/>
          <w:titlePg/>
          <w:docGrid w:linePitch="326" w:charSpace="0"/>
        </w:sectPr>
      </w:pPr>
      <w:bookmarkStart w:id="613" w:name="_Toc1977738"/>
      <w:bookmarkStart w:id="614" w:name="_Toc102860084"/>
      <w:bookmarkStart w:id="615" w:name="_Toc104991886"/>
      <w:bookmarkStart w:id="616" w:name="_Toc16292"/>
      <w:bookmarkStart w:id="617" w:name="_Toc18032"/>
      <w:bookmarkStart w:id="618" w:name="_Toc140596939"/>
      <w:bookmarkStart w:id="619" w:name="_Toc94107221"/>
      <w:bookmarkStart w:id="620" w:name="_Toc102860428"/>
      <w:bookmarkStart w:id="621" w:name="_Toc142508379"/>
      <w:bookmarkStart w:id="622" w:name="_Toc3402"/>
      <w:r>
        <w:rPr>
          <w:rFonts w:hint="eastAsia" w:ascii="宋体" w:hAnsi="宋体" w:eastAsia="宋体" w:cs="宋体"/>
          <w:b/>
          <w:bCs/>
          <w:color w:val="auto"/>
          <w:kern w:val="0"/>
          <w:sz w:val="32"/>
          <w:szCs w:val="32"/>
          <w:highlight w:val="none"/>
          <w:lang w:val="zh-CN"/>
        </w:rPr>
        <w:t>十</w:t>
      </w:r>
      <w:r>
        <w:rPr>
          <w:rFonts w:hint="eastAsia" w:ascii="宋体" w:hAnsi="宋体" w:eastAsia="宋体" w:cs="宋体"/>
          <w:b/>
          <w:bCs/>
          <w:color w:val="auto"/>
          <w:kern w:val="0"/>
          <w:sz w:val="32"/>
          <w:szCs w:val="32"/>
          <w:highlight w:val="none"/>
          <w:lang w:val="en-US" w:eastAsia="zh-CN"/>
        </w:rPr>
        <w:t>三</w:t>
      </w:r>
      <w:r>
        <w:rPr>
          <w:rFonts w:hint="eastAsia" w:ascii="宋体" w:hAnsi="宋体" w:eastAsia="宋体" w:cs="宋体"/>
          <w:b/>
          <w:bCs/>
          <w:color w:val="auto"/>
          <w:kern w:val="0"/>
          <w:sz w:val="32"/>
          <w:szCs w:val="32"/>
          <w:highlight w:val="none"/>
          <w:lang w:val="zh-CN"/>
        </w:rPr>
        <w:t>、投标人资格证明文件以外的其他资质证书、知识产权证书及获得的相关获奖、认证证书、社会评价资料证明文件复印件等投标人认为有需要证明其具备为本次招标项目提供货物</w:t>
      </w:r>
      <w:r>
        <w:rPr>
          <w:rFonts w:hint="eastAsia" w:ascii="宋体" w:hAnsi="宋体" w:eastAsia="宋体" w:cs="宋体"/>
          <w:b/>
          <w:bCs/>
          <w:color w:val="auto"/>
          <w:kern w:val="0"/>
          <w:sz w:val="32"/>
          <w:szCs w:val="32"/>
          <w:highlight w:val="none"/>
          <w:lang w:val="en-US" w:eastAsia="zh-CN"/>
        </w:rPr>
        <w:t>及有关</w:t>
      </w:r>
      <w:r>
        <w:rPr>
          <w:rFonts w:hint="eastAsia" w:ascii="宋体" w:hAnsi="宋体" w:eastAsia="宋体" w:cs="宋体"/>
          <w:b/>
          <w:bCs/>
          <w:color w:val="auto"/>
          <w:kern w:val="0"/>
          <w:sz w:val="32"/>
          <w:szCs w:val="32"/>
          <w:highlight w:val="none"/>
          <w:lang w:val="zh-CN"/>
        </w:rPr>
        <w:t>服务能力的有关其它商务文件（不做强制要求）</w:t>
      </w:r>
      <w:bookmarkEnd w:id="613"/>
      <w:bookmarkEnd w:id="614"/>
      <w:bookmarkEnd w:id="615"/>
      <w:bookmarkEnd w:id="616"/>
      <w:bookmarkEnd w:id="617"/>
      <w:bookmarkEnd w:id="618"/>
      <w:bookmarkEnd w:id="619"/>
      <w:bookmarkEnd w:id="620"/>
      <w:bookmarkEnd w:id="621"/>
      <w:bookmarkEnd w:id="622"/>
    </w:p>
    <w:p w14:paraId="1028F5AE">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bookmarkStart w:id="623" w:name="_Toc102860429"/>
      <w:bookmarkStart w:id="624" w:name="_Toc142508380"/>
      <w:bookmarkStart w:id="625" w:name="_Toc21551"/>
      <w:bookmarkStart w:id="626" w:name="_Toc102860085"/>
      <w:bookmarkStart w:id="627" w:name="_Toc140596940"/>
      <w:bookmarkStart w:id="628" w:name="_Toc94107222"/>
      <w:bookmarkStart w:id="629" w:name="_Toc1977739"/>
      <w:bookmarkStart w:id="630" w:name="_Toc104991887"/>
      <w:bookmarkStart w:id="631" w:name="_Toc15051"/>
      <w:bookmarkStart w:id="632" w:name="_Toc14341"/>
      <w:r>
        <w:rPr>
          <w:rFonts w:hint="eastAsia" w:ascii="宋体" w:hAnsi="宋体" w:eastAsia="宋体" w:cs="宋体"/>
          <w:b/>
          <w:color w:val="auto"/>
          <w:kern w:val="0"/>
          <w:sz w:val="32"/>
          <w:szCs w:val="32"/>
          <w:highlight w:val="none"/>
        </w:rPr>
        <w:t>十</w:t>
      </w:r>
      <w:r>
        <w:rPr>
          <w:rFonts w:hint="eastAsia" w:ascii="宋体" w:hAnsi="宋体" w:eastAsia="宋体" w:cs="宋体"/>
          <w:b/>
          <w:color w:val="auto"/>
          <w:kern w:val="0"/>
          <w:sz w:val="32"/>
          <w:szCs w:val="32"/>
          <w:highlight w:val="none"/>
          <w:lang w:val="en-US" w:eastAsia="zh-CN"/>
        </w:rPr>
        <w:t>四</w:t>
      </w:r>
      <w:r>
        <w:rPr>
          <w:rFonts w:hint="eastAsia" w:ascii="宋体" w:hAnsi="宋体" w:eastAsia="宋体" w:cs="宋体"/>
          <w:b/>
          <w:color w:val="auto"/>
          <w:kern w:val="0"/>
          <w:sz w:val="32"/>
          <w:szCs w:val="32"/>
          <w:highlight w:val="none"/>
        </w:rPr>
        <w:t>、技术响应文件格式</w:t>
      </w:r>
      <w:bookmarkEnd w:id="612"/>
      <w:bookmarkEnd w:id="623"/>
      <w:bookmarkEnd w:id="624"/>
      <w:bookmarkEnd w:id="625"/>
      <w:bookmarkEnd w:id="626"/>
      <w:bookmarkEnd w:id="627"/>
      <w:bookmarkEnd w:id="628"/>
      <w:bookmarkEnd w:id="629"/>
      <w:bookmarkEnd w:id="630"/>
      <w:bookmarkEnd w:id="631"/>
      <w:bookmarkEnd w:id="632"/>
    </w:p>
    <w:p w14:paraId="4D2481F6">
      <w:pPr>
        <w:tabs>
          <w:tab w:val="left" w:pos="8640"/>
        </w:tabs>
        <w:spacing w:line="360" w:lineRule="auto"/>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投标人应按照招标文件投标人须知关于投标文件组成部分的要求编制技术文件，主要包括但不限于以下内容：</w:t>
      </w:r>
    </w:p>
    <w:p w14:paraId="4266F85B">
      <w:pPr>
        <w:spacing w:line="360" w:lineRule="auto"/>
        <w:ind w:left="443" w:leftChars="77" w:hanging="281" w:hangingChars="134"/>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1、用户需求响应程度（格式见附件1</w:t>
      </w:r>
      <w:r>
        <w:rPr>
          <w:rFonts w:hint="eastAsia" w:ascii="宋体" w:hAnsi="宋体" w:eastAsia="宋体" w:cs="宋体"/>
          <w:color w:val="auto"/>
          <w:kern w:val="0"/>
          <w:szCs w:val="21"/>
          <w:highlight w:val="none"/>
          <w:lang w:val="en-US" w:eastAsia="zh-CN"/>
        </w:rPr>
        <w:t>4.</w:t>
      </w:r>
      <w:r>
        <w:rPr>
          <w:rFonts w:ascii="宋体" w:hAnsi="宋体" w:eastAsia="宋体" w:cs="宋体"/>
          <w:color w:val="auto"/>
          <w:kern w:val="0"/>
          <w:szCs w:val="21"/>
          <w:highlight w:val="none"/>
        </w:rPr>
        <w:t>1</w:t>
      </w:r>
      <w:r>
        <w:rPr>
          <w:rFonts w:hint="eastAsia" w:ascii="宋体" w:hAnsi="宋体" w:eastAsia="宋体" w:cs="宋体"/>
          <w:color w:val="auto"/>
          <w:kern w:val="0"/>
          <w:szCs w:val="21"/>
          <w:highlight w:val="none"/>
        </w:rPr>
        <w:t>用户需求偏离表格式）；</w:t>
      </w:r>
    </w:p>
    <w:p w14:paraId="58B78A5C">
      <w:pPr>
        <w:spacing w:line="360" w:lineRule="auto"/>
        <w:ind w:left="687" w:leftChars="77"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ascii="宋体" w:hAnsi="宋体" w:eastAsia="宋体" w:cs="宋体"/>
          <w:color w:val="auto"/>
          <w:kern w:val="0"/>
          <w:szCs w:val="21"/>
          <w:highlight w:val="none"/>
        </w:rPr>
        <w:t>1</w:t>
      </w:r>
      <w:r>
        <w:rPr>
          <w:rFonts w:hint="eastAsia" w:ascii="宋体" w:hAnsi="宋体" w:eastAsia="宋体" w:cs="宋体"/>
          <w:color w:val="auto"/>
          <w:kern w:val="0"/>
          <w:szCs w:val="21"/>
          <w:highlight w:val="none"/>
        </w:rPr>
        <w:t>）反映投标车辆的生产企业及投标车辆（含防撞包）产品型号已列入国家工业和信息化部发布的有效的《道路机动车辆生产企业及产品公告》（或《车辆生产企业及产品公告》）的证明文件；</w:t>
      </w:r>
    </w:p>
    <w:p w14:paraId="67FBAFBB">
      <w:pPr>
        <w:spacing w:line="360" w:lineRule="auto"/>
        <w:ind w:left="443" w:leftChars="77" w:hanging="281" w:hangingChars="13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ascii="宋体" w:hAnsi="宋体" w:eastAsia="宋体" w:cs="宋体"/>
          <w:color w:val="auto"/>
          <w:kern w:val="0"/>
          <w:szCs w:val="21"/>
          <w:highlight w:val="none"/>
        </w:rPr>
        <w:t>2</w:t>
      </w:r>
      <w:r>
        <w:rPr>
          <w:rFonts w:hint="eastAsia" w:ascii="宋体" w:hAnsi="宋体" w:eastAsia="宋体" w:cs="宋体"/>
          <w:color w:val="auto"/>
          <w:kern w:val="0"/>
          <w:szCs w:val="21"/>
          <w:highlight w:val="none"/>
        </w:rPr>
        <w:t>）提供投标车辆的中国国家强制性产品认证证书（3C认证)复印件；</w:t>
      </w:r>
    </w:p>
    <w:p w14:paraId="59192E59">
      <w:pPr>
        <w:spacing w:line="360" w:lineRule="auto"/>
        <w:ind w:left="687" w:leftChars="77" w:hanging="525" w:hangingChars="250"/>
        <w:rPr>
          <w:rFonts w:hint="eastAsia" w:ascii="宋体" w:hAnsi="宋体" w:eastAsia="宋体" w:cs="宋体"/>
          <w:b w:val="0"/>
          <w:bCs w:val="0"/>
          <w:i w:val="0"/>
          <w:iCs w:val="0"/>
          <w:caps w:val="0"/>
          <w:color w:val="auto"/>
          <w:spacing w:val="0"/>
          <w:kern w:val="0"/>
          <w:sz w:val="21"/>
          <w:szCs w:val="21"/>
          <w:highlight w:val="none"/>
          <w:lang w:eastAsia="zh-CN" w:bidi="ar"/>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提供</w:t>
      </w:r>
      <w:r>
        <w:rPr>
          <w:rFonts w:hint="eastAsia" w:ascii="宋体" w:hAnsi="宋体" w:eastAsia="宋体" w:cs="宋体"/>
          <w:b w:val="0"/>
          <w:bCs w:val="0"/>
          <w:color w:val="auto"/>
          <w:kern w:val="0"/>
          <w:sz w:val="21"/>
          <w:szCs w:val="21"/>
          <w:highlight w:val="none"/>
          <w:lang w:bidi="ar"/>
        </w:rPr>
        <w:t>出厂检验合格证明</w:t>
      </w:r>
      <w:r>
        <w:rPr>
          <w:rFonts w:hint="eastAsia" w:ascii="宋体" w:hAnsi="宋体" w:eastAsia="宋体" w:cs="宋体"/>
          <w:b w:val="0"/>
          <w:bCs w:val="0"/>
          <w:color w:val="auto"/>
          <w:kern w:val="0"/>
          <w:sz w:val="21"/>
          <w:szCs w:val="21"/>
          <w:highlight w:val="none"/>
          <w:lang w:eastAsia="zh-CN" w:bidi="ar"/>
        </w:rPr>
        <w:t>、</w:t>
      </w:r>
      <w:r>
        <w:rPr>
          <w:rFonts w:hint="eastAsia" w:ascii="宋体" w:hAnsi="宋体" w:eastAsia="宋体" w:cs="宋体"/>
          <w:b w:val="0"/>
          <w:bCs w:val="0"/>
          <w:color w:val="auto"/>
          <w:kern w:val="0"/>
          <w:sz w:val="21"/>
          <w:szCs w:val="21"/>
          <w:highlight w:val="none"/>
          <w:lang w:val="en-US" w:eastAsia="zh-CN" w:bidi="ar"/>
        </w:rPr>
        <w:t>2026年度防撞包</w:t>
      </w:r>
      <w:r>
        <w:rPr>
          <w:rFonts w:hint="eastAsia" w:ascii="宋体" w:hAnsi="宋体" w:eastAsia="宋体" w:cs="宋体"/>
          <w:b w:val="0"/>
          <w:bCs w:val="0"/>
          <w:color w:val="auto"/>
          <w:kern w:val="0"/>
          <w:sz w:val="21"/>
          <w:szCs w:val="21"/>
          <w:highlight w:val="none"/>
          <w:lang w:bidi="ar"/>
        </w:rPr>
        <w:t>产品质量险</w:t>
      </w:r>
      <w:r>
        <w:rPr>
          <w:rFonts w:hint="eastAsia" w:ascii="宋体" w:hAnsi="宋体" w:eastAsia="宋体" w:cs="宋体"/>
          <w:b w:val="0"/>
          <w:bCs w:val="0"/>
          <w:color w:val="auto"/>
          <w:kern w:val="0"/>
          <w:sz w:val="21"/>
          <w:szCs w:val="21"/>
          <w:highlight w:val="none"/>
          <w:lang w:eastAsia="zh-CN" w:bidi="ar"/>
        </w:rPr>
        <w:t>、</w:t>
      </w:r>
      <w:r>
        <w:rPr>
          <w:rFonts w:hint="eastAsia" w:ascii="宋体" w:hAnsi="宋体" w:eastAsia="宋体" w:cs="宋体"/>
          <w:b w:val="0"/>
          <w:bCs w:val="0"/>
          <w:color w:val="auto"/>
          <w:kern w:val="0"/>
          <w:sz w:val="21"/>
          <w:szCs w:val="21"/>
          <w:highlight w:val="none"/>
          <w:lang w:val="en-US" w:eastAsia="zh-CN" w:bidi="ar"/>
        </w:rPr>
        <w:t>碰撞检测报告</w:t>
      </w:r>
      <w:r>
        <w:rPr>
          <w:rFonts w:hint="eastAsia" w:ascii="宋体" w:hAnsi="宋体" w:eastAsia="宋体" w:cs="宋体"/>
          <w:b w:val="0"/>
          <w:bCs w:val="0"/>
          <w:i w:val="0"/>
          <w:iCs w:val="0"/>
          <w:caps w:val="0"/>
          <w:color w:val="auto"/>
          <w:spacing w:val="0"/>
          <w:kern w:val="0"/>
          <w:sz w:val="21"/>
          <w:szCs w:val="21"/>
          <w:highlight w:val="none"/>
          <w:lang w:bidi="ar"/>
        </w:rPr>
        <w:t>复印件</w:t>
      </w:r>
      <w:r>
        <w:rPr>
          <w:rFonts w:hint="eastAsia" w:ascii="宋体" w:hAnsi="宋体" w:eastAsia="宋体" w:cs="宋体"/>
          <w:b w:val="0"/>
          <w:bCs w:val="0"/>
          <w:i w:val="0"/>
          <w:iCs w:val="0"/>
          <w:caps w:val="0"/>
          <w:color w:val="auto"/>
          <w:spacing w:val="0"/>
          <w:kern w:val="0"/>
          <w:sz w:val="21"/>
          <w:szCs w:val="21"/>
          <w:highlight w:val="none"/>
          <w:lang w:eastAsia="zh-CN" w:bidi="ar"/>
        </w:rPr>
        <w:t>；</w:t>
      </w:r>
    </w:p>
    <w:p w14:paraId="61D439B2">
      <w:pPr>
        <w:spacing w:line="360" w:lineRule="auto"/>
        <w:ind w:left="687" w:leftChars="77" w:hanging="525" w:hangingChars="250"/>
        <w:rPr>
          <w:rFonts w:hint="eastAsia"/>
          <w:color w:val="auto"/>
          <w:highlight w:val="none"/>
          <w:lang w:eastAsia="zh-CN"/>
        </w:rPr>
      </w:pPr>
      <w:r>
        <w:rPr>
          <w:rFonts w:hint="eastAsia" w:ascii="宋体" w:hAnsi="宋体" w:eastAsia="宋体" w:cs="宋体"/>
          <w:b w:val="0"/>
          <w:bCs w:val="0"/>
          <w:i w:val="0"/>
          <w:iCs w:val="0"/>
          <w:caps w:val="0"/>
          <w:color w:val="auto"/>
          <w:spacing w:val="0"/>
          <w:kern w:val="0"/>
          <w:sz w:val="21"/>
          <w:szCs w:val="21"/>
          <w:highlight w:val="none"/>
          <w:lang w:eastAsia="zh-CN" w:bidi="ar"/>
        </w:rPr>
        <w:t>（</w:t>
      </w:r>
      <w:r>
        <w:rPr>
          <w:rFonts w:hint="eastAsia" w:ascii="宋体" w:hAnsi="宋体" w:eastAsia="宋体" w:cs="宋体"/>
          <w:b w:val="0"/>
          <w:bCs w:val="0"/>
          <w:i w:val="0"/>
          <w:iCs w:val="0"/>
          <w:caps w:val="0"/>
          <w:color w:val="auto"/>
          <w:spacing w:val="0"/>
          <w:kern w:val="0"/>
          <w:sz w:val="21"/>
          <w:szCs w:val="21"/>
          <w:highlight w:val="none"/>
          <w:lang w:val="en-US" w:eastAsia="zh-CN" w:bidi="ar"/>
        </w:rPr>
        <w:t>4</w:t>
      </w:r>
      <w:r>
        <w:rPr>
          <w:rFonts w:hint="eastAsia" w:ascii="宋体" w:hAnsi="宋体" w:eastAsia="宋体" w:cs="宋体"/>
          <w:b w:val="0"/>
          <w:bCs w:val="0"/>
          <w:i w:val="0"/>
          <w:iCs w:val="0"/>
          <w:caps w:val="0"/>
          <w:color w:val="auto"/>
          <w:spacing w:val="0"/>
          <w:kern w:val="0"/>
          <w:sz w:val="21"/>
          <w:szCs w:val="21"/>
          <w:highlight w:val="none"/>
          <w:lang w:eastAsia="zh-CN" w:bidi="ar"/>
        </w:rPr>
        <w:t>）</w:t>
      </w:r>
      <w:r>
        <w:rPr>
          <w:rFonts w:hint="eastAsia" w:ascii="宋体" w:hAnsi="宋体" w:eastAsia="宋体" w:cs="宋体"/>
          <w:b w:val="0"/>
          <w:bCs w:val="0"/>
          <w:color w:val="auto"/>
          <w:kern w:val="0"/>
          <w:sz w:val="21"/>
          <w:szCs w:val="21"/>
          <w:highlight w:val="none"/>
          <w:lang w:val="en-US" w:eastAsia="zh-CN" w:bidi="ar"/>
        </w:rPr>
        <w:t>提供</w:t>
      </w:r>
      <w:r>
        <w:rPr>
          <w:rFonts w:hint="eastAsia" w:ascii="宋体" w:hAnsi="宋体" w:eastAsia="宋体" w:cs="宋体"/>
          <w:b w:val="0"/>
          <w:bCs w:val="0"/>
          <w:color w:val="auto"/>
          <w:kern w:val="0"/>
          <w:sz w:val="21"/>
          <w:szCs w:val="21"/>
          <w:highlight w:val="none"/>
          <w:lang w:bidi="ar"/>
        </w:rPr>
        <w:t>《汽车整车产品定型试验报告》</w:t>
      </w:r>
      <w:r>
        <w:rPr>
          <w:rFonts w:hint="eastAsia" w:ascii="宋体" w:hAnsi="宋体" w:eastAsia="宋体" w:cs="宋体"/>
          <w:b w:val="0"/>
          <w:bCs w:val="0"/>
          <w:color w:val="auto"/>
          <w:kern w:val="0"/>
          <w:sz w:val="21"/>
          <w:szCs w:val="21"/>
          <w:highlight w:val="none"/>
          <w:lang w:val="en-US" w:eastAsia="zh-CN" w:bidi="ar"/>
        </w:rPr>
        <w:t>复印件；</w:t>
      </w:r>
    </w:p>
    <w:p w14:paraId="4BE8BA48">
      <w:pPr>
        <w:spacing w:line="360" w:lineRule="auto"/>
        <w:ind w:left="443" w:leftChars="77" w:hanging="281" w:hangingChars="134"/>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2、技术参数偏离表（格式见附件1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2技术参数偏离表格式）；</w:t>
      </w:r>
    </w:p>
    <w:p w14:paraId="10E8AC58">
      <w:pPr>
        <w:spacing w:line="360" w:lineRule="auto"/>
        <w:ind w:left="443" w:leftChars="77" w:hanging="281" w:hangingChars="134"/>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3、车辆配置清单（格式见附件1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3车辆配置清单）；</w:t>
      </w:r>
    </w:p>
    <w:p w14:paraId="05B9A787">
      <w:pPr>
        <w:spacing w:line="360" w:lineRule="auto"/>
        <w:ind w:left="687" w:leftChars="77"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4、零部件保修期限表；</w:t>
      </w:r>
    </w:p>
    <w:p w14:paraId="5ECEDE85">
      <w:pPr>
        <w:spacing w:line="360" w:lineRule="auto"/>
        <w:ind w:left="443" w:leftChars="77" w:hanging="281" w:hangingChars="13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bidi="ar"/>
        </w:rPr>
        <w:t>部分零部件保修期限</w:t>
      </w:r>
      <w:r>
        <w:rPr>
          <w:rFonts w:hint="eastAsia" w:ascii="宋体" w:hAnsi="宋体" w:eastAsia="宋体" w:cs="宋体"/>
          <w:color w:val="auto"/>
          <w:kern w:val="0"/>
          <w:szCs w:val="21"/>
          <w:highlight w:val="none"/>
        </w:rPr>
        <w:t>（格式见附件1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bidi="ar"/>
        </w:rPr>
        <w:t>部分零部件保修期限表</w:t>
      </w:r>
      <w:r>
        <w:rPr>
          <w:rFonts w:hint="eastAsia" w:ascii="宋体" w:hAnsi="宋体" w:eastAsia="宋体" w:cs="宋体"/>
          <w:color w:val="auto"/>
          <w:kern w:val="0"/>
          <w:szCs w:val="21"/>
          <w:highlight w:val="none"/>
        </w:rPr>
        <w:t>格式）；</w:t>
      </w:r>
    </w:p>
    <w:p w14:paraId="68001682">
      <w:pPr>
        <w:spacing w:line="360" w:lineRule="auto"/>
        <w:ind w:left="687" w:leftChars="77"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（2）产品用户使用说明书中的零部件保修期限表；</w:t>
      </w:r>
    </w:p>
    <w:p w14:paraId="742CD192">
      <w:pPr>
        <w:spacing w:line="360" w:lineRule="auto"/>
        <w:ind w:left="443" w:leftChars="77" w:hanging="281" w:hangingChars="134"/>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5、所投车辆性能；</w:t>
      </w:r>
    </w:p>
    <w:p w14:paraId="25C53602">
      <w:pPr>
        <w:spacing w:line="360" w:lineRule="auto"/>
        <w:ind w:left="443" w:leftChars="77" w:hanging="281" w:hangingChars="134"/>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、售后服务承诺书（格式见附件1</w:t>
      </w:r>
      <w:r>
        <w:rPr>
          <w:rFonts w:hint="eastAsia" w:ascii="宋体" w:hAnsi="宋体" w:eastAsia="宋体" w:cs="宋体"/>
          <w:color w:val="auto"/>
          <w:kern w:val="0"/>
          <w:szCs w:val="21"/>
          <w:highlight w:val="none"/>
          <w:lang w:val="en-US" w:eastAsia="zh-CN"/>
        </w:rPr>
        <w:t>4.6</w:t>
      </w:r>
      <w:r>
        <w:rPr>
          <w:rFonts w:hint="eastAsia" w:ascii="宋体" w:hAnsi="宋体" w:eastAsia="宋体" w:cs="宋体"/>
          <w:color w:val="auto"/>
          <w:kern w:val="0"/>
          <w:szCs w:val="21"/>
          <w:highlight w:val="none"/>
        </w:rPr>
        <w:t>售后服务承诺书格式）；</w:t>
      </w:r>
    </w:p>
    <w:p w14:paraId="310C1717">
      <w:pPr>
        <w:spacing w:line="360" w:lineRule="auto"/>
        <w:ind w:left="443" w:leftChars="77" w:hanging="281" w:hangingChars="134"/>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质保期及服务便利性承诺书（格式见附件1</w:t>
      </w:r>
      <w:r>
        <w:rPr>
          <w:rFonts w:hint="eastAsia" w:ascii="宋体" w:hAnsi="宋体" w:eastAsia="宋体" w:cs="宋体"/>
          <w:color w:val="auto"/>
          <w:kern w:val="0"/>
          <w:szCs w:val="21"/>
          <w:highlight w:val="none"/>
          <w:lang w:val="en-US" w:eastAsia="zh-CN"/>
        </w:rPr>
        <w:t>4.7</w:t>
      </w:r>
      <w:r>
        <w:rPr>
          <w:rFonts w:hint="eastAsia" w:ascii="宋体" w:hAnsi="宋体" w:eastAsia="宋体" w:cs="宋体"/>
          <w:color w:val="auto"/>
          <w:kern w:val="0"/>
          <w:szCs w:val="21"/>
          <w:highlight w:val="none"/>
        </w:rPr>
        <w:t>质保期及服务便利性承诺书格式）；</w:t>
      </w:r>
    </w:p>
    <w:p w14:paraId="3DC74F98">
      <w:pPr>
        <w:spacing w:line="360" w:lineRule="auto"/>
        <w:ind w:left="443" w:leftChars="77" w:hanging="281" w:hangingChars="13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、投标人认为有必要提供的其它材料（不做强制要求）。</w:t>
      </w:r>
    </w:p>
    <w:p w14:paraId="2E6FB24F">
      <w:pP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p>
    <w:p w14:paraId="167A792C">
      <w:pPr>
        <w:pStyle w:val="2"/>
        <w:rPr>
          <w:rFonts w:hint="eastAsia"/>
          <w:color w:val="auto"/>
          <w:highlight w:val="none"/>
        </w:rPr>
      </w:pPr>
    </w:p>
    <w:p w14:paraId="78D9749E">
      <w:pPr>
        <w:pStyle w:val="19"/>
        <w:spacing w:line="360" w:lineRule="auto"/>
        <w:jc w:val="center"/>
        <w:rPr>
          <w:rFonts w:hint="eastAsia" w:ascii="宋体" w:hAnsi="宋体" w:eastAsia="宋体" w:cs="宋体"/>
          <w:color w:val="auto"/>
          <w:sz w:val="84"/>
          <w:highlight w:val="none"/>
        </w:rPr>
      </w:pPr>
    </w:p>
    <w:p w14:paraId="0D50A52F">
      <w:pPr>
        <w:pStyle w:val="19"/>
        <w:spacing w:line="360" w:lineRule="auto"/>
        <w:jc w:val="center"/>
        <w:rPr>
          <w:rFonts w:hint="eastAsia" w:ascii="宋体" w:hAnsi="宋体" w:eastAsia="宋体" w:cs="宋体"/>
          <w:color w:val="auto"/>
          <w:sz w:val="84"/>
          <w:highlight w:val="none"/>
        </w:rPr>
      </w:pPr>
    </w:p>
    <w:p w14:paraId="3D7F385B">
      <w:pPr>
        <w:pStyle w:val="19"/>
        <w:spacing w:line="360" w:lineRule="auto"/>
        <w:jc w:val="center"/>
        <w:rPr>
          <w:rFonts w:hint="eastAsia" w:ascii="宋体" w:hAnsi="宋体" w:eastAsia="宋体" w:cs="宋体"/>
          <w:color w:val="auto"/>
          <w:sz w:val="84"/>
          <w:highlight w:val="none"/>
        </w:rPr>
      </w:pPr>
      <w:r>
        <w:rPr>
          <w:rFonts w:hint="eastAsia" w:ascii="宋体" w:hAnsi="宋体" w:eastAsia="宋体" w:cs="宋体"/>
          <w:color w:val="auto"/>
          <w:sz w:val="84"/>
          <w:highlight w:val="none"/>
        </w:rPr>
        <w:t>投 标 文 件</w:t>
      </w:r>
    </w:p>
    <w:p w14:paraId="46C8A35F">
      <w:pPr>
        <w:pStyle w:val="19"/>
        <w:spacing w:line="360" w:lineRule="auto"/>
        <w:rPr>
          <w:rFonts w:hint="eastAsia" w:ascii="宋体" w:hAnsi="宋体" w:eastAsia="宋体" w:cs="宋体"/>
          <w:color w:val="auto"/>
          <w:highlight w:val="none"/>
        </w:rPr>
      </w:pPr>
    </w:p>
    <w:p w14:paraId="54CBD8A1">
      <w:pPr>
        <w:pStyle w:val="19"/>
        <w:spacing w:line="360" w:lineRule="auto"/>
        <w:rPr>
          <w:rFonts w:hint="eastAsia" w:ascii="宋体" w:hAnsi="宋体" w:eastAsia="宋体" w:cs="宋体"/>
          <w:color w:val="auto"/>
          <w:highlight w:val="none"/>
        </w:rPr>
      </w:pPr>
    </w:p>
    <w:p w14:paraId="5E811EF1">
      <w:pPr>
        <w:pStyle w:val="19"/>
        <w:spacing w:line="360" w:lineRule="auto"/>
        <w:rPr>
          <w:rFonts w:hint="eastAsia" w:ascii="宋体" w:hAnsi="宋体" w:eastAsia="宋体" w:cs="宋体"/>
          <w:color w:val="auto"/>
          <w:highlight w:val="none"/>
        </w:rPr>
      </w:pPr>
    </w:p>
    <w:p w14:paraId="369B3B67">
      <w:pPr>
        <w:pStyle w:val="19"/>
        <w:spacing w:line="360" w:lineRule="auto"/>
        <w:rPr>
          <w:rFonts w:hint="eastAsia" w:ascii="宋体" w:hAnsi="宋体" w:eastAsia="宋体" w:cs="宋体"/>
          <w:color w:val="auto"/>
          <w:highlight w:val="none"/>
        </w:rPr>
      </w:pPr>
    </w:p>
    <w:p w14:paraId="09D4D55C">
      <w:pPr>
        <w:pStyle w:val="19"/>
        <w:spacing w:line="360" w:lineRule="auto"/>
        <w:rPr>
          <w:rFonts w:hint="eastAsia" w:ascii="宋体" w:hAnsi="宋体" w:eastAsia="宋体" w:cs="宋体"/>
          <w:color w:val="auto"/>
          <w:highlight w:val="none"/>
        </w:rPr>
      </w:pPr>
    </w:p>
    <w:p w14:paraId="56B795FB">
      <w:pPr>
        <w:pStyle w:val="19"/>
        <w:spacing w:line="360" w:lineRule="auto"/>
        <w:rPr>
          <w:rFonts w:hint="eastAsia" w:ascii="宋体" w:hAnsi="宋体" w:eastAsia="宋体" w:cs="宋体"/>
          <w:color w:val="auto"/>
          <w:highlight w:val="none"/>
        </w:rPr>
      </w:pPr>
    </w:p>
    <w:p w14:paraId="2817E48D">
      <w:pPr>
        <w:pStyle w:val="19"/>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招标编号：</w:t>
      </w:r>
      <w:r>
        <w:rPr>
          <w:rFonts w:hint="eastAsia" w:ascii="宋体" w:hAnsi="宋体" w:eastAsia="宋体" w:cs="宋体"/>
          <w:color w:val="auto"/>
          <w:sz w:val="30"/>
          <w:highlight w:val="none"/>
          <w:u w:val="single"/>
        </w:rPr>
        <w:t xml:space="preserve">                      </w:t>
      </w:r>
    </w:p>
    <w:p w14:paraId="543AB065">
      <w:pPr>
        <w:pStyle w:val="19"/>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项目名称：</w:t>
      </w:r>
      <w:r>
        <w:rPr>
          <w:rFonts w:hint="eastAsia" w:ascii="宋体" w:hAnsi="宋体" w:eastAsia="宋体" w:cs="宋体"/>
          <w:color w:val="auto"/>
          <w:sz w:val="30"/>
          <w:highlight w:val="none"/>
          <w:u w:val="single"/>
        </w:rPr>
        <w:t xml:space="preserve">                      </w:t>
      </w:r>
    </w:p>
    <w:p w14:paraId="0128BF93">
      <w:pPr>
        <w:pStyle w:val="19"/>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投标文件内容：</w:t>
      </w:r>
      <w:r>
        <w:rPr>
          <w:rFonts w:hint="eastAsia" w:ascii="宋体" w:hAnsi="宋体" w:eastAsia="宋体" w:cs="宋体"/>
          <w:color w:val="auto"/>
          <w:sz w:val="30"/>
          <w:highlight w:val="none"/>
          <w:u w:val="single"/>
        </w:rPr>
        <w:t xml:space="preserve"> 投标文件</w:t>
      </w:r>
      <w:r>
        <w:rPr>
          <w:rFonts w:hint="eastAsia" w:ascii="宋体" w:hAnsi="宋体" w:cs="宋体"/>
          <w:color w:val="auto"/>
          <w:sz w:val="30"/>
          <w:highlight w:val="none"/>
          <w:u w:val="single"/>
          <w:lang w:val="en-US" w:eastAsia="zh-CN"/>
        </w:rPr>
        <w:t>技术</w:t>
      </w:r>
      <w:r>
        <w:rPr>
          <w:rFonts w:hint="eastAsia" w:ascii="宋体" w:hAnsi="宋体" w:eastAsia="宋体" w:cs="宋体"/>
          <w:color w:val="auto"/>
          <w:sz w:val="30"/>
          <w:highlight w:val="none"/>
          <w:u w:val="single"/>
        </w:rPr>
        <w:t xml:space="preserve">部分 </w:t>
      </w:r>
    </w:p>
    <w:p w14:paraId="72B58D3C">
      <w:pPr>
        <w:pStyle w:val="19"/>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招标人：</w:t>
      </w:r>
      <w:r>
        <w:rPr>
          <w:rFonts w:hint="eastAsia" w:ascii="宋体" w:hAnsi="宋体" w:eastAsia="宋体" w:cs="宋体"/>
          <w:color w:val="auto"/>
          <w:sz w:val="30"/>
          <w:highlight w:val="none"/>
          <w:u w:val="single"/>
        </w:rPr>
        <w:t xml:space="preserve">                        </w:t>
      </w:r>
    </w:p>
    <w:p w14:paraId="18287045">
      <w:pPr>
        <w:pStyle w:val="19"/>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投标人：</w:t>
      </w:r>
      <w:r>
        <w:rPr>
          <w:rFonts w:hint="eastAsia" w:ascii="宋体" w:hAnsi="宋体" w:eastAsia="宋体" w:cs="宋体"/>
          <w:color w:val="auto"/>
          <w:sz w:val="30"/>
          <w:highlight w:val="none"/>
          <w:u w:val="single"/>
        </w:rPr>
        <w:t xml:space="preserve">                        </w:t>
      </w:r>
    </w:p>
    <w:p w14:paraId="76E07DF0">
      <w:pPr>
        <w:pStyle w:val="19"/>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日  期：</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年</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月</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日</w:t>
      </w:r>
    </w:p>
    <w:p w14:paraId="2E75AA1B">
      <w:pPr>
        <w:pStyle w:val="19"/>
        <w:spacing w:line="360" w:lineRule="auto"/>
        <w:rPr>
          <w:rFonts w:hint="eastAsia" w:ascii="宋体" w:hAnsi="宋体" w:eastAsia="宋体" w:cs="宋体"/>
          <w:color w:val="auto"/>
          <w:highlight w:val="none"/>
        </w:rPr>
      </w:pPr>
    </w:p>
    <w:p w14:paraId="206D63A9">
      <w:pPr>
        <w:pStyle w:val="19"/>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EDC3009">
      <w:pPr>
        <w:pStyle w:val="19"/>
        <w:spacing w:line="360" w:lineRule="auto"/>
        <w:rPr>
          <w:rFonts w:hint="eastAsia" w:ascii="宋体" w:hAnsi="宋体" w:eastAsia="宋体" w:cs="宋体"/>
          <w:color w:val="auto"/>
          <w:highlight w:val="none"/>
        </w:rPr>
      </w:pPr>
    </w:p>
    <w:p w14:paraId="65413976">
      <w:pPr>
        <w:pBdr>
          <w:top w:val="none" w:color="auto" w:sz="0" w:space="0"/>
          <w:left w:val="none" w:color="auto" w:sz="0" w:space="0"/>
          <w:bottom w:val="none" w:color="auto" w:sz="0" w:space="0"/>
          <w:right w:val="none" w:color="auto" w:sz="0" w:space="0"/>
          <w:between w:val="none" w:color="auto" w:sz="0" w:space="0"/>
        </w:pBdr>
        <w:spacing w:line="480" w:lineRule="auto"/>
        <w:ind w:firstLine="675" w:firstLineChars="224"/>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投标文件</w:t>
      </w:r>
      <w:r>
        <w:rPr>
          <w:rFonts w:hint="eastAsia" w:ascii="宋体" w:hAnsi="宋体" w:eastAsia="宋体" w:cs="宋体"/>
          <w:b/>
          <w:bCs/>
          <w:color w:val="auto"/>
          <w:sz w:val="30"/>
          <w:szCs w:val="30"/>
          <w:highlight w:val="none"/>
          <w:lang w:val="en-US" w:eastAsia="zh-CN"/>
        </w:rPr>
        <w:t>技术</w:t>
      </w:r>
      <w:r>
        <w:rPr>
          <w:rFonts w:hint="eastAsia" w:ascii="宋体" w:hAnsi="宋体" w:eastAsia="宋体" w:cs="宋体"/>
          <w:b/>
          <w:bCs/>
          <w:color w:val="auto"/>
          <w:sz w:val="30"/>
          <w:szCs w:val="30"/>
          <w:highlight w:val="none"/>
        </w:rPr>
        <w:t>评审部分索引表</w:t>
      </w:r>
    </w:p>
    <w:tbl>
      <w:tblPr>
        <w:tblStyle w:val="36"/>
        <w:tblW w:w="4999"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108" w:type="dxa"/>
          <w:bottom w:w="0" w:type="dxa"/>
          <w:right w:w="108" w:type="dxa"/>
        </w:tblCellMar>
      </w:tblPr>
      <w:tblGrid>
        <w:gridCol w:w="1379"/>
        <w:gridCol w:w="2773"/>
        <w:gridCol w:w="1786"/>
        <w:gridCol w:w="4430"/>
      </w:tblGrid>
      <w:tr w14:paraId="4FAA602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204" w:hRule="atLeast"/>
          <w:jc w:val="center"/>
        </w:trPr>
        <w:tc>
          <w:tcPr>
            <w:tcW w:w="665" w:type="pct"/>
            <w:vAlign w:val="center"/>
          </w:tcPr>
          <w:p w14:paraId="3C6E5AFB">
            <w:pPr>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序号</w:t>
            </w:r>
          </w:p>
        </w:tc>
        <w:tc>
          <w:tcPr>
            <w:tcW w:w="1337" w:type="pct"/>
            <w:vAlign w:val="center"/>
          </w:tcPr>
          <w:p w14:paraId="328F4549">
            <w:pPr>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评标项目</w:t>
            </w:r>
          </w:p>
        </w:tc>
        <w:tc>
          <w:tcPr>
            <w:tcW w:w="861" w:type="pct"/>
            <w:vAlign w:val="center"/>
          </w:tcPr>
          <w:p w14:paraId="3D8CCC37">
            <w:pPr>
              <w:adjustRightInd w:val="0"/>
              <w:snapToGrid w:val="0"/>
              <w:spacing w:line="360" w:lineRule="auto"/>
              <w:jc w:val="center"/>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招标文件上的满分值</w:t>
            </w:r>
          </w:p>
        </w:tc>
        <w:tc>
          <w:tcPr>
            <w:tcW w:w="2136" w:type="pct"/>
            <w:tcBorders>
              <w:left w:val="single" w:color="auto" w:sz="4" w:space="0"/>
            </w:tcBorders>
            <w:vAlign w:val="center"/>
          </w:tcPr>
          <w:p w14:paraId="7C1325D3">
            <w:pPr>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页码索引</w:t>
            </w:r>
          </w:p>
        </w:tc>
      </w:tr>
      <w:tr w14:paraId="5A9D5C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541" w:hRule="atLeast"/>
          <w:jc w:val="center"/>
        </w:trPr>
        <w:tc>
          <w:tcPr>
            <w:tcW w:w="665" w:type="pct"/>
            <w:vAlign w:val="center"/>
          </w:tcPr>
          <w:p w14:paraId="60AF887D">
            <w:pPr>
              <w:adjustRightInd w:val="0"/>
              <w:snapToGrid w:val="0"/>
              <w:spacing w:line="360" w:lineRule="auto"/>
              <w:jc w:val="center"/>
              <w:rPr>
                <w:rFonts w:hint="eastAsia" w:ascii="宋体" w:hAnsi="宋体" w:eastAsia="宋体" w:cs="宋体"/>
                <w:bCs/>
                <w:color w:val="auto"/>
                <w:szCs w:val="21"/>
                <w:highlight w:val="none"/>
              </w:rPr>
            </w:pPr>
          </w:p>
        </w:tc>
        <w:tc>
          <w:tcPr>
            <w:tcW w:w="1337" w:type="pct"/>
            <w:vAlign w:val="center"/>
          </w:tcPr>
          <w:p w14:paraId="6EB90C4C">
            <w:pPr>
              <w:adjustRightInd w:val="0"/>
              <w:snapToGrid w:val="0"/>
              <w:spacing w:line="360" w:lineRule="auto"/>
              <w:jc w:val="center"/>
              <w:rPr>
                <w:rFonts w:hint="eastAsia" w:ascii="宋体" w:hAnsi="宋体" w:eastAsia="宋体" w:cs="宋体"/>
                <w:bCs/>
                <w:color w:val="auto"/>
                <w:szCs w:val="21"/>
                <w:highlight w:val="none"/>
              </w:rPr>
            </w:pPr>
          </w:p>
        </w:tc>
        <w:tc>
          <w:tcPr>
            <w:tcW w:w="861" w:type="pct"/>
            <w:vAlign w:val="center"/>
          </w:tcPr>
          <w:p w14:paraId="26DEE18E">
            <w:pPr>
              <w:adjustRightInd w:val="0"/>
              <w:snapToGrid w:val="0"/>
              <w:spacing w:line="360" w:lineRule="auto"/>
              <w:jc w:val="center"/>
              <w:rPr>
                <w:rFonts w:hint="eastAsia" w:ascii="宋体" w:hAnsi="宋体" w:eastAsia="宋体" w:cs="宋体"/>
                <w:bCs/>
                <w:color w:val="auto"/>
                <w:szCs w:val="21"/>
                <w:highlight w:val="none"/>
              </w:rPr>
            </w:pPr>
          </w:p>
        </w:tc>
        <w:tc>
          <w:tcPr>
            <w:tcW w:w="2136" w:type="pct"/>
            <w:tcBorders>
              <w:left w:val="single" w:color="auto" w:sz="4" w:space="0"/>
            </w:tcBorders>
            <w:vAlign w:val="center"/>
          </w:tcPr>
          <w:p w14:paraId="3E4678FC">
            <w:pPr>
              <w:adjustRightInd w:val="0"/>
              <w:snapToGrid w:val="0"/>
              <w:spacing w:line="360" w:lineRule="auto"/>
              <w:rPr>
                <w:rFonts w:hint="eastAsia" w:ascii="宋体" w:hAnsi="宋体" w:eastAsia="宋体" w:cs="宋体"/>
                <w:bCs/>
                <w:color w:val="auto"/>
                <w:szCs w:val="21"/>
                <w:highlight w:val="none"/>
              </w:rPr>
            </w:pPr>
          </w:p>
        </w:tc>
      </w:tr>
      <w:tr w14:paraId="38B99A3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761" w:hRule="atLeast"/>
          <w:jc w:val="center"/>
        </w:trPr>
        <w:tc>
          <w:tcPr>
            <w:tcW w:w="665" w:type="pct"/>
            <w:vAlign w:val="center"/>
          </w:tcPr>
          <w:p w14:paraId="69608C82">
            <w:pPr>
              <w:rPr>
                <w:rFonts w:hint="eastAsia" w:ascii="宋体" w:hAnsi="宋体" w:eastAsia="宋体" w:cs="宋体"/>
                <w:bCs/>
                <w:color w:val="auto"/>
                <w:szCs w:val="21"/>
                <w:highlight w:val="none"/>
              </w:rPr>
            </w:pPr>
          </w:p>
        </w:tc>
        <w:tc>
          <w:tcPr>
            <w:tcW w:w="1337" w:type="pct"/>
            <w:vAlign w:val="center"/>
          </w:tcPr>
          <w:p w14:paraId="1016D9CB">
            <w:pPr>
              <w:rPr>
                <w:rFonts w:hint="eastAsia" w:ascii="宋体" w:hAnsi="宋体" w:eastAsia="宋体" w:cs="宋体"/>
                <w:bCs/>
                <w:color w:val="auto"/>
                <w:szCs w:val="21"/>
                <w:highlight w:val="none"/>
              </w:rPr>
            </w:pPr>
          </w:p>
        </w:tc>
        <w:tc>
          <w:tcPr>
            <w:tcW w:w="861" w:type="pct"/>
            <w:vAlign w:val="center"/>
          </w:tcPr>
          <w:p w14:paraId="5664C8B4">
            <w:pPr>
              <w:rPr>
                <w:rFonts w:hint="eastAsia" w:ascii="宋体" w:hAnsi="宋体" w:eastAsia="宋体" w:cs="宋体"/>
                <w:bCs/>
                <w:color w:val="auto"/>
                <w:szCs w:val="21"/>
                <w:highlight w:val="none"/>
              </w:rPr>
            </w:pPr>
          </w:p>
        </w:tc>
        <w:tc>
          <w:tcPr>
            <w:tcW w:w="2136" w:type="pct"/>
            <w:tcBorders>
              <w:left w:val="single" w:color="auto" w:sz="4" w:space="0"/>
            </w:tcBorders>
            <w:vAlign w:val="center"/>
          </w:tcPr>
          <w:p w14:paraId="652E5E18">
            <w:pPr>
              <w:adjustRightInd w:val="0"/>
              <w:snapToGrid w:val="0"/>
              <w:spacing w:line="360" w:lineRule="auto"/>
              <w:ind w:firstLine="105" w:firstLineChars="50"/>
              <w:rPr>
                <w:rFonts w:hint="eastAsia" w:ascii="宋体" w:hAnsi="宋体" w:eastAsia="宋体" w:cs="宋体"/>
                <w:bCs/>
                <w:color w:val="auto"/>
                <w:szCs w:val="21"/>
                <w:highlight w:val="none"/>
              </w:rPr>
            </w:pPr>
          </w:p>
        </w:tc>
      </w:tr>
      <w:tr w14:paraId="393FE2C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2029" w:hRule="atLeast"/>
          <w:jc w:val="center"/>
        </w:trPr>
        <w:tc>
          <w:tcPr>
            <w:tcW w:w="665" w:type="pct"/>
            <w:vAlign w:val="center"/>
          </w:tcPr>
          <w:p w14:paraId="4C31010F">
            <w:pPr>
              <w:adjustRightInd w:val="0"/>
              <w:snapToGrid w:val="0"/>
              <w:spacing w:line="360" w:lineRule="auto"/>
              <w:jc w:val="center"/>
              <w:rPr>
                <w:rFonts w:hint="eastAsia" w:ascii="宋体" w:hAnsi="宋体" w:eastAsia="宋体" w:cs="宋体"/>
                <w:bCs/>
                <w:color w:val="auto"/>
                <w:szCs w:val="21"/>
                <w:highlight w:val="none"/>
              </w:rPr>
            </w:pPr>
          </w:p>
        </w:tc>
        <w:tc>
          <w:tcPr>
            <w:tcW w:w="1337" w:type="pct"/>
            <w:vAlign w:val="center"/>
          </w:tcPr>
          <w:p w14:paraId="0B0622AA">
            <w:pPr>
              <w:adjustRightInd w:val="0"/>
              <w:snapToGrid w:val="0"/>
              <w:spacing w:line="360" w:lineRule="auto"/>
              <w:rPr>
                <w:rFonts w:hint="eastAsia" w:ascii="宋体" w:hAnsi="宋体" w:eastAsia="宋体" w:cs="宋体"/>
                <w:bCs/>
                <w:color w:val="auto"/>
                <w:szCs w:val="21"/>
                <w:highlight w:val="none"/>
              </w:rPr>
            </w:pPr>
          </w:p>
        </w:tc>
        <w:tc>
          <w:tcPr>
            <w:tcW w:w="861" w:type="pct"/>
            <w:vAlign w:val="center"/>
          </w:tcPr>
          <w:p w14:paraId="71363BC8">
            <w:pPr>
              <w:adjustRightInd w:val="0"/>
              <w:snapToGrid w:val="0"/>
              <w:spacing w:line="360" w:lineRule="auto"/>
              <w:jc w:val="center"/>
              <w:rPr>
                <w:rFonts w:hint="eastAsia" w:ascii="宋体" w:hAnsi="宋体" w:eastAsia="宋体" w:cs="宋体"/>
                <w:bCs/>
                <w:color w:val="auto"/>
                <w:szCs w:val="21"/>
                <w:highlight w:val="none"/>
              </w:rPr>
            </w:pPr>
          </w:p>
        </w:tc>
        <w:tc>
          <w:tcPr>
            <w:tcW w:w="2136" w:type="pct"/>
            <w:tcBorders>
              <w:left w:val="single" w:color="auto" w:sz="4" w:space="0"/>
            </w:tcBorders>
            <w:vAlign w:val="center"/>
          </w:tcPr>
          <w:p w14:paraId="197607D1">
            <w:pPr>
              <w:spacing w:line="360" w:lineRule="auto"/>
              <w:ind w:firstLine="8" w:firstLineChars="4"/>
              <w:rPr>
                <w:rFonts w:hint="eastAsia" w:ascii="宋体" w:hAnsi="宋体" w:eastAsia="宋体" w:cs="宋体"/>
                <w:bCs/>
                <w:color w:val="auto"/>
                <w:szCs w:val="21"/>
                <w:highlight w:val="none"/>
              </w:rPr>
            </w:pPr>
          </w:p>
        </w:tc>
      </w:tr>
      <w:tr w14:paraId="737B731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033" w:hRule="atLeast"/>
          <w:jc w:val="center"/>
        </w:trPr>
        <w:tc>
          <w:tcPr>
            <w:tcW w:w="665" w:type="pct"/>
            <w:tcBorders>
              <w:top w:val="single" w:color="auto" w:sz="6" w:space="0"/>
              <w:left w:val="single" w:color="auto" w:sz="4" w:space="0"/>
              <w:bottom w:val="outset" w:color="808080" w:sz="6" w:space="0"/>
              <w:right w:val="single" w:color="auto" w:sz="6" w:space="0"/>
            </w:tcBorders>
            <w:vAlign w:val="center"/>
          </w:tcPr>
          <w:p w14:paraId="68F1AC06">
            <w:pPr>
              <w:adjustRightInd w:val="0"/>
              <w:snapToGrid w:val="0"/>
              <w:spacing w:line="360" w:lineRule="auto"/>
              <w:jc w:val="center"/>
              <w:rPr>
                <w:rFonts w:hint="eastAsia" w:ascii="宋体" w:hAnsi="宋体" w:eastAsia="宋体" w:cs="宋体"/>
                <w:bCs/>
                <w:color w:val="auto"/>
                <w:szCs w:val="21"/>
                <w:highlight w:val="none"/>
              </w:rPr>
            </w:pPr>
          </w:p>
        </w:tc>
        <w:tc>
          <w:tcPr>
            <w:tcW w:w="1337" w:type="pct"/>
            <w:tcBorders>
              <w:top w:val="single" w:color="auto" w:sz="6" w:space="0"/>
              <w:left w:val="single" w:color="auto" w:sz="6" w:space="0"/>
              <w:bottom w:val="outset" w:color="808080" w:sz="6" w:space="0"/>
              <w:right w:val="single" w:color="auto" w:sz="6" w:space="0"/>
            </w:tcBorders>
            <w:vAlign w:val="center"/>
          </w:tcPr>
          <w:p w14:paraId="3F66A968">
            <w:pPr>
              <w:adjustRightInd w:val="0"/>
              <w:snapToGrid w:val="0"/>
              <w:spacing w:line="360" w:lineRule="auto"/>
              <w:rPr>
                <w:rFonts w:hint="eastAsia" w:ascii="宋体" w:hAnsi="宋体" w:eastAsia="宋体" w:cs="宋体"/>
                <w:bCs/>
                <w:color w:val="auto"/>
                <w:szCs w:val="21"/>
                <w:highlight w:val="none"/>
              </w:rPr>
            </w:pPr>
          </w:p>
        </w:tc>
        <w:tc>
          <w:tcPr>
            <w:tcW w:w="861" w:type="pct"/>
            <w:tcBorders>
              <w:top w:val="single" w:color="auto" w:sz="6" w:space="0"/>
              <w:left w:val="single" w:color="auto" w:sz="6" w:space="0"/>
              <w:bottom w:val="outset" w:color="808080" w:sz="6" w:space="0"/>
              <w:right w:val="single" w:color="auto" w:sz="6" w:space="0"/>
            </w:tcBorders>
            <w:vAlign w:val="center"/>
          </w:tcPr>
          <w:p w14:paraId="19CC107F">
            <w:pPr>
              <w:adjustRightInd w:val="0"/>
              <w:snapToGrid w:val="0"/>
              <w:spacing w:line="360" w:lineRule="auto"/>
              <w:jc w:val="center"/>
              <w:rPr>
                <w:rFonts w:hint="eastAsia" w:ascii="宋体" w:hAnsi="宋体" w:eastAsia="宋体" w:cs="宋体"/>
                <w:bCs/>
                <w:color w:val="auto"/>
                <w:szCs w:val="21"/>
                <w:highlight w:val="none"/>
              </w:rPr>
            </w:pPr>
          </w:p>
        </w:tc>
        <w:tc>
          <w:tcPr>
            <w:tcW w:w="2136" w:type="pct"/>
            <w:tcBorders>
              <w:top w:val="single" w:color="auto" w:sz="6" w:space="0"/>
              <w:left w:val="single" w:color="auto" w:sz="4" w:space="0"/>
              <w:bottom w:val="outset" w:color="808080" w:sz="6" w:space="0"/>
              <w:right w:val="single" w:color="auto" w:sz="6" w:space="0"/>
            </w:tcBorders>
            <w:vAlign w:val="center"/>
          </w:tcPr>
          <w:p w14:paraId="6D85E88D">
            <w:pPr>
              <w:adjustRightInd w:val="0"/>
              <w:snapToGrid w:val="0"/>
              <w:spacing w:line="360" w:lineRule="auto"/>
              <w:rPr>
                <w:rFonts w:hint="eastAsia" w:ascii="宋体" w:hAnsi="宋体" w:eastAsia="宋体" w:cs="宋体"/>
                <w:bCs/>
                <w:color w:val="auto"/>
                <w:szCs w:val="21"/>
                <w:highlight w:val="none"/>
              </w:rPr>
            </w:pPr>
          </w:p>
        </w:tc>
      </w:tr>
      <w:tr w14:paraId="58CCF7F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966" w:hRule="atLeast"/>
          <w:jc w:val="center"/>
        </w:trPr>
        <w:tc>
          <w:tcPr>
            <w:tcW w:w="2002" w:type="pct"/>
            <w:gridSpan w:val="2"/>
            <w:tcBorders>
              <w:bottom w:val="single" w:color="auto" w:sz="4" w:space="0"/>
            </w:tcBorders>
            <w:vAlign w:val="center"/>
          </w:tcPr>
          <w:p w14:paraId="688195E7">
            <w:pPr>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合计</w:t>
            </w:r>
          </w:p>
        </w:tc>
        <w:tc>
          <w:tcPr>
            <w:tcW w:w="861" w:type="pct"/>
            <w:tcBorders>
              <w:bottom w:val="single" w:color="auto" w:sz="4" w:space="0"/>
            </w:tcBorders>
            <w:vAlign w:val="center"/>
          </w:tcPr>
          <w:p w14:paraId="78EC5A13">
            <w:pPr>
              <w:adjustRightInd w:val="0"/>
              <w:snapToGrid w:val="0"/>
              <w:spacing w:line="360" w:lineRule="auto"/>
              <w:jc w:val="center"/>
              <w:rPr>
                <w:rFonts w:hint="eastAsia" w:ascii="宋体" w:hAnsi="宋体" w:eastAsia="宋体" w:cs="宋体"/>
                <w:bCs/>
                <w:color w:val="auto"/>
                <w:szCs w:val="21"/>
                <w:highlight w:val="none"/>
              </w:rPr>
            </w:pPr>
          </w:p>
        </w:tc>
        <w:tc>
          <w:tcPr>
            <w:tcW w:w="2136" w:type="pct"/>
            <w:tcBorders>
              <w:left w:val="single" w:color="auto" w:sz="4" w:space="0"/>
              <w:bottom w:val="single" w:color="auto" w:sz="4" w:space="0"/>
            </w:tcBorders>
            <w:vAlign w:val="center"/>
          </w:tcPr>
          <w:p w14:paraId="13E4DC8B">
            <w:pPr>
              <w:spacing w:line="360" w:lineRule="auto"/>
              <w:jc w:val="center"/>
              <w:rPr>
                <w:rFonts w:hint="eastAsia" w:ascii="宋体" w:hAnsi="宋体" w:eastAsia="宋体" w:cs="宋体"/>
                <w:bCs/>
                <w:color w:val="auto"/>
                <w:szCs w:val="21"/>
                <w:highlight w:val="none"/>
              </w:rPr>
            </w:pPr>
          </w:p>
        </w:tc>
      </w:tr>
    </w:tbl>
    <w:p w14:paraId="57F58744">
      <w:pPr>
        <w:tabs>
          <w:tab w:val="left" w:pos="567"/>
        </w:tabs>
        <w:autoSpaceDE w:val="0"/>
        <w:autoSpaceDN w:val="0"/>
        <w:adjustRightInd w:val="0"/>
        <w:spacing w:line="360" w:lineRule="auto"/>
        <w:jc w:val="left"/>
        <w:outlineLvl w:val="2"/>
        <w:rPr>
          <w:rFonts w:ascii="宋体" w:hAnsi="宋体" w:eastAsia="宋体" w:cs="宋体"/>
          <w:b/>
          <w:color w:val="auto"/>
          <w:kern w:val="0"/>
          <w:sz w:val="30"/>
          <w:szCs w:val="30"/>
          <w:highlight w:val="none"/>
        </w:rPr>
      </w:pPr>
      <w:r>
        <w:rPr>
          <w:rFonts w:hint="eastAsia" w:ascii="宋体" w:hAnsi="宋体" w:eastAsia="宋体" w:cs="宋体"/>
          <w:b/>
          <w:color w:val="auto"/>
          <w:kern w:val="0"/>
          <w:szCs w:val="21"/>
          <w:highlight w:val="none"/>
        </w:rPr>
        <w:br w:type="page"/>
      </w:r>
      <w:bookmarkEnd w:id="611"/>
      <w:bookmarkStart w:id="633" w:name="_Toc94107223"/>
      <w:bookmarkStart w:id="634" w:name="_Toc102860086"/>
      <w:bookmarkStart w:id="635" w:name="_Toc20630"/>
      <w:bookmarkStart w:id="636" w:name="_Toc142508381"/>
      <w:bookmarkStart w:id="637" w:name="_Toc102860430"/>
      <w:bookmarkStart w:id="638" w:name="_Toc104991888"/>
      <w:bookmarkStart w:id="639" w:name="_Toc1558"/>
      <w:bookmarkStart w:id="640" w:name="_Toc19382"/>
      <w:bookmarkStart w:id="641" w:name="_Toc533708135"/>
      <w:bookmarkStart w:id="642" w:name="_Toc140596941"/>
      <w:bookmarkStart w:id="643" w:name="_Toc1977740"/>
      <w:r>
        <w:rPr>
          <w:rFonts w:hint="eastAsia" w:ascii="宋体" w:hAnsi="宋体" w:eastAsia="宋体" w:cs="宋体"/>
          <w:b/>
          <w:color w:val="auto"/>
          <w:kern w:val="0"/>
          <w:sz w:val="30"/>
          <w:szCs w:val="30"/>
          <w:highlight w:val="none"/>
        </w:rPr>
        <w:t>1</w:t>
      </w:r>
      <w:r>
        <w:rPr>
          <w:rFonts w:hint="eastAsia" w:ascii="宋体" w:hAnsi="宋体" w:eastAsia="宋体" w:cs="宋体"/>
          <w:b/>
          <w:color w:val="auto"/>
          <w:kern w:val="0"/>
          <w:sz w:val="30"/>
          <w:szCs w:val="30"/>
          <w:highlight w:val="none"/>
          <w:lang w:val="en-US" w:eastAsia="zh-CN"/>
        </w:rPr>
        <w:t>4</w:t>
      </w:r>
      <w:r>
        <w:rPr>
          <w:rFonts w:hint="eastAsia" w:ascii="宋体" w:hAnsi="宋体" w:eastAsia="宋体" w:cs="宋体"/>
          <w:b/>
          <w:color w:val="auto"/>
          <w:kern w:val="0"/>
          <w:sz w:val="30"/>
          <w:szCs w:val="30"/>
          <w:highlight w:val="none"/>
        </w:rPr>
        <w:t>.1 用户需求偏离表格式</w:t>
      </w:r>
      <w:bookmarkEnd w:id="633"/>
      <w:bookmarkEnd w:id="634"/>
      <w:bookmarkEnd w:id="635"/>
      <w:bookmarkEnd w:id="636"/>
      <w:bookmarkEnd w:id="637"/>
      <w:bookmarkEnd w:id="638"/>
      <w:bookmarkEnd w:id="639"/>
      <w:bookmarkEnd w:id="640"/>
      <w:bookmarkEnd w:id="641"/>
      <w:bookmarkEnd w:id="642"/>
      <w:bookmarkEnd w:id="643"/>
    </w:p>
    <w:p w14:paraId="688C4950">
      <w:pPr>
        <w:spacing w:before="120" w:after="120" w:line="360" w:lineRule="auto"/>
        <w:jc w:val="center"/>
        <w:outlineLvl w:val="2"/>
        <w:rPr>
          <w:rFonts w:ascii="宋体" w:hAnsi="宋体" w:eastAsia="宋体" w:cs="Times New Roman"/>
          <w:color w:val="auto"/>
          <w:kern w:val="0"/>
          <w:szCs w:val="21"/>
          <w:highlight w:val="none"/>
        </w:rPr>
      </w:pPr>
      <w:bookmarkStart w:id="644" w:name="_Toc17449_WPSOffice_Level3"/>
      <w:bookmarkStart w:id="645" w:name="_Toc30001"/>
      <w:r>
        <w:rPr>
          <w:rFonts w:hint="eastAsia" w:ascii="宋体" w:hAnsi="宋体" w:eastAsia="宋体" w:cs="宋体"/>
          <w:b/>
          <w:color w:val="auto"/>
          <w:kern w:val="0"/>
          <w:sz w:val="30"/>
          <w:szCs w:val="30"/>
          <w:highlight w:val="none"/>
          <w:lang w:val="en-US" w:eastAsia="zh-CN"/>
        </w:rPr>
        <w:t xml:space="preserve">14.1.1 </w:t>
      </w:r>
      <w:r>
        <w:rPr>
          <w:rFonts w:hint="eastAsia" w:ascii="宋体" w:hAnsi="宋体" w:eastAsia="宋体" w:cs="宋体"/>
          <w:b/>
          <w:color w:val="auto"/>
          <w:kern w:val="0"/>
          <w:sz w:val="30"/>
          <w:szCs w:val="30"/>
          <w:highlight w:val="none"/>
          <w:lang w:val="zh-CN"/>
        </w:rPr>
        <w:t>用户需求偏离表</w:t>
      </w:r>
      <w:bookmarkEnd w:id="644"/>
      <w:bookmarkEnd w:id="645"/>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056"/>
        <w:gridCol w:w="6392"/>
        <w:gridCol w:w="699"/>
        <w:gridCol w:w="844"/>
        <w:gridCol w:w="815"/>
      </w:tblGrid>
      <w:tr w14:paraId="3E87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272" w:type="pct"/>
            <w:vMerge w:val="restart"/>
            <w:vAlign w:val="center"/>
          </w:tcPr>
          <w:p w14:paraId="1F01FD60">
            <w:pPr>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591" w:type="pct"/>
            <w:gridSpan w:val="2"/>
            <w:vAlign w:val="center"/>
          </w:tcPr>
          <w:p w14:paraId="380C0B48">
            <w:pPr>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招标文件要求</w:t>
            </w:r>
          </w:p>
        </w:tc>
        <w:tc>
          <w:tcPr>
            <w:tcW w:w="1135" w:type="pct"/>
            <w:gridSpan w:val="3"/>
            <w:vAlign w:val="center"/>
          </w:tcPr>
          <w:p w14:paraId="4BDA105C">
            <w:pPr>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投标文件内容</w:t>
            </w:r>
          </w:p>
        </w:tc>
      </w:tr>
      <w:tr w14:paraId="1BC9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72" w:type="pct"/>
            <w:vMerge w:val="continue"/>
            <w:vAlign w:val="center"/>
          </w:tcPr>
          <w:p w14:paraId="26CC469F">
            <w:pPr>
              <w:keepNext/>
              <w:keepLines/>
              <w:spacing w:line="240" w:lineRule="auto"/>
              <w:jc w:val="center"/>
              <w:outlineLvl w:val="0"/>
              <w:rPr>
                <w:rFonts w:hint="eastAsia" w:ascii="宋体" w:hAnsi="宋体" w:eastAsia="宋体" w:cs="宋体"/>
                <w:color w:val="auto"/>
                <w:kern w:val="0"/>
                <w:sz w:val="21"/>
                <w:szCs w:val="21"/>
                <w:highlight w:val="none"/>
              </w:rPr>
            </w:pPr>
          </w:p>
        </w:tc>
        <w:tc>
          <w:tcPr>
            <w:tcW w:w="509" w:type="pct"/>
            <w:vAlign w:val="center"/>
          </w:tcPr>
          <w:p w14:paraId="3242C017">
            <w:pPr>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条款号</w:t>
            </w:r>
          </w:p>
        </w:tc>
        <w:tc>
          <w:tcPr>
            <w:tcW w:w="3081" w:type="pct"/>
            <w:vAlign w:val="center"/>
          </w:tcPr>
          <w:p w14:paraId="11409677">
            <w:pPr>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简要内容</w:t>
            </w:r>
          </w:p>
        </w:tc>
        <w:tc>
          <w:tcPr>
            <w:tcW w:w="337" w:type="pct"/>
            <w:vAlign w:val="center"/>
          </w:tcPr>
          <w:p w14:paraId="65B6FDB8">
            <w:pPr>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偏离情况</w:t>
            </w:r>
          </w:p>
        </w:tc>
        <w:tc>
          <w:tcPr>
            <w:tcW w:w="407" w:type="pct"/>
            <w:vAlign w:val="center"/>
          </w:tcPr>
          <w:p w14:paraId="03B5796F">
            <w:pPr>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实质性响应的具体内容</w:t>
            </w:r>
          </w:p>
        </w:tc>
        <w:tc>
          <w:tcPr>
            <w:tcW w:w="390" w:type="pct"/>
            <w:vAlign w:val="center"/>
          </w:tcPr>
          <w:p w14:paraId="7541BF0E">
            <w:pPr>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对应证明材料页码</w:t>
            </w:r>
          </w:p>
        </w:tc>
      </w:tr>
      <w:tr w14:paraId="21F0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vAlign w:val="center"/>
          </w:tcPr>
          <w:p w14:paraId="7DAD340A">
            <w:pPr>
              <w:pageBreakBefore w:val="0"/>
              <w:kinsoku/>
              <w:wordWrap/>
              <w:overflowPunct/>
              <w:topLinePunct w:val="0"/>
              <w:bidi w:val="0"/>
              <w:snapToGrid/>
              <w:spacing w:line="24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509" w:type="pct"/>
            <w:vAlign w:val="center"/>
          </w:tcPr>
          <w:p w14:paraId="6904C360">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一</w:t>
            </w:r>
          </w:p>
        </w:tc>
        <w:tc>
          <w:tcPr>
            <w:tcW w:w="3081" w:type="pct"/>
            <w:vAlign w:val="center"/>
          </w:tcPr>
          <w:p w14:paraId="46F05C3D">
            <w:pPr>
              <w:pageBreakBefore w:val="0"/>
              <w:kinsoku/>
              <w:wordWrap/>
              <w:overflowPunct/>
              <w:topLinePunct w:val="0"/>
              <w:autoSpaceDE w:val="0"/>
              <w:autoSpaceDN w:val="0"/>
              <w:bidi w:val="0"/>
              <w:adjustRightInd w:val="0"/>
              <w:snapToGrid/>
              <w:spacing w:line="240" w:lineRule="auto"/>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货物采购清单</w:t>
            </w:r>
          </w:p>
        </w:tc>
        <w:tc>
          <w:tcPr>
            <w:tcW w:w="337" w:type="pct"/>
            <w:vAlign w:val="center"/>
          </w:tcPr>
          <w:p w14:paraId="256649A7">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7EA45CAD">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35606D72">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24D4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vAlign w:val="center"/>
          </w:tcPr>
          <w:p w14:paraId="385C7557">
            <w:pPr>
              <w:pageBreakBefore w:val="0"/>
              <w:kinsoku/>
              <w:wordWrap/>
              <w:overflowPunct/>
              <w:topLinePunct w:val="0"/>
              <w:bidi w:val="0"/>
              <w:snapToGrid/>
              <w:spacing w:line="24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509" w:type="pct"/>
            <w:vAlign w:val="center"/>
          </w:tcPr>
          <w:p w14:paraId="5F31E1BF">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三</w:t>
            </w:r>
          </w:p>
        </w:tc>
        <w:tc>
          <w:tcPr>
            <w:tcW w:w="3081" w:type="pct"/>
            <w:vAlign w:val="center"/>
          </w:tcPr>
          <w:p w14:paraId="7623EADC">
            <w:pPr>
              <w:pageBreakBefore w:val="0"/>
              <w:kinsoku/>
              <w:wordWrap/>
              <w:overflowPunct/>
              <w:topLinePunct w:val="0"/>
              <w:autoSpaceDE w:val="0"/>
              <w:autoSpaceDN w:val="0"/>
              <w:bidi w:val="0"/>
              <w:adjustRightInd w:val="0"/>
              <w:snapToGrid/>
              <w:spacing w:line="240" w:lineRule="auto"/>
              <w:textAlignment w:val="auto"/>
              <w:rPr>
                <w:rFonts w:hint="default"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投标产品要求</w:t>
            </w:r>
          </w:p>
        </w:tc>
        <w:tc>
          <w:tcPr>
            <w:tcW w:w="337" w:type="pct"/>
            <w:vAlign w:val="center"/>
          </w:tcPr>
          <w:p w14:paraId="07CD8EB4">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3C6B5BC6">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4E043120">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3660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vAlign w:val="center"/>
          </w:tcPr>
          <w:p w14:paraId="38E6B1AB">
            <w:pPr>
              <w:pageBreakBefore w:val="0"/>
              <w:kinsoku/>
              <w:wordWrap/>
              <w:overflowPunct/>
              <w:topLinePunct w:val="0"/>
              <w:bidi w:val="0"/>
              <w:snapToGrid/>
              <w:spacing w:line="24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509" w:type="pct"/>
            <w:vAlign w:val="center"/>
          </w:tcPr>
          <w:p w14:paraId="15ED10F4">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rPr>
              <w:t>四</w:t>
            </w:r>
          </w:p>
        </w:tc>
        <w:tc>
          <w:tcPr>
            <w:tcW w:w="3081" w:type="pct"/>
            <w:vAlign w:val="center"/>
          </w:tcPr>
          <w:p w14:paraId="107B0B71">
            <w:pPr>
              <w:pageBreakBefore w:val="0"/>
              <w:widowControl/>
              <w:kinsoku/>
              <w:wordWrap/>
              <w:overflowPunct/>
              <w:topLinePunct w:val="0"/>
              <w:autoSpaceDE w:val="0"/>
              <w:autoSpaceDN w:val="0"/>
              <w:bidi w:val="0"/>
              <w:adjustRightInd w:val="0"/>
              <w:snapToGrid/>
              <w:spacing w:line="240" w:lineRule="auto"/>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交货要求</w:t>
            </w:r>
          </w:p>
        </w:tc>
        <w:tc>
          <w:tcPr>
            <w:tcW w:w="337" w:type="pct"/>
            <w:vAlign w:val="center"/>
          </w:tcPr>
          <w:p w14:paraId="27D7F619">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3D6865DB">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5854225F">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2FDE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vAlign w:val="center"/>
          </w:tcPr>
          <w:p w14:paraId="76FFA0E3">
            <w:pPr>
              <w:pageBreakBefore w:val="0"/>
              <w:kinsoku/>
              <w:wordWrap/>
              <w:overflowPunct/>
              <w:topLinePunct w:val="0"/>
              <w:bidi w:val="0"/>
              <w:snapToGrid/>
              <w:spacing w:line="24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w:t>
            </w:r>
          </w:p>
        </w:tc>
        <w:tc>
          <w:tcPr>
            <w:tcW w:w="509" w:type="pct"/>
            <w:vAlign w:val="center"/>
          </w:tcPr>
          <w:p w14:paraId="2E029E8F">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五</w:t>
            </w:r>
          </w:p>
        </w:tc>
        <w:tc>
          <w:tcPr>
            <w:tcW w:w="3081" w:type="pct"/>
            <w:vAlign w:val="center"/>
          </w:tcPr>
          <w:p w14:paraId="565A23D9">
            <w:pPr>
              <w:pageBreakBefore w:val="0"/>
              <w:widowControl/>
              <w:kinsoku/>
              <w:wordWrap/>
              <w:overflowPunct/>
              <w:topLinePunct w:val="0"/>
              <w:autoSpaceDE w:val="0"/>
              <w:autoSpaceDN w:val="0"/>
              <w:bidi w:val="0"/>
              <w:adjustRightInd w:val="0"/>
              <w:snapToGrid/>
              <w:spacing w:line="240" w:lineRule="auto"/>
              <w:textAlignment w:val="auto"/>
              <w:rPr>
                <w:rFonts w:hint="default"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价款要求</w:t>
            </w:r>
          </w:p>
        </w:tc>
        <w:tc>
          <w:tcPr>
            <w:tcW w:w="337" w:type="pct"/>
            <w:vAlign w:val="center"/>
          </w:tcPr>
          <w:p w14:paraId="1185FB28">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787E2CFB">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7E2E6BC8">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31EE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vAlign w:val="center"/>
          </w:tcPr>
          <w:p w14:paraId="4CF41ED2">
            <w:pPr>
              <w:pageBreakBefore w:val="0"/>
              <w:kinsoku/>
              <w:wordWrap/>
              <w:overflowPunct/>
              <w:topLinePunct w:val="0"/>
              <w:bidi w:val="0"/>
              <w:snapToGrid/>
              <w:spacing w:line="24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w:t>
            </w:r>
          </w:p>
        </w:tc>
        <w:tc>
          <w:tcPr>
            <w:tcW w:w="509" w:type="pct"/>
            <w:vAlign w:val="center"/>
          </w:tcPr>
          <w:p w14:paraId="6B759E0E">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六</w:t>
            </w:r>
          </w:p>
        </w:tc>
        <w:tc>
          <w:tcPr>
            <w:tcW w:w="3081" w:type="pct"/>
            <w:vAlign w:val="center"/>
          </w:tcPr>
          <w:p w14:paraId="216E7602">
            <w:pPr>
              <w:pageBreakBefore w:val="0"/>
              <w:widowControl/>
              <w:kinsoku/>
              <w:wordWrap/>
              <w:overflowPunct/>
              <w:topLinePunct w:val="0"/>
              <w:autoSpaceDE w:val="0"/>
              <w:autoSpaceDN w:val="0"/>
              <w:bidi w:val="0"/>
              <w:adjustRightInd w:val="0"/>
              <w:snapToGrid/>
              <w:spacing w:line="240" w:lineRule="auto"/>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质保及售后服务要求</w:t>
            </w:r>
          </w:p>
        </w:tc>
        <w:tc>
          <w:tcPr>
            <w:tcW w:w="337" w:type="pct"/>
            <w:vAlign w:val="center"/>
          </w:tcPr>
          <w:p w14:paraId="3851CD43">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06EABADE">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4D97EAC5">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1DEE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vAlign w:val="center"/>
          </w:tcPr>
          <w:p w14:paraId="5C5DED59">
            <w:pPr>
              <w:pageBreakBefore w:val="0"/>
              <w:kinsoku/>
              <w:wordWrap/>
              <w:overflowPunct/>
              <w:topLinePunct w:val="0"/>
              <w:bidi w:val="0"/>
              <w:snapToGrid/>
              <w:spacing w:line="24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509" w:type="pct"/>
            <w:vAlign w:val="center"/>
          </w:tcPr>
          <w:p w14:paraId="52FF2D15">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七</w:t>
            </w:r>
          </w:p>
        </w:tc>
        <w:tc>
          <w:tcPr>
            <w:tcW w:w="3081" w:type="pct"/>
            <w:vAlign w:val="center"/>
          </w:tcPr>
          <w:p w14:paraId="516CB84C">
            <w:pPr>
              <w:pStyle w:val="32"/>
              <w:pageBreakBefore w:val="0"/>
              <w:kinsoku/>
              <w:wordWrap/>
              <w:overflowPunct/>
              <w:topLinePunct w:val="0"/>
              <w:autoSpaceDE w:val="0"/>
              <w:bidi w:val="0"/>
              <w:adjustRightInd w:val="0"/>
              <w:snapToGrid/>
              <w:spacing w:before="0" w:beforeAutospacing="0" w:after="0" w:afterAutospacing="0" w:line="240" w:lineRule="auto"/>
              <w:jc w:val="both"/>
              <w:textAlignment w:val="auto"/>
              <w:rPr>
                <w:rFonts w:hint="default" w:ascii="宋体" w:hAnsi="宋体" w:eastAsia="宋体" w:cs="宋体"/>
                <w:b w:val="0"/>
                <w:bCs w:val="0"/>
                <w:color w:val="auto"/>
                <w:sz w:val="21"/>
                <w:szCs w:val="21"/>
                <w:highlight w:val="none"/>
                <w:lang w:val="en-US" w:eastAsia="zh-CN"/>
              </w:rPr>
            </w:pPr>
            <w:r>
              <w:rPr>
                <w:rFonts w:hint="eastAsia" w:eastAsia="宋体" w:cs="宋体"/>
                <w:b w:val="0"/>
                <w:bCs w:val="0"/>
                <w:color w:val="auto"/>
                <w:sz w:val="21"/>
                <w:szCs w:val="21"/>
                <w:highlight w:val="none"/>
                <w:lang w:val="en-US" w:eastAsia="zh-CN"/>
              </w:rPr>
              <w:t>知识产权</w:t>
            </w:r>
          </w:p>
        </w:tc>
        <w:tc>
          <w:tcPr>
            <w:tcW w:w="337" w:type="pct"/>
            <w:vAlign w:val="center"/>
          </w:tcPr>
          <w:p w14:paraId="49D3F770">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2C20A5F9">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343EEDFD">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4EDB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vAlign w:val="center"/>
          </w:tcPr>
          <w:p w14:paraId="1CDED884">
            <w:pPr>
              <w:pageBreakBefore w:val="0"/>
              <w:kinsoku/>
              <w:wordWrap/>
              <w:overflowPunct/>
              <w:topLinePunct w:val="0"/>
              <w:bidi w:val="0"/>
              <w:snapToGrid/>
              <w:spacing w:line="24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w:t>
            </w:r>
          </w:p>
        </w:tc>
        <w:tc>
          <w:tcPr>
            <w:tcW w:w="509" w:type="pct"/>
            <w:vAlign w:val="center"/>
          </w:tcPr>
          <w:p w14:paraId="07588521">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八</w:t>
            </w:r>
          </w:p>
        </w:tc>
        <w:tc>
          <w:tcPr>
            <w:tcW w:w="3081" w:type="pct"/>
            <w:vAlign w:val="center"/>
          </w:tcPr>
          <w:p w14:paraId="78AE8590">
            <w:pPr>
              <w:pageBreakBefore w:val="0"/>
              <w:widowControl/>
              <w:kinsoku/>
              <w:wordWrap/>
              <w:overflowPunct/>
              <w:topLinePunct w:val="0"/>
              <w:autoSpaceDE w:val="0"/>
              <w:autoSpaceDN w:val="0"/>
              <w:bidi w:val="0"/>
              <w:adjustRightInd w:val="0"/>
              <w:snapToGrid/>
              <w:spacing w:line="240" w:lineRule="auto"/>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造假或虚假承诺行为的处理</w:t>
            </w:r>
          </w:p>
        </w:tc>
        <w:tc>
          <w:tcPr>
            <w:tcW w:w="337" w:type="pct"/>
            <w:vAlign w:val="center"/>
          </w:tcPr>
          <w:p w14:paraId="21F818F7">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5BE7A3D4">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4ACDEF3B">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06CE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vAlign w:val="center"/>
          </w:tcPr>
          <w:p w14:paraId="59C3E057">
            <w:pPr>
              <w:pageBreakBefore w:val="0"/>
              <w:kinsoku/>
              <w:wordWrap/>
              <w:overflowPunct/>
              <w:topLinePunct w:val="0"/>
              <w:bidi w:val="0"/>
              <w:snapToGrid/>
              <w:spacing w:line="24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509" w:type="pct"/>
            <w:vAlign w:val="center"/>
          </w:tcPr>
          <w:p w14:paraId="1A980514">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九</w:t>
            </w:r>
          </w:p>
        </w:tc>
        <w:tc>
          <w:tcPr>
            <w:tcW w:w="3081" w:type="pct"/>
            <w:vAlign w:val="center"/>
          </w:tcPr>
          <w:p w14:paraId="0C342F24">
            <w:pPr>
              <w:pStyle w:val="32"/>
              <w:pageBreakBefore w:val="0"/>
              <w:kinsoku/>
              <w:wordWrap/>
              <w:overflowPunct/>
              <w:topLinePunct w:val="0"/>
              <w:autoSpaceDE w:val="0"/>
              <w:bidi w:val="0"/>
              <w:adjustRightInd w:val="0"/>
              <w:snapToGrid/>
              <w:spacing w:before="0" w:beforeAutospacing="0" w:after="0" w:afterAutospacing="0" w:line="240" w:lineRule="auto"/>
              <w:jc w:val="both"/>
              <w:textAlignment w:val="auto"/>
              <w:rPr>
                <w:rFonts w:hint="default" w:ascii="宋体" w:hAnsi="宋体" w:eastAsia="宋体" w:cs="宋体"/>
                <w:b w:val="0"/>
                <w:bCs w:val="0"/>
                <w:color w:val="auto"/>
                <w:sz w:val="21"/>
                <w:szCs w:val="21"/>
                <w:highlight w:val="none"/>
                <w:lang w:val="en-US" w:eastAsia="zh-CN"/>
              </w:rPr>
            </w:pPr>
            <w:r>
              <w:rPr>
                <w:rFonts w:hint="eastAsia" w:eastAsia="宋体" w:cs="宋体"/>
                <w:b w:val="0"/>
                <w:bCs w:val="0"/>
                <w:color w:val="auto"/>
                <w:sz w:val="21"/>
                <w:szCs w:val="21"/>
                <w:highlight w:val="none"/>
                <w:lang w:val="en-US" w:eastAsia="zh-CN"/>
              </w:rPr>
              <w:t>违约责任</w:t>
            </w:r>
          </w:p>
        </w:tc>
        <w:tc>
          <w:tcPr>
            <w:tcW w:w="337" w:type="pct"/>
            <w:vAlign w:val="center"/>
          </w:tcPr>
          <w:p w14:paraId="5A5BBF08">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05C82093">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728E1D80">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1045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shd w:val="clear" w:color="auto" w:fill="auto"/>
            <w:vAlign w:val="center"/>
          </w:tcPr>
          <w:p w14:paraId="1F1AB811">
            <w:pPr>
              <w:spacing w:line="240" w:lineRule="auto"/>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9</w:t>
            </w:r>
          </w:p>
        </w:tc>
        <w:tc>
          <w:tcPr>
            <w:tcW w:w="509" w:type="pct"/>
            <w:shd w:val="clear" w:color="auto" w:fill="auto"/>
            <w:vAlign w:val="center"/>
          </w:tcPr>
          <w:p w14:paraId="3EBA8FF2">
            <w:pPr>
              <w:pageBreakBefore w:val="0"/>
              <w:kinsoku/>
              <w:wordWrap/>
              <w:overflowPunct/>
              <w:topLinePunct w:val="0"/>
              <w:bidi w:val="0"/>
              <w:snapToGrid/>
              <w:spacing w:line="240" w:lineRule="auto"/>
              <w:jc w:val="center"/>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附件1</w:t>
            </w:r>
          </w:p>
        </w:tc>
        <w:tc>
          <w:tcPr>
            <w:tcW w:w="3081" w:type="pct"/>
            <w:shd w:val="clear" w:color="auto" w:fill="auto"/>
            <w:vAlign w:val="center"/>
          </w:tcPr>
          <w:p w14:paraId="6945F042">
            <w:pPr>
              <w:pageBreakBefore w:val="0"/>
              <w:kinsoku/>
              <w:wordWrap/>
              <w:overflowPunct/>
              <w:topLinePunct w:val="0"/>
              <w:bidi w:val="0"/>
              <w:snapToGrid/>
              <w:spacing w:line="240" w:lineRule="auto"/>
              <w:jc w:val="left"/>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查验单</w:t>
            </w:r>
          </w:p>
        </w:tc>
        <w:tc>
          <w:tcPr>
            <w:tcW w:w="337" w:type="pct"/>
            <w:vAlign w:val="center"/>
          </w:tcPr>
          <w:p w14:paraId="07C80265">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74F55B3E">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2B31E80E">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1413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shd w:val="clear" w:color="auto" w:fill="auto"/>
            <w:vAlign w:val="center"/>
          </w:tcPr>
          <w:p w14:paraId="3BD8DA49">
            <w:pPr>
              <w:spacing w:line="240" w:lineRule="auto"/>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w:t>
            </w:r>
          </w:p>
        </w:tc>
        <w:tc>
          <w:tcPr>
            <w:tcW w:w="509" w:type="pct"/>
            <w:shd w:val="clear" w:color="auto" w:fill="auto"/>
            <w:vAlign w:val="center"/>
          </w:tcPr>
          <w:p w14:paraId="1AC84F2E">
            <w:pPr>
              <w:pageBreakBefore w:val="0"/>
              <w:kinsoku/>
              <w:wordWrap/>
              <w:overflowPunct/>
              <w:topLinePunct w:val="0"/>
              <w:bidi w:val="0"/>
              <w:snapToGrid/>
              <w:spacing w:line="240" w:lineRule="auto"/>
              <w:jc w:val="center"/>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附件2</w:t>
            </w:r>
          </w:p>
        </w:tc>
        <w:tc>
          <w:tcPr>
            <w:tcW w:w="3081" w:type="pct"/>
            <w:shd w:val="clear" w:color="auto" w:fill="auto"/>
            <w:vAlign w:val="center"/>
          </w:tcPr>
          <w:p w14:paraId="033C2887">
            <w:pPr>
              <w:pageBreakBefore w:val="0"/>
              <w:kinsoku/>
              <w:wordWrap/>
              <w:overflowPunct/>
              <w:topLinePunct w:val="0"/>
              <w:bidi w:val="0"/>
              <w:snapToGrid/>
              <w:spacing w:line="240" w:lineRule="auto"/>
              <w:jc w:val="left"/>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验收单</w:t>
            </w:r>
          </w:p>
        </w:tc>
        <w:tc>
          <w:tcPr>
            <w:tcW w:w="337" w:type="pct"/>
            <w:vAlign w:val="center"/>
          </w:tcPr>
          <w:p w14:paraId="094A086C">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71783F2B">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44CE4833">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730A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2" w:type="pct"/>
            <w:shd w:val="clear" w:color="auto" w:fill="auto"/>
            <w:vAlign w:val="center"/>
          </w:tcPr>
          <w:p w14:paraId="5AF3E122">
            <w:pPr>
              <w:spacing w:line="240" w:lineRule="auto"/>
              <w:jc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11</w:t>
            </w:r>
          </w:p>
        </w:tc>
        <w:tc>
          <w:tcPr>
            <w:tcW w:w="509" w:type="pct"/>
            <w:shd w:val="clear" w:color="auto" w:fill="auto"/>
            <w:vAlign w:val="center"/>
          </w:tcPr>
          <w:p w14:paraId="4939EFFA">
            <w:pPr>
              <w:pageBreakBefore w:val="0"/>
              <w:kinsoku/>
              <w:wordWrap/>
              <w:overflowPunct/>
              <w:topLinePunct w:val="0"/>
              <w:bidi w:val="0"/>
              <w:snapToGrid/>
              <w:spacing w:line="240" w:lineRule="auto"/>
              <w:jc w:val="center"/>
              <w:textAlignment w:val="auto"/>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附件3</w:t>
            </w:r>
          </w:p>
        </w:tc>
        <w:tc>
          <w:tcPr>
            <w:tcW w:w="3081" w:type="pct"/>
            <w:shd w:val="clear" w:color="auto" w:fill="auto"/>
            <w:vAlign w:val="center"/>
          </w:tcPr>
          <w:p w14:paraId="319D3FCE">
            <w:pPr>
              <w:pageBreakBefore w:val="0"/>
              <w:kinsoku/>
              <w:wordWrap/>
              <w:overflowPunct/>
              <w:topLinePunct w:val="0"/>
              <w:bidi w:val="0"/>
              <w:snapToGrid/>
              <w:spacing w:line="240" w:lineRule="auto"/>
              <w:jc w:val="left"/>
              <w:textAlignment w:val="auto"/>
              <w:rPr>
                <w:rFonts w:hint="default"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部分零部件保修期限表</w:t>
            </w:r>
          </w:p>
        </w:tc>
        <w:tc>
          <w:tcPr>
            <w:tcW w:w="337" w:type="pct"/>
            <w:vAlign w:val="center"/>
          </w:tcPr>
          <w:p w14:paraId="61955A8E">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407" w:type="pct"/>
            <w:vAlign w:val="center"/>
          </w:tcPr>
          <w:p w14:paraId="0C2982C6">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c>
          <w:tcPr>
            <w:tcW w:w="390" w:type="pct"/>
            <w:vAlign w:val="center"/>
          </w:tcPr>
          <w:p w14:paraId="623D8B46">
            <w:pPr>
              <w:keepNext/>
              <w:keepLines/>
              <w:pageBreakBefore w:val="0"/>
              <w:kinsoku/>
              <w:wordWrap/>
              <w:overflowPunct/>
              <w:topLinePunct w:val="0"/>
              <w:bidi w:val="0"/>
              <w:snapToGrid/>
              <w:spacing w:line="240" w:lineRule="auto"/>
              <w:jc w:val="center"/>
              <w:textAlignment w:val="auto"/>
              <w:outlineLvl w:val="2"/>
              <w:rPr>
                <w:rFonts w:hint="eastAsia" w:ascii="宋体" w:hAnsi="宋体" w:eastAsia="宋体" w:cs="宋体"/>
                <w:color w:val="auto"/>
                <w:kern w:val="0"/>
                <w:sz w:val="21"/>
                <w:szCs w:val="21"/>
                <w:highlight w:val="none"/>
              </w:rPr>
            </w:pPr>
          </w:p>
        </w:tc>
      </w:tr>
      <w:tr w14:paraId="7A98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6"/>
            <w:vAlign w:val="center"/>
          </w:tcPr>
          <w:p w14:paraId="4DE36293">
            <w:pPr>
              <w:keepNext/>
              <w:keepLines/>
              <w:spacing w:line="240" w:lineRule="auto"/>
              <w:jc w:val="left"/>
              <w:outlineLvl w:val="2"/>
              <w:rPr>
                <w:rFonts w:hint="eastAsia" w:ascii="宋体" w:hAnsi="宋体" w:eastAsia="宋体" w:cs="宋体"/>
                <w:color w:val="auto"/>
                <w:kern w:val="0"/>
                <w:sz w:val="21"/>
                <w:szCs w:val="21"/>
                <w:highlight w:val="none"/>
              </w:rPr>
            </w:pPr>
            <w:bookmarkStart w:id="646" w:name="_Toc10880"/>
            <w:r>
              <w:rPr>
                <w:rFonts w:hint="eastAsia" w:ascii="宋体" w:hAnsi="宋体" w:eastAsia="宋体" w:cs="宋体"/>
                <w:color w:val="auto"/>
                <w:kern w:val="0"/>
                <w:sz w:val="21"/>
                <w:szCs w:val="21"/>
                <w:highlight w:val="none"/>
              </w:rPr>
              <w:t>用户需求书“★”条款汇总</w:t>
            </w:r>
            <w:bookmarkEnd w:id="646"/>
          </w:p>
        </w:tc>
      </w:tr>
      <w:tr w14:paraId="2F7A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2" w:type="pct"/>
            <w:vAlign w:val="center"/>
          </w:tcPr>
          <w:p w14:paraId="6A576E2D">
            <w:pPr>
              <w:spacing w:line="240" w:lineRule="auto"/>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12</w:t>
            </w:r>
          </w:p>
        </w:tc>
        <w:tc>
          <w:tcPr>
            <w:tcW w:w="509" w:type="pct"/>
            <w:vAlign w:val="center"/>
          </w:tcPr>
          <w:p w14:paraId="09088AB3">
            <w:pPr>
              <w:spacing w:line="240" w:lineRule="auto"/>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二、16</w:t>
            </w:r>
          </w:p>
        </w:tc>
        <w:tc>
          <w:tcPr>
            <w:tcW w:w="3081" w:type="pct"/>
            <w:vAlign w:val="center"/>
          </w:tcPr>
          <w:p w14:paraId="1EEE6721">
            <w:pPr>
              <w:kinsoku w:val="0"/>
              <w:autoSpaceDE w:val="0"/>
              <w:autoSpaceDN w:val="0"/>
              <w:adjustRightInd w:val="0"/>
              <w:snapToGrid w:val="0"/>
              <w:spacing w:before="0" w:beforeAutospacing="0" w:after="0" w:afterAutospacing="0"/>
              <w:contextualSpacing/>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kern w:val="0"/>
                <w:szCs w:val="21"/>
                <w:highlight w:val="none"/>
              </w:rPr>
              <w:t>★防撞缓冲等级</w:t>
            </w:r>
            <w:r>
              <w:rPr>
                <w:rFonts w:hint="eastAsia" w:ascii="宋体" w:hAnsi="宋体" w:eastAsia="宋体" w:cs="宋体"/>
                <w:b/>
                <w:bCs/>
                <w:color w:val="auto"/>
                <w:kern w:val="0"/>
                <w:szCs w:val="21"/>
                <w:highlight w:val="none"/>
                <w:lang w:eastAsia="zh-CN"/>
              </w:rPr>
              <w:t>：</w:t>
            </w:r>
            <w:r>
              <w:rPr>
                <w:rFonts w:ascii="宋体" w:hAnsi="宋体" w:eastAsia="宋体" w:cs="宋体"/>
                <w:b/>
                <w:bCs/>
                <w:color w:val="auto"/>
                <w:kern w:val="0"/>
                <w:szCs w:val="21"/>
                <w:highlight w:val="none"/>
              </w:rPr>
              <w:t>1100-</w:t>
            </w:r>
            <w:r>
              <w:rPr>
                <w:rFonts w:hint="eastAsia" w:ascii="宋体" w:hAnsi="宋体" w:eastAsia="宋体" w:cs="宋体"/>
                <w:b/>
                <w:bCs/>
                <w:color w:val="auto"/>
                <w:kern w:val="0"/>
                <w:szCs w:val="21"/>
                <w:highlight w:val="none"/>
              </w:rPr>
              <w:t>2270kg——≥80 km/h（碰撞体质量——碰撞体时速）</w:t>
            </w:r>
          </w:p>
        </w:tc>
        <w:tc>
          <w:tcPr>
            <w:tcW w:w="337" w:type="pct"/>
            <w:vAlign w:val="center"/>
          </w:tcPr>
          <w:p w14:paraId="7836E04B">
            <w:pPr>
              <w:keepNext/>
              <w:keepLines/>
              <w:spacing w:line="240" w:lineRule="auto"/>
              <w:jc w:val="center"/>
              <w:outlineLvl w:val="2"/>
              <w:rPr>
                <w:rFonts w:hint="eastAsia" w:ascii="宋体" w:hAnsi="宋体" w:eastAsia="宋体" w:cs="宋体"/>
                <w:color w:val="auto"/>
                <w:kern w:val="0"/>
                <w:sz w:val="21"/>
                <w:szCs w:val="21"/>
                <w:highlight w:val="none"/>
              </w:rPr>
            </w:pPr>
          </w:p>
        </w:tc>
        <w:tc>
          <w:tcPr>
            <w:tcW w:w="407" w:type="pct"/>
            <w:vAlign w:val="center"/>
          </w:tcPr>
          <w:p w14:paraId="52E9AF75">
            <w:pPr>
              <w:keepNext/>
              <w:keepLines/>
              <w:spacing w:line="240" w:lineRule="auto"/>
              <w:jc w:val="center"/>
              <w:outlineLvl w:val="2"/>
              <w:rPr>
                <w:rFonts w:hint="eastAsia" w:ascii="宋体" w:hAnsi="宋体" w:eastAsia="宋体" w:cs="宋体"/>
                <w:color w:val="auto"/>
                <w:kern w:val="0"/>
                <w:sz w:val="21"/>
                <w:szCs w:val="21"/>
                <w:highlight w:val="none"/>
              </w:rPr>
            </w:pPr>
          </w:p>
        </w:tc>
        <w:tc>
          <w:tcPr>
            <w:tcW w:w="390" w:type="pct"/>
            <w:vAlign w:val="center"/>
          </w:tcPr>
          <w:p w14:paraId="4ED996CF">
            <w:pPr>
              <w:keepNext/>
              <w:keepLines/>
              <w:spacing w:line="240" w:lineRule="auto"/>
              <w:jc w:val="center"/>
              <w:outlineLvl w:val="2"/>
              <w:rPr>
                <w:rFonts w:hint="eastAsia" w:ascii="宋体" w:hAnsi="宋体" w:eastAsia="宋体" w:cs="宋体"/>
                <w:color w:val="auto"/>
                <w:kern w:val="0"/>
                <w:sz w:val="21"/>
                <w:szCs w:val="21"/>
                <w:highlight w:val="none"/>
              </w:rPr>
            </w:pPr>
          </w:p>
        </w:tc>
      </w:tr>
      <w:tr w14:paraId="504C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2" w:type="pct"/>
            <w:vAlign w:val="center"/>
          </w:tcPr>
          <w:p w14:paraId="5813D80C">
            <w:pPr>
              <w:spacing w:line="240" w:lineRule="auto"/>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13</w:t>
            </w:r>
          </w:p>
        </w:tc>
        <w:tc>
          <w:tcPr>
            <w:tcW w:w="509" w:type="pct"/>
            <w:vAlign w:val="center"/>
          </w:tcPr>
          <w:p w14:paraId="0204573D">
            <w:pPr>
              <w:spacing w:line="240" w:lineRule="auto"/>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二、26</w:t>
            </w:r>
          </w:p>
        </w:tc>
        <w:tc>
          <w:tcPr>
            <w:tcW w:w="3081" w:type="pct"/>
            <w:vAlign w:val="center"/>
          </w:tcPr>
          <w:p w14:paraId="38DA06A5">
            <w:pPr>
              <w:pStyle w:val="32"/>
              <w:kinsoku w:val="0"/>
              <w:autoSpaceDE w:val="0"/>
              <w:adjustRightInd w:val="0"/>
              <w:snapToGrid w:val="0"/>
              <w:spacing w:before="0" w:beforeAutospacing="0" w:after="0" w:afterAutospacing="0" w:line="240" w:lineRule="auto"/>
              <w:jc w:val="both"/>
              <w:textAlignment w:val="baseline"/>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kern w:val="0"/>
                <w:sz w:val="21"/>
                <w:szCs w:val="21"/>
                <w:highlight w:val="none"/>
              </w:rPr>
              <w:t>★预警功能</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预警设备可与高德或百度地图联网，产品测距范围≥250m，具有声光双重预警，且含两种灯光预警模式，即常亮和闪亮两种警示方式。</w:t>
            </w:r>
          </w:p>
        </w:tc>
        <w:tc>
          <w:tcPr>
            <w:tcW w:w="337" w:type="pct"/>
            <w:vAlign w:val="center"/>
          </w:tcPr>
          <w:p w14:paraId="2B50C05A">
            <w:pPr>
              <w:keepNext/>
              <w:keepLines/>
              <w:spacing w:line="240" w:lineRule="auto"/>
              <w:jc w:val="center"/>
              <w:outlineLvl w:val="2"/>
              <w:rPr>
                <w:rFonts w:hint="eastAsia" w:ascii="宋体" w:hAnsi="宋体" w:eastAsia="宋体" w:cs="宋体"/>
                <w:color w:val="auto"/>
                <w:kern w:val="0"/>
                <w:sz w:val="21"/>
                <w:szCs w:val="21"/>
                <w:highlight w:val="none"/>
              </w:rPr>
            </w:pPr>
          </w:p>
        </w:tc>
        <w:tc>
          <w:tcPr>
            <w:tcW w:w="407" w:type="pct"/>
            <w:vAlign w:val="center"/>
          </w:tcPr>
          <w:p w14:paraId="75CC0A3E">
            <w:pPr>
              <w:keepNext/>
              <w:keepLines/>
              <w:spacing w:line="240" w:lineRule="auto"/>
              <w:jc w:val="center"/>
              <w:outlineLvl w:val="2"/>
              <w:rPr>
                <w:rFonts w:hint="eastAsia" w:ascii="宋体" w:hAnsi="宋体" w:eastAsia="宋体" w:cs="宋体"/>
                <w:color w:val="auto"/>
                <w:kern w:val="0"/>
                <w:sz w:val="21"/>
                <w:szCs w:val="21"/>
                <w:highlight w:val="none"/>
              </w:rPr>
            </w:pPr>
          </w:p>
        </w:tc>
        <w:tc>
          <w:tcPr>
            <w:tcW w:w="390" w:type="pct"/>
            <w:vAlign w:val="center"/>
          </w:tcPr>
          <w:p w14:paraId="616D314A">
            <w:pPr>
              <w:keepNext/>
              <w:keepLines/>
              <w:spacing w:line="240" w:lineRule="auto"/>
              <w:jc w:val="center"/>
              <w:outlineLvl w:val="2"/>
              <w:rPr>
                <w:rFonts w:hint="eastAsia" w:ascii="宋体" w:hAnsi="宋体" w:eastAsia="宋体" w:cs="宋体"/>
                <w:color w:val="auto"/>
                <w:kern w:val="0"/>
                <w:sz w:val="21"/>
                <w:szCs w:val="21"/>
                <w:highlight w:val="none"/>
              </w:rPr>
            </w:pPr>
          </w:p>
        </w:tc>
      </w:tr>
      <w:tr w14:paraId="3A9C1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2" w:type="pct"/>
            <w:vAlign w:val="center"/>
          </w:tcPr>
          <w:p w14:paraId="5F45452E">
            <w:pPr>
              <w:spacing w:line="240" w:lineRule="auto"/>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14</w:t>
            </w:r>
          </w:p>
        </w:tc>
        <w:tc>
          <w:tcPr>
            <w:tcW w:w="509" w:type="pct"/>
            <w:vAlign w:val="center"/>
          </w:tcPr>
          <w:p w14:paraId="29BF7695">
            <w:pPr>
              <w:spacing w:line="240" w:lineRule="auto"/>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三</w:t>
            </w:r>
          </w:p>
        </w:tc>
        <w:tc>
          <w:tcPr>
            <w:tcW w:w="3081" w:type="pct"/>
            <w:vAlign w:val="center"/>
          </w:tcPr>
          <w:p w14:paraId="343F799A">
            <w:pPr>
              <w:numPr>
                <w:ilvl w:val="-1"/>
                <w:numId w:val="0"/>
              </w:numPr>
              <w:autoSpaceDE w:val="0"/>
              <w:autoSpaceDN w:val="0"/>
              <w:adjustRightInd w:val="0"/>
              <w:snapToGrid w:val="0"/>
              <w:spacing w:line="240" w:lineRule="auto"/>
              <w:ind w:firstLine="0" w:firstLineChars="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★三、投标产品要求</w:t>
            </w:r>
          </w:p>
          <w:p w14:paraId="4A564D69">
            <w:pPr>
              <w:autoSpaceDE w:val="0"/>
              <w:autoSpaceDN w:val="0"/>
              <w:adjustRightInd w:val="0"/>
              <w:snapToGrid w:val="0"/>
              <w:spacing w:line="240" w:lineRule="auto"/>
              <w:ind w:firstLine="0" w:firstLineChars="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一）投标人投标车辆的生产企业及投标车辆（含防撞包）产品型号已列入国家工业和信息化部发布的有效的《道路机动车辆生产企业及产品公告》（或《车辆生产企业及产品公告》）【提供反映投标车辆的生产企业及投标车辆（含防撞包）产品型号已列入国家工业和信息化部发布的有效的《道路机动车辆生产企业及产品公告》（或《车辆生产企业及产品公告》）的证明文件】。</w:t>
            </w:r>
          </w:p>
          <w:p w14:paraId="27EED609">
            <w:pPr>
              <w:autoSpaceDE w:val="0"/>
              <w:autoSpaceDN w:val="0"/>
              <w:adjustRightInd w:val="0"/>
              <w:snapToGrid w:val="0"/>
              <w:spacing w:line="240" w:lineRule="auto"/>
              <w:ind w:firstLine="0" w:firstLineChars="0"/>
              <w:contextualSpacing/>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（二）投标车辆具有中国国家强制性产品认证证书（</w:t>
            </w:r>
            <w:r>
              <w:rPr>
                <w:rFonts w:ascii="宋体" w:hAnsi="宋体" w:eastAsia="宋体" w:cs="宋体"/>
                <w:b/>
                <w:bCs/>
                <w:color w:val="auto"/>
                <w:kern w:val="0"/>
                <w:szCs w:val="21"/>
                <w:highlight w:val="none"/>
              </w:rPr>
              <w:t>3C认证)【提供投标车辆的中国国家强制性产品认证证书（3C认证)复印件】。</w:t>
            </w:r>
          </w:p>
          <w:p w14:paraId="28CE75F5">
            <w:pPr>
              <w:numPr>
                <w:ilvl w:val="255"/>
                <w:numId w:val="0"/>
              </w:numPr>
              <w:autoSpaceDE w:val="0"/>
              <w:autoSpaceDN w:val="0"/>
              <w:adjustRightInd w:val="0"/>
              <w:snapToGrid w:val="0"/>
              <w:spacing w:line="240" w:lineRule="auto"/>
              <w:ind w:firstLine="0" w:firstLineChars="0"/>
              <w:contextualSpacing/>
              <w:jc w:val="left"/>
              <w:rPr>
                <w:rFonts w:hint="eastAsia" w:ascii="宋体" w:hAnsi="宋体" w:eastAsia="宋体" w:cs="宋体"/>
                <w:b/>
                <w:bCs/>
                <w:color w:val="auto"/>
                <w:kern w:val="0"/>
                <w:szCs w:val="21"/>
                <w:highlight w:val="none"/>
                <w:lang w:eastAsia="zh-CN"/>
              </w:rPr>
            </w:pPr>
            <w:r>
              <w:rPr>
                <w:rFonts w:hint="eastAsia" w:ascii="宋体" w:hAnsi="宋体" w:eastAsia="宋体" w:cs="宋体"/>
                <w:b/>
                <w:bCs/>
                <w:color w:val="auto"/>
                <w:kern w:val="0"/>
                <w:szCs w:val="21"/>
                <w:highlight w:val="none"/>
              </w:rPr>
              <w:t>（三）投标人应提供防撞包出厂检验合格证明及防撞包的产品质量险，提供防撞包防撞等级证明材料（参考《MASH2016》和国内行业标准的防撞等级测试标准，包含正向追尾、偏置正向追尾和偏斜向追尾的第三方专业检测机构出具的实车碰撞检测报告</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rPr>
              <w:t>碰撞测试工况包含对投标车型的1100kg小车正撞、2270kg小车正撞、偏撞以及偏斜撞，测试报告中应体现出测试后车质量，及碰撞过程图片）。按招标人要求配备所有附件和完整的使用说明书，提供整套设备的结构、原理、使用等相关资料。</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lang w:val="en-US" w:eastAsia="zh-CN"/>
              </w:rPr>
              <w:t>提供</w:t>
            </w:r>
            <w:r>
              <w:rPr>
                <w:rFonts w:hint="eastAsia" w:ascii="宋体" w:hAnsi="宋体" w:eastAsia="宋体" w:cs="宋体"/>
                <w:b/>
                <w:bCs/>
                <w:color w:val="auto"/>
                <w:kern w:val="0"/>
                <w:szCs w:val="21"/>
                <w:highlight w:val="none"/>
              </w:rPr>
              <w:t>出厂检验合格证明</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lang w:val="en-US" w:eastAsia="zh-CN"/>
              </w:rPr>
              <w:t>2026年度防撞包</w:t>
            </w:r>
            <w:r>
              <w:rPr>
                <w:rFonts w:hint="eastAsia" w:ascii="宋体" w:hAnsi="宋体" w:eastAsia="宋体" w:cs="宋体"/>
                <w:b/>
                <w:bCs/>
                <w:color w:val="auto"/>
                <w:kern w:val="0"/>
                <w:szCs w:val="21"/>
                <w:highlight w:val="none"/>
              </w:rPr>
              <w:t>产品质量险</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lang w:val="en-US" w:eastAsia="zh-CN"/>
              </w:rPr>
              <w:t>碰撞检测报告</w:t>
            </w:r>
            <w:r>
              <w:rPr>
                <w:rFonts w:hint="eastAsia" w:ascii="宋体" w:hAnsi="宋体" w:eastAsia="宋体" w:cs="宋体"/>
                <w:b/>
                <w:bCs/>
                <w:color w:val="auto"/>
                <w:kern w:val="0"/>
                <w:szCs w:val="21"/>
                <w:highlight w:val="none"/>
                <w:lang w:eastAsia="zh-CN"/>
              </w:rPr>
              <w:t>】</w:t>
            </w:r>
          </w:p>
          <w:p w14:paraId="3E27B729">
            <w:pPr>
              <w:kinsoku w:val="0"/>
              <w:autoSpaceDE w:val="0"/>
              <w:autoSpaceDN w:val="0"/>
              <w:adjustRightInd w:val="0"/>
              <w:snapToGrid w:val="0"/>
              <w:spacing w:before="0" w:beforeAutospacing="0" w:after="0" w:afterAutospacing="0" w:line="240" w:lineRule="auto"/>
              <w:contextualSpacing/>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kern w:val="0"/>
                <w:szCs w:val="21"/>
                <w:highlight w:val="none"/>
              </w:rPr>
              <w:t>（四）投标人应提供所投车辆内容完整、字迹清晰易辨认的《汽车整车产品定型试验报告》并确保其真实性。投标文件承诺的所投车辆参数必须与所附的《汽车整车产品定型试验报告》的有关参数一致。</w:t>
            </w:r>
            <w:r>
              <w:rPr>
                <w:rFonts w:hint="eastAsia" w:ascii="宋体" w:hAnsi="宋体" w:eastAsia="宋体" w:cs="宋体"/>
                <w:b/>
                <w:bCs/>
                <w:color w:val="auto"/>
                <w:kern w:val="0"/>
                <w:szCs w:val="21"/>
                <w:highlight w:val="none"/>
                <w:lang w:eastAsia="zh-CN"/>
              </w:rPr>
              <w:t>【</w:t>
            </w:r>
            <w:r>
              <w:rPr>
                <w:rFonts w:hint="eastAsia" w:ascii="宋体" w:hAnsi="宋体" w:eastAsia="宋体" w:cs="宋体"/>
                <w:b/>
                <w:bCs/>
                <w:color w:val="auto"/>
                <w:kern w:val="0"/>
                <w:szCs w:val="21"/>
                <w:highlight w:val="none"/>
                <w:lang w:val="en-US" w:eastAsia="zh-CN"/>
              </w:rPr>
              <w:t>提供</w:t>
            </w:r>
            <w:r>
              <w:rPr>
                <w:rFonts w:hint="eastAsia" w:ascii="宋体" w:hAnsi="宋体" w:eastAsia="宋体" w:cs="宋体"/>
                <w:b/>
                <w:bCs/>
                <w:color w:val="auto"/>
                <w:kern w:val="0"/>
                <w:szCs w:val="21"/>
                <w:highlight w:val="none"/>
              </w:rPr>
              <w:t>《汽车整车产品定型试验报告》</w:t>
            </w:r>
            <w:r>
              <w:rPr>
                <w:rFonts w:hint="eastAsia" w:ascii="宋体" w:hAnsi="宋体" w:eastAsia="宋体" w:cs="宋体"/>
                <w:b/>
                <w:bCs/>
                <w:color w:val="auto"/>
                <w:kern w:val="0"/>
                <w:szCs w:val="21"/>
                <w:highlight w:val="none"/>
                <w:lang w:eastAsia="zh-CN"/>
              </w:rPr>
              <w:t>】</w:t>
            </w:r>
          </w:p>
        </w:tc>
        <w:tc>
          <w:tcPr>
            <w:tcW w:w="337" w:type="pct"/>
            <w:vAlign w:val="center"/>
          </w:tcPr>
          <w:p w14:paraId="5A423A96">
            <w:pPr>
              <w:keepNext/>
              <w:keepLines/>
              <w:spacing w:line="240" w:lineRule="auto"/>
              <w:jc w:val="center"/>
              <w:outlineLvl w:val="2"/>
              <w:rPr>
                <w:rFonts w:hint="eastAsia" w:ascii="宋体" w:hAnsi="宋体" w:eastAsia="宋体" w:cs="宋体"/>
                <w:color w:val="auto"/>
                <w:kern w:val="0"/>
                <w:sz w:val="21"/>
                <w:szCs w:val="21"/>
                <w:highlight w:val="none"/>
              </w:rPr>
            </w:pPr>
          </w:p>
        </w:tc>
        <w:tc>
          <w:tcPr>
            <w:tcW w:w="407" w:type="pct"/>
            <w:vAlign w:val="center"/>
          </w:tcPr>
          <w:p w14:paraId="759C7F09">
            <w:pPr>
              <w:keepNext/>
              <w:keepLines/>
              <w:spacing w:line="240" w:lineRule="auto"/>
              <w:jc w:val="center"/>
              <w:outlineLvl w:val="2"/>
              <w:rPr>
                <w:rFonts w:hint="eastAsia" w:ascii="宋体" w:hAnsi="宋体" w:eastAsia="宋体" w:cs="宋体"/>
                <w:color w:val="auto"/>
                <w:kern w:val="0"/>
                <w:sz w:val="21"/>
                <w:szCs w:val="21"/>
                <w:highlight w:val="none"/>
              </w:rPr>
            </w:pPr>
          </w:p>
        </w:tc>
        <w:tc>
          <w:tcPr>
            <w:tcW w:w="390" w:type="pct"/>
            <w:vAlign w:val="center"/>
          </w:tcPr>
          <w:p w14:paraId="7D5603CB">
            <w:pPr>
              <w:keepNext/>
              <w:keepLines/>
              <w:spacing w:line="240" w:lineRule="auto"/>
              <w:jc w:val="center"/>
              <w:outlineLvl w:val="2"/>
              <w:rPr>
                <w:rFonts w:hint="eastAsia" w:ascii="宋体" w:hAnsi="宋体" w:eastAsia="宋体" w:cs="宋体"/>
                <w:color w:val="auto"/>
                <w:kern w:val="0"/>
                <w:sz w:val="21"/>
                <w:szCs w:val="21"/>
                <w:highlight w:val="none"/>
              </w:rPr>
            </w:pPr>
          </w:p>
        </w:tc>
      </w:tr>
      <w:tr w14:paraId="5D479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272" w:type="pct"/>
            <w:vAlign w:val="center"/>
          </w:tcPr>
          <w:p w14:paraId="0D6E3193">
            <w:pPr>
              <w:spacing w:line="240" w:lineRule="auto"/>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15</w:t>
            </w:r>
          </w:p>
        </w:tc>
        <w:tc>
          <w:tcPr>
            <w:tcW w:w="509" w:type="pct"/>
            <w:vAlign w:val="center"/>
          </w:tcPr>
          <w:p w14:paraId="26EFE009">
            <w:pPr>
              <w:spacing w:line="240" w:lineRule="auto"/>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六、（二）、（1）</w:t>
            </w:r>
          </w:p>
        </w:tc>
        <w:tc>
          <w:tcPr>
            <w:tcW w:w="3081" w:type="pct"/>
            <w:vAlign w:val="center"/>
          </w:tcPr>
          <w:p w14:paraId="5228E810">
            <w:pPr>
              <w:spacing w:line="240" w:lineRule="auto"/>
              <w:ind w:firstLine="0" w:firstLineChars="0"/>
              <w:contextualSpacing/>
              <w:jc w:val="both"/>
              <w:rPr>
                <w:rFonts w:hint="eastAsia" w:ascii="宋体" w:hAnsi="宋体" w:eastAsia="宋体" w:cs="宋体"/>
                <w:b/>
                <w:bCs/>
                <w:color w:val="auto"/>
                <w:kern w:val="0"/>
                <w:sz w:val="21"/>
                <w:szCs w:val="21"/>
                <w:highlight w:val="none"/>
                <w:lang w:bidi="ar"/>
              </w:rPr>
            </w:pPr>
            <w:r>
              <w:rPr>
                <w:rFonts w:hint="eastAsia" w:ascii="宋体" w:hAnsi="宋体" w:eastAsia="宋体" w:cs="宋体"/>
                <w:b/>
                <w:bCs/>
                <w:color w:val="auto"/>
                <w:kern w:val="0"/>
                <w:sz w:val="21"/>
                <w:szCs w:val="21"/>
                <w:highlight w:val="none"/>
                <w:lang w:val="zh-CN"/>
              </w:rPr>
              <w:t>★</w:t>
            </w:r>
            <w:r>
              <w:rPr>
                <w:rFonts w:hint="eastAsia" w:ascii="宋体" w:hAnsi="宋体" w:eastAsia="宋体" w:cs="宋体"/>
                <w:b/>
                <w:bCs/>
                <w:color w:val="auto"/>
                <w:kern w:val="0"/>
                <w:sz w:val="21"/>
                <w:szCs w:val="21"/>
                <w:highlight w:val="none"/>
              </w:rPr>
              <w:t>（1）质保期内，中标人须根据车辆使用说明书或用户使用手册（中文）要求的频率及次数提供免费的整车保养及整体检查（机油、冷却液、刹车油以及车辆上装部分的润滑油脂等耗材均免费）。</w:t>
            </w:r>
          </w:p>
        </w:tc>
        <w:tc>
          <w:tcPr>
            <w:tcW w:w="337" w:type="pct"/>
            <w:vAlign w:val="center"/>
          </w:tcPr>
          <w:p w14:paraId="63D0F016">
            <w:pPr>
              <w:keepNext/>
              <w:keepLines/>
              <w:spacing w:line="240" w:lineRule="auto"/>
              <w:jc w:val="center"/>
              <w:outlineLvl w:val="2"/>
              <w:rPr>
                <w:rFonts w:hint="eastAsia" w:ascii="宋体" w:hAnsi="宋体" w:eastAsia="宋体" w:cs="宋体"/>
                <w:color w:val="auto"/>
                <w:kern w:val="0"/>
                <w:sz w:val="21"/>
                <w:szCs w:val="21"/>
                <w:highlight w:val="none"/>
              </w:rPr>
            </w:pPr>
          </w:p>
        </w:tc>
        <w:tc>
          <w:tcPr>
            <w:tcW w:w="407" w:type="pct"/>
            <w:vAlign w:val="center"/>
          </w:tcPr>
          <w:p w14:paraId="4DC279FD">
            <w:pPr>
              <w:keepNext/>
              <w:keepLines/>
              <w:spacing w:line="240" w:lineRule="auto"/>
              <w:jc w:val="center"/>
              <w:outlineLvl w:val="2"/>
              <w:rPr>
                <w:rFonts w:hint="eastAsia" w:ascii="宋体" w:hAnsi="宋体" w:eastAsia="宋体" w:cs="宋体"/>
                <w:color w:val="auto"/>
                <w:kern w:val="0"/>
                <w:sz w:val="21"/>
                <w:szCs w:val="21"/>
                <w:highlight w:val="none"/>
              </w:rPr>
            </w:pPr>
          </w:p>
        </w:tc>
        <w:tc>
          <w:tcPr>
            <w:tcW w:w="390" w:type="pct"/>
            <w:vAlign w:val="center"/>
          </w:tcPr>
          <w:p w14:paraId="15E48918">
            <w:pPr>
              <w:keepNext/>
              <w:keepLines/>
              <w:spacing w:line="240" w:lineRule="auto"/>
              <w:jc w:val="center"/>
              <w:outlineLvl w:val="2"/>
              <w:rPr>
                <w:rFonts w:hint="eastAsia" w:ascii="宋体" w:hAnsi="宋体" w:eastAsia="宋体" w:cs="宋体"/>
                <w:color w:val="auto"/>
                <w:kern w:val="0"/>
                <w:sz w:val="21"/>
                <w:szCs w:val="21"/>
                <w:highlight w:val="none"/>
              </w:rPr>
            </w:pPr>
          </w:p>
        </w:tc>
      </w:tr>
    </w:tbl>
    <w:p w14:paraId="2A36498D">
      <w:pPr>
        <w:spacing w:line="360" w:lineRule="auto"/>
        <w:rPr>
          <w:rFonts w:ascii="宋体" w:hAnsi="宋体" w:eastAsia="宋体" w:cs="宋体"/>
          <w:color w:val="auto"/>
          <w:szCs w:val="21"/>
          <w:highlight w:val="none"/>
        </w:rPr>
      </w:pPr>
    </w:p>
    <w:p w14:paraId="1F23B8FC">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备注：</w:t>
      </w:r>
    </w:p>
    <w:p w14:paraId="5B7F9286">
      <w:pPr>
        <w:spacing w:line="360" w:lineRule="auto"/>
        <w:ind w:left="605" w:leftChars="18" w:hanging="567" w:hangingChars="270"/>
        <w:rPr>
          <w:rFonts w:ascii="宋体" w:hAnsi="宋体" w:eastAsia="宋体" w:cs="宋体"/>
          <w:color w:val="auto"/>
          <w:szCs w:val="21"/>
          <w:highlight w:val="none"/>
          <w:u w:val="single"/>
        </w:rPr>
      </w:pPr>
      <w:r>
        <w:rPr>
          <w:rFonts w:hint="eastAsia" w:ascii="宋体" w:hAnsi="宋体" w:eastAsia="宋体" w:cs="宋体"/>
          <w:color w:val="auto"/>
          <w:szCs w:val="21"/>
          <w:highlight w:val="none"/>
        </w:rPr>
        <w:t>（1）</w:t>
      </w:r>
      <w:r>
        <w:rPr>
          <w:rFonts w:hint="eastAsia" w:ascii="宋体" w:hAnsi="宋体" w:eastAsia="宋体" w:cs="宋体"/>
          <w:b/>
          <w:color w:val="auto"/>
          <w:szCs w:val="21"/>
          <w:highlight w:val="none"/>
          <w:u w:val="single"/>
        </w:rPr>
        <w:t>投标人应对照招标文件用户需求书的响应，逐条逐项、如实地填写“偏离情况”，其中“</w:t>
      </w:r>
      <w:r>
        <w:rPr>
          <w:rFonts w:hint="eastAsia" w:ascii="宋体" w:hAnsi="宋体" w:eastAsia="宋体" w:cs="宋体"/>
          <w:b/>
          <w:bCs/>
          <w:color w:val="auto"/>
          <w:kern w:val="2"/>
          <w:sz w:val="21"/>
          <w:szCs w:val="21"/>
          <w:highlight w:val="none"/>
          <w:u w:val="single"/>
          <w:lang w:val="en-US" w:eastAsia="zh-CN" w:bidi="ar-SA"/>
        </w:rPr>
        <w:t>二、</w:t>
      </w:r>
      <w:r>
        <w:rPr>
          <w:rFonts w:hint="eastAsia" w:ascii="宋体" w:hAnsi="宋体" w:eastAsia="宋体" w:cs="宋体"/>
          <w:b/>
          <w:bCs/>
          <w:color w:val="auto"/>
          <w:sz w:val="21"/>
          <w:szCs w:val="21"/>
          <w:highlight w:val="none"/>
          <w:u w:val="single"/>
          <w:lang w:val="en-US" w:eastAsia="zh-CN" w:bidi="ar-SA"/>
        </w:rPr>
        <w:t>技术参数要求</w:t>
      </w:r>
      <w:r>
        <w:rPr>
          <w:rFonts w:hint="eastAsia" w:ascii="宋体" w:hAnsi="宋体" w:eastAsia="宋体" w:cs="宋体"/>
          <w:b/>
          <w:color w:val="auto"/>
          <w:szCs w:val="21"/>
          <w:highlight w:val="none"/>
          <w:u w:val="single"/>
        </w:rPr>
        <w:t>”需在“1</w:t>
      </w:r>
      <w:r>
        <w:rPr>
          <w:rFonts w:hint="eastAsia" w:ascii="宋体" w:hAnsi="宋体" w:eastAsia="宋体" w:cs="宋体"/>
          <w:b/>
          <w:color w:val="auto"/>
          <w:szCs w:val="21"/>
          <w:highlight w:val="none"/>
          <w:u w:val="single"/>
          <w:lang w:val="en-US" w:eastAsia="zh-CN"/>
        </w:rPr>
        <w:t>4.2</w:t>
      </w:r>
      <w:r>
        <w:rPr>
          <w:rFonts w:hint="eastAsia" w:ascii="宋体" w:hAnsi="宋体" w:eastAsia="宋体" w:cs="宋体"/>
          <w:b/>
          <w:color w:val="auto"/>
          <w:szCs w:val="21"/>
          <w:highlight w:val="none"/>
          <w:u w:val="single"/>
        </w:rPr>
        <w:t>技术参数偏离表”中响应。</w:t>
      </w:r>
      <w:r>
        <w:rPr>
          <w:rFonts w:hint="eastAsia" w:ascii="宋体" w:hAnsi="宋体" w:eastAsia="宋体" w:cs="Times New Roman"/>
          <w:b/>
          <w:color w:val="auto"/>
          <w:kern w:val="0"/>
          <w:szCs w:val="21"/>
          <w:highlight w:val="none"/>
          <w:u w:val="single"/>
        </w:rPr>
        <w:t>若发现未填写本表，或虚假填写本表，或伪造、变造证明材料的，按无效投标文件处理</w:t>
      </w:r>
      <w:r>
        <w:rPr>
          <w:rFonts w:hint="eastAsia" w:ascii="宋体" w:hAnsi="宋体" w:eastAsia="宋体" w:cs="宋体"/>
          <w:b/>
          <w:color w:val="auto"/>
          <w:szCs w:val="21"/>
          <w:highlight w:val="none"/>
          <w:u w:val="single"/>
        </w:rPr>
        <w:t>。若招标文件用户需求书中有“★”条款须逐条逐项、如实地填写“偏离情况”，未填写“★”条款以外的条款的，视为完全满足招标文件要求。</w:t>
      </w:r>
    </w:p>
    <w:p w14:paraId="4BA0C5B9">
      <w:pPr>
        <w:spacing w:line="360" w:lineRule="auto"/>
        <w:ind w:left="605" w:leftChars="18"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偏离情况（投标文件对招标文件用户需求的响应程度）分为：正偏离、负偏离、无偏离。正偏离是指投标人对用户需求响应优于招标文件的要求；负偏离是指投标人对用户需求响应不满足或不完全满足招标文件的要求；无偏离是指投标人对用户需求响应完全满足招标文件的要求。 </w:t>
      </w:r>
    </w:p>
    <w:p w14:paraId="3D6DE288">
      <w:pPr>
        <w:spacing w:line="360" w:lineRule="auto"/>
        <w:ind w:left="607" w:leftChars="18" w:hanging="569" w:hangingChars="270"/>
        <w:rPr>
          <w:rFonts w:ascii="宋体" w:hAnsi="宋体" w:eastAsia="宋体" w:cs="Times New Roman"/>
          <w:b/>
          <w:color w:val="auto"/>
          <w:kern w:val="0"/>
          <w:szCs w:val="21"/>
          <w:highlight w:val="none"/>
          <w:u w:val="single"/>
        </w:rPr>
      </w:pPr>
      <w:r>
        <w:rPr>
          <w:rFonts w:hint="eastAsia" w:ascii="宋体" w:hAnsi="宋体" w:eastAsia="宋体" w:cs="宋体"/>
          <w:b/>
          <w:color w:val="auto"/>
          <w:szCs w:val="21"/>
          <w:highlight w:val="none"/>
        </w:rPr>
        <w:t>（3）</w:t>
      </w:r>
      <w:r>
        <w:rPr>
          <w:rFonts w:hint="eastAsia" w:ascii="宋体" w:hAnsi="宋体" w:eastAsia="宋体" w:cs="Times New Roman"/>
          <w:b/>
          <w:color w:val="auto"/>
          <w:kern w:val="0"/>
          <w:szCs w:val="21"/>
          <w:highlight w:val="none"/>
          <w:u w:val="single"/>
        </w:rPr>
        <w:t>应逐条</w:t>
      </w:r>
      <w:r>
        <w:rPr>
          <w:rFonts w:hint="eastAsia" w:ascii="宋体" w:hAnsi="宋体" w:eastAsia="宋体" w:cs="宋体"/>
          <w:b/>
          <w:color w:val="auto"/>
          <w:szCs w:val="21"/>
          <w:highlight w:val="none"/>
          <w:u w:val="single"/>
        </w:rPr>
        <w:t>逐项</w:t>
      </w:r>
      <w:r>
        <w:rPr>
          <w:rFonts w:hint="eastAsia" w:ascii="宋体" w:hAnsi="宋体" w:eastAsia="宋体" w:cs="Times New Roman"/>
          <w:b/>
          <w:color w:val="auto"/>
          <w:kern w:val="0"/>
          <w:szCs w:val="21"/>
          <w:highlight w:val="none"/>
          <w:u w:val="single"/>
        </w:rPr>
        <w:t>、如实地填写“偏离情况”。“偏离情况”项为正偏离（或负偏离）的，必须在“实质性响应的具体内容”项内详细说明与招标文件的偏离内容，“偏离情况”项为无偏离的，在“实质性响应的具体内容”项内填“完全响应招标文件要求”即可，也可进一步说明投标响应的具体内容。投标人可将反映投标货物技术参数、性能、功能的技术支持资料作为本表的附件，并在本偏离表“对应证明材料页码”项内注明其在投标文件中的具体页码。</w:t>
      </w:r>
    </w:p>
    <w:p w14:paraId="14AC319C">
      <w:pPr>
        <w:spacing w:line="360" w:lineRule="auto"/>
        <w:ind w:left="607" w:leftChars="18" w:hanging="569" w:hangingChars="270"/>
        <w:rPr>
          <w:rFonts w:ascii="宋体" w:hAnsi="宋体" w:eastAsia="宋体" w:cs="Times New Roman"/>
          <w:b/>
          <w:color w:val="auto"/>
          <w:kern w:val="0"/>
          <w:szCs w:val="21"/>
          <w:highlight w:val="none"/>
          <w:u w:val="single"/>
        </w:rPr>
      </w:pPr>
      <w:r>
        <w:rPr>
          <w:rFonts w:hint="eastAsia" w:ascii="宋体" w:hAnsi="宋体" w:eastAsia="宋体" w:cs="宋体"/>
          <w:b/>
          <w:color w:val="auto"/>
          <w:szCs w:val="21"/>
          <w:highlight w:val="none"/>
        </w:rPr>
        <w:t>（4）</w:t>
      </w:r>
      <w:r>
        <w:rPr>
          <w:rFonts w:ascii="宋体" w:hAnsi="宋体" w:eastAsia="宋体" w:cs="Times New Roman"/>
          <w:b/>
          <w:color w:val="auto"/>
          <w:kern w:val="0"/>
          <w:szCs w:val="21"/>
          <w:highlight w:val="none"/>
          <w:u w:val="single"/>
        </w:rPr>
        <w:t>凡标有“</w:t>
      </w:r>
      <w:r>
        <w:rPr>
          <w:rFonts w:hint="eastAsia" w:ascii="宋体" w:hAnsi="宋体" w:eastAsia="宋体" w:cs="Times New Roman"/>
          <w:b/>
          <w:color w:val="auto"/>
          <w:kern w:val="0"/>
          <w:szCs w:val="21"/>
          <w:highlight w:val="none"/>
          <w:u w:val="single"/>
        </w:rPr>
        <w:t>★</w:t>
      </w:r>
      <w:r>
        <w:rPr>
          <w:rFonts w:ascii="宋体" w:hAnsi="宋体" w:eastAsia="宋体" w:cs="Times New Roman"/>
          <w:b/>
          <w:color w:val="auto"/>
          <w:kern w:val="0"/>
          <w:szCs w:val="21"/>
          <w:highlight w:val="none"/>
          <w:u w:val="single"/>
        </w:rPr>
        <w:t>”的地方均被视为重要的技术指标要求或性能要求。投标</w:t>
      </w:r>
      <w:r>
        <w:rPr>
          <w:rFonts w:hint="eastAsia" w:ascii="宋体" w:hAnsi="宋体" w:eastAsia="宋体" w:cs="Times New Roman"/>
          <w:b/>
          <w:color w:val="auto"/>
          <w:kern w:val="0"/>
          <w:szCs w:val="21"/>
          <w:highlight w:val="none"/>
          <w:u w:val="single"/>
        </w:rPr>
        <w:t>人</w:t>
      </w:r>
      <w:r>
        <w:rPr>
          <w:rFonts w:ascii="宋体" w:hAnsi="宋体" w:eastAsia="宋体" w:cs="Times New Roman"/>
          <w:b/>
          <w:color w:val="auto"/>
          <w:kern w:val="0"/>
          <w:szCs w:val="21"/>
          <w:highlight w:val="none"/>
          <w:u w:val="single"/>
        </w:rPr>
        <w:t>要特别加以注意，必须对此回答并完全满足这些要求</w:t>
      </w:r>
      <w:r>
        <w:rPr>
          <w:rFonts w:hint="eastAsia" w:ascii="宋体" w:hAnsi="宋体" w:eastAsia="宋体" w:cs="Times New Roman"/>
          <w:b/>
          <w:color w:val="auto"/>
          <w:kern w:val="0"/>
          <w:szCs w:val="21"/>
          <w:highlight w:val="none"/>
          <w:u w:val="single"/>
        </w:rPr>
        <w:t>，</w:t>
      </w:r>
      <w:r>
        <w:rPr>
          <w:rFonts w:ascii="宋体" w:hAnsi="宋体" w:eastAsia="宋体" w:cs="Times New Roman"/>
          <w:b/>
          <w:color w:val="auto"/>
          <w:kern w:val="0"/>
          <w:szCs w:val="21"/>
          <w:highlight w:val="none"/>
          <w:u w:val="single"/>
        </w:rPr>
        <w:t>否则若有一项带“</w:t>
      </w:r>
      <w:r>
        <w:rPr>
          <w:rFonts w:hint="eastAsia" w:ascii="宋体" w:hAnsi="宋体" w:eastAsia="宋体" w:cs="Times New Roman"/>
          <w:b/>
          <w:color w:val="auto"/>
          <w:kern w:val="0"/>
          <w:szCs w:val="21"/>
          <w:highlight w:val="none"/>
          <w:u w:val="single"/>
        </w:rPr>
        <w:t>★</w:t>
      </w:r>
      <w:r>
        <w:rPr>
          <w:rFonts w:ascii="宋体" w:hAnsi="宋体" w:eastAsia="宋体" w:cs="Times New Roman"/>
          <w:b/>
          <w:color w:val="auto"/>
          <w:kern w:val="0"/>
          <w:szCs w:val="21"/>
          <w:highlight w:val="none"/>
          <w:u w:val="single"/>
        </w:rPr>
        <w:t>”的指标未响应或不满足，将按</w:t>
      </w:r>
      <w:r>
        <w:rPr>
          <w:rFonts w:hint="eastAsia" w:ascii="宋体" w:hAnsi="宋体" w:eastAsia="宋体" w:cs="Times New Roman"/>
          <w:b/>
          <w:color w:val="auto"/>
          <w:kern w:val="0"/>
          <w:szCs w:val="21"/>
          <w:highlight w:val="none"/>
          <w:u w:val="single"/>
        </w:rPr>
        <w:t>无效投标</w:t>
      </w:r>
      <w:r>
        <w:rPr>
          <w:rFonts w:ascii="宋体" w:hAnsi="宋体" w:eastAsia="宋体" w:cs="Times New Roman"/>
          <w:b/>
          <w:color w:val="auto"/>
          <w:kern w:val="0"/>
          <w:szCs w:val="21"/>
          <w:highlight w:val="none"/>
          <w:u w:val="single"/>
        </w:rPr>
        <w:t>处理</w:t>
      </w:r>
      <w:r>
        <w:rPr>
          <w:rFonts w:ascii="宋体" w:hAnsi="宋体" w:eastAsia="宋体" w:cs="Times New Roman"/>
          <w:b/>
          <w:color w:val="auto"/>
          <w:kern w:val="0"/>
          <w:sz w:val="24"/>
          <w:szCs w:val="21"/>
          <w:highlight w:val="none"/>
          <w:u w:val="single"/>
          <w:lang w:val="zh-CN"/>
        </w:rPr>
        <w:t>。</w:t>
      </w:r>
    </w:p>
    <w:p w14:paraId="6EB86FCD">
      <w:pPr>
        <w:spacing w:line="360" w:lineRule="auto"/>
        <w:rPr>
          <w:rFonts w:ascii="宋体" w:hAnsi="宋体" w:eastAsia="宋体" w:cs="宋体"/>
          <w:color w:val="auto"/>
          <w:szCs w:val="21"/>
          <w:highlight w:val="none"/>
        </w:rPr>
      </w:pPr>
    </w:p>
    <w:p w14:paraId="72389BCA">
      <w:pPr>
        <w:autoSpaceDE w:val="0"/>
        <w:autoSpaceDN w:val="0"/>
        <w:adjustRightInd w:val="0"/>
        <w:spacing w:line="360" w:lineRule="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 xml:space="preserve"> </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 xml:space="preserve">  投标人：（</w:t>
      </w:r>
      <w:r>
        <w:rPr>
          <w:rFonts w:hint="eastAsia" w:ascii="宋体" w:hAnsi="宋体" w:eastAsia="宋体" w:cs="宋体"/>
          <w:color w:val="auto"/>
          <w:szCs w:val="21"/>
          <w:highlight w:val="none"/>
          <w:lang w:val="zh-CN"/>
        </w:rPr>
        <w:t>加盖投标人法人公章</w:t>
      </w:r>
      <w:r>
        <w:rPr>
          <w:rFonts w:hint="eastAsia" w:ascii="宋体" w:hAnsi="宋体" w:eastAsia="宋体" w:cs="宋体"/>
          <w:color w:val="auto"/>
          <w:kern w:val="0"/>
          <w:szCs w:val="21"/>
          <w:highlight w:val="none"/>
        </w:rPr>
        <w:t>）</w:t>
      </w:r>
    </w:p>
    <w:p w14:paraId="48F61483">
      <w:pPr>
        <w:autoSpaceDE w:val="0"/>
        <w:autoSpaceDN w:val="0"/>
        <w:adjustRightInd w:val="0"/>
        <w:ind w:left="15" w:leftChars="-50" w:hanging="12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 xml:space="preserve">  日  期：   年  月  日</w:t>
      </w:r>
    </w:p>
    <w:p w14:paraId="2A7DCFC6">
      <w:pPr>
        <w:tabs>
          <w:tab w:val="left" w:pos="567"/>
        </w:tabs>
        <w:autoSpaceDE w:val="0"/>
        <w:autoSpaceDN w:val="0"/>
        <w:adjustRightInd w:val="0"/>
        <w:spacing w:line="360" w:lineRule="auto"/>
        <w:jc w:val="left"/>
        <w:outlineLvl w:val="9"/>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br w:type="page"/>
      </w:r>
      <w:bookmarkStart w:id="647" w:name="_Toc94107224"/>
      <w:bookmarkStart w:id="648" w:name="_Toc102860087"/>
      <w:bookmarkStart w:id="649" w:name="_Toc102860431"/>
      <w:bookmarkStart w:id="650" w:name="_Toc20665"/>
      <w:bookmarkStart w:id="651" w:name="_Toc104991889"/>
      <w:bookmarkStart w:id="652" w:name="_Toc28623"/>
      <w:bookmarkStart w:id="653" w:name="_Toc142508382"/>
      <w:bookmarkStart w:id="654" w:name="_Toc140596942"/>
    </w:p>
    <w:p w14:paraId="2B18AB5F">
      <w:pPr>
        <w:widowControl/>
        <w:autoSpaceDE/>
        <w:autoSpaceDN/>
        <w:adjustRightInd/>
        <w:spacing w:line="360" w:lineRule="auto"/>
        <w:jc w:val="left"/>
        <w:outlineLvl w:val="9"/>
        <w:rPr>
          <w:rFonts w:hint="eastAsia" w:ascii="宋体" w:hAnsi="宋体" w:eastAsia="宋体" w:cs="宋体"/>
          <w:b/>
          <w:bCs/>
          <w:color w:val="auto"/>
          <w:sz w:val="32"/>
          <w:szCs w:val="32"/>
          <w:highlight w:val="none"/>
          <w:lang w:eastAsia="zh-CN" w:bidi="ar"/>
        </w:rPr>
      </w:pPr>
      <w:bookmarkStart w:id="655" w:name="_Toc169169452"/>
      <w:bookmarkStart w:id="656" w:name="_Toc27617"/>
      <w:r>
        <w:rPr>
          <w:rFonts w:ascii="宋体" w:hAnsi="宋体" w:eastAsia="宋体" w:cs="宋体"/>
          <w:b/>
          <w:bCs/>
          <w:color w:val="auto"/>
          <w:sz w:val="32"/>
          <w:szCs w:val="32"/>
          <w:highlight w:val="none"/>
          <w:lang w:bidi="ar"/>
        </w:rPr>
        <w:t>1</w:t>
      </w:r>
      <w:r>
        <w:rPr>
          <w:rFonts w:hint="eastAsia" w:ascii="宋体" w:hAnsi="宋体" w:eastAsia="宋体" w:cs="宋体"/>
          <w:b/>
          <w:bCs/>
          <w:color w:val="auto"/>
          <w:sz w:val="32"/>
          <w:szCs w:val="32"/>
          <w:highlight w:val="none"/>
          <w:lang w:val="en-US" w:eastAsia="zh-CN" w:bidi="ar"/>
        </w:rPr>
        <w:t>4.</w:t>
      </w:r>
      <w:r>
        <w:rPr>
          <w:rFonts w:ascii="宋体" w:hAnsi="宋体" w:eastAsia="宋体" w:cs="宋体"/>
          <w:b/>
          <w:bCs/>
          <w:color w:val="auto"/>
          <w:sz w:val="32"/>
          <w:szCs w:val="32"/>
          <w:highlight w:val="none"/>
          <w:lang w:bidi="ar"/>
        </w:rPr>
        <w:t>1</w:t>
      </w:r>
      <w:r>
        <w:rPr>
          <w:rFonts w:hint="eastAsia" w:ascii="宋体" w:hAnsi="宋体" w:eastAsia="宋体" w:cs="宋体"/>
          <w:b/>
          <w:bCs/>
          <w:color w:val="auto"/>
          <w:sz w:val="32"/>
          <w:szCs w:val="32"/>
          <w:highlight w:val="none"/>
          <w:lang w:val="en-US" w:eastAsia="zh-CN" w:bidi="ar"/>
        </w:rPr>
        <w:t>.2</w:t>
      </w:r>
      <w:r>
        <w:rPr>
          <w:rFonts w:ascii="宋体" w:hAnsi="宋体" w:eastAsia="宋体" w:cs="宋体"/>
          <w:b/>
          <w:bCs/>
          <w:color w:val="auto"/>
          <w:sz w:val="32"/>
          <w:szCs w:val="32"/>
          <w:highlight w:val="none"/>
          <w:lang w:bidi="ar"/>
        </w:rPr>
        <w:t xml:space="preserve"> </w:t>
      </w:r>
      <w:r>
        <w:rPr>
          <w:rFonts w:hint="eastAsia" w:ascii="宋体" w:hAnsi="宋体" w:eastAsia="宋体" w:cs="宋体"/>
          <w:b/>
          <w:bCs/>
          <w:color w:val="auto"/>
          <w:sz w:val="32"/>
          <w:szCs w:val="32"/>
          <w:highlight w:val="none"/>
          <w:lang w:bidi="ar"/>
        </w:rPr>
        <w:t>反映投标车辆的生产企业及投标车辆（含防撞包）产品型号已列入国家工业和信息化部发布的有效的《道路机动车辆生产企业及产品公告》（或《车辆生产企业及产品公告》）的证明文件</w:t>
      </w:r>
      <w:bookmarkEnd w:id="655"/>
      <w:bookmarkEnd w:id="656"/>
    </w:p>
    <w:p w14:paraId="08A62395">
      <w:pPr>
        <w:autoSpaceDE w:val="0"/>
        <w:autoSpaceDN w:val="0"/>
        <w:adjustRightInd w:val="0"/>
        <w:spacing w:line="360" w:lineRule="auto"/>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说明：</w:t>
      </w:r>
    </w:p>
    <w:p w14:paraId="6F39711C">
      <w:pPr>
        <w:autoSpaceDE w:val="0"/>
        <w:autoSpaceDN w:val="0"/>
        <w:adjustRightInd w:val="0"/>
        <w:spacing w:line="360" w:lineRule="auto"/>
        <w:ind w:left="743" w:leftChars="118" w:hanging="495" w:hangingChars="236"/>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w:t>
      </w:r>
      <w:r>
        <w:rPr>
          <w:rFonts w:ascii="宋体" w:hAnsi="宋体" w:eastAsia="宋体" w:cs="宋体"/>
          <w:color w:val="auto"/>
          <w:szCs w:val="21"/>
          <w:highlight w:val="none"/>
          <w:lang w:bidi="ar"/>
        </w:rPr>
        <w:t>1）证明材料可为国家工业和信息化部发布的有效的《道路机动车辆生产企业及产品公告》（或《车辆生产企业及产品公告》）正文及其附件的打印件，也可为国家工业和信息化部纸质公告及其附件的复印件。</w:t>
      </w:r>
    </w:p>
    <w:p w14:paraId="47D4EBDC">
      <w:pPr>
        <w:autoSpaceDE w:val="0"/>
        <w:autoSpaceDN w:val="0"/>
        <w:adjustRightInd w:val="0"/>
        <w:spacing w:line="360" w:lineRule="auto"/>
        <w:ind w:left="743" w:leftChars="118" w:hanging="495" w:hangingChars="236"/>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w:t>
      </w:r>
      <w:r>
        <w:rPr>
          <w:rFonts w:ascii="宋体" w:hAnsi="宋体" w:eastAsia="宋体" w:cs="宋体"/>
          <w:color w:val="auto"/>
          <w:szCs w:val="21"/>
          <w:highlight w:val="none"/>
          <w:lang w:bidi="ar"/>
        </w:rPr>
        <w:t>2）被国家工业和信息化部撤销的生产企业及车型、暂停生产或销售的车型，其撤销或暂停前发布的《道路机动车辆生产企业及产品公告》（或《车辆生产企业及产品公告》）均视为无效证明材料。</w:t>
      </w:r>
    </w:p>
    <w:p w14:paraId="02888115">
      <w:pPr>
        <w:widowControl/>
        <w:autoSpaceDE w:val="0"/>
        <w:autoSpaceDN w:val="0"/>
        <w:adjustRightInd w:val="0"/>
        <w:spacing w:line="360" w:lineRule="auto"/>
        <w:ind w:left="743" w:leftChars="118" w:hanging="495" w:hangingChars="236"/>
        <w:jc w:val="left"/>
        <w:rPr>
          <w:rFonts w:ascii="宋体" w:hAnsi="宋体" w:eastAsia="宋体" w:cs="宋体"/>
          <w:color w:val="auto"/>
          <w:szCs w:val="21"/>
          <w:highlight w:val="none"/>
          <w:lang w:bidi="ar"/>
        </w:rPr>
      </w:pPr>
      <w:r>
        <w:rPr>
          <w:rFonts w:hint="eastAsia" w:ascii="宋体" w:hAnsi="宋体" w:eastAsia="宋体" w:cs="宋体"/>
          <w:color w:val="auto"/>
          <w:szCs w:val="21"/>
          <w:highlight w:val="none"/>
          <w:lang w:bidi="ar"/>
        </w:rPr>
        <w:t>（</w:t>
      </w:r>
      <w:r>
        <w:rPr>
          <w:rFonts w:ascii="宋体" w:hAnsi="宋体" w:eastAsia="宋体" w:cs="宋体"/>
          <w:color w:val="auto"/>
          <w:szCs w:val="21"/>
          <w:highlight w:val="none"/>
          <w:lang w:bidi="ar"/>
        </w:rPr>
        <w:t>3）投标人提供无效的《道路机动车辆生产企业及产品公告》（或《车辆生产企业及产品公告》）证明文件参与投标的，视为弄虚作假，招标人将根据本招标文件第二篇投标人须知第30.1款的约定对投标人进行对应的处理。</w:t>
      </w:r>
    </w:p>
    <w:p w14:paraId="2C1362B4">
      <w:pPr>
        <w:widowControl/>
        <w:autoSpaceDE/>
        <w:autoSpaceDN/>
        <w:adjustRightInd/>
        <w:spacing w:line="240" w:lineRule="auto"/>
        <w:ind w:left="0" w:leftChars="0" w:firstLine="0" w:firstLineChars="0"/>
        <w:jc w:val="left"/>
        <w:rPr>
          <w:rFonts w:ascii="宋体" w:hAnsi="宋体" w:eastAsia="宋体" w:cs="宋体"/>
          <w:color w:val="auto"/>
          <w:szCs w:val="21"/>
          <w:highlight w:val="none"/>
          <w:lang w:bidi="ar"/>
        </w:rPr>
      </w:pPr>
      <w:r>
        <w:rPr>
          <w:rFonts w:ascii="宋体" w:hAnsi="宋体" w:eastAsia="宋体" w:cs="宋体"/>
          <w:color w:val="auto"/>
          <w:szCs w:val="21"/>
          <w:highlight w:val="none"/>
          <w:lang w:bidi="ar"/>
        </w:rPr>
        <w:br w:type="page"/>
      </w:r>
    </w:p>
    <w:p w14:paraId="210A2976">
      <w:pPr>
        <w:pStyle w:val="32"/>
        <w:pageBreakBefore/>
        <w:widowControl w:val="0"/>
        <w:autoSpaceDE w:val="0"/>
        <w:autoSpaceDN w:val="0"/>
        <w:adjustRightInd w:val="0"/>
        <w:spacing w:before="0" w:beforeAutospacing="0" w:after="120" w:afterLines="50" w:afterAutospacing="0" w:line="360" w:lineRule="auto"/>
        <w:jc w:val="both"/>
        <w:outlineLvl w:val="2"/>
        <w:rPr>
          <w:rFonts w:eastAsia="宋体" w:cs="宋体"/>
          <w:b/>
          <w:bCs/>
          <w:color w:val="auto"/>
          <w:sz w:val="32"/>
          <w:szCs w:val="32"/>
          <w:highlight w:val="none"/>
          <w:lang w:bidi="ar"/>
        </w:rPr>
        <w:sectPr>
          <w:pgSz w:w="12240" w:h="15840"/>
          <w:pgMar w:top="1191" w:right="1043" w:bottom="1191" w:left="1043" w:header="720" w:footer="720" w:gutter="0"/>
          <w:cols w:space="720" w:num="1"/>
          <w:titlePg/>
          <w:docGrid w:linePitch="326" w:charSpace="0"/>
        </w:sectPr>
      </w:pPr>
      <w:bookmarkStart w:id="657" w:name="_Toc169169453"/>
      <w:bookmarkStart w:id="658" w:name="_Toc9089"/>
      <w:r>
        <w:rPr>
          <w:rFonts w:eastAsia="宋体" w:cs="宋体"/>
          <w:b/>
          <w:bCs/>
          <w:color w:val="auto"/>
          <w:sz w:val="32"/>
          <w:szCs w:val="32"/>
          <w:highlight w:val="none"/>
          <w:lang w:bidi="ar"/>
        </w:rPr>
        <w:t>1</w:t>
      </w:r>
      <w:r>
        <w:rPr>
          <w:rFonts w:hint="eastAsia" w:eastAsia="宋体" w:cs="宋体"/>
          <w:b/>
          <w:bCs/>
          <w:color w:val="auto"/>
          <w:sz w:val="32"/>
          <w:szCs w:val="32"/>
          <w:highlight w:val="none"/>
          <w:lang w:val="en-US" w:eastAsia="zh-CN" w:bidi="ar"/>
        </w:rPr>
        <w:t>4.</w:t>
      </w:r>
      <w:r>
        <w:rPr>
          <w:rFonts w:eastAsia="宋体" w:cs="宋体"/>
          <w:b/>
          <w:bCs/>
          <w:color w:val="auto"/>
          <w:sz w:val="32"/>
          <w:szCs w:val="32"/>
          <w:highlight w:val="none"/>
          <w:lang w:bidi="ar"/>
        </w:rPr>
        <w:t>1</w:t>
      </w:r>
      <w:r>
        <w:rPr>
          <w:rFonts w:hint="eastAsia" w:eastAsia="宋体" w:cs="宋体"/>
          <w:b/>
          <w:bCs/>
          <w:color w:val="auto"/>
          <w:sz w:val="32"/>
          <w:szCs w:val="32"/>
          <w:highlight w:val="none"/>
          <w:lang w:val="en-US" w:eastAsia="zh-CN" w:bidi="ar"/>
        </w:rPr>
        <w:t>.3</w:t>
      </w:r>
      <w:r>
        <w:rPr>
          <w:rFonts w:eastAsia="宋体" w:cs="宋体"/>
          <w:b/>
          <w:bCs/>
          <w:color w:val="auto"/>
          <w:sz w:val="32"/>
          <w:szCs w:val="32"/>
          <w:highlight w:val="none"/>
          <w:lang w:bidi="ar"/>
        </w:rPr>
        <w:t xml:space="preserve"> </w:t>
      </w:r>
      <w:r>
        <w:rPr>
          <w:rFonts w:hint="eastAsia" w:eastAsia="宋体" w:cs="宋体"/>
          <w:b/>
          <w:bCs/>
          <w:color w:val="auto"/>
          <w:sz w:val="32"/>
          <w:szCs w:val="32"/>
          <w:highlight w:val="none"/>
          <w:lang w:bidi="ar"/>
        </w:rPr>
        <w:t>提供投标车辆的中国国家强制性产品认证证书（3C认证)复印件</w:t>
      </w:r>
      <w:bookmarkEnd w:id="657"/>
      <w:bookmarkEnd w:id="658"/>
    </w:p>
    <w:p w14:paraId="2D8044BF">
      <w:pPr>
        <w:pStyle w:val="32"/>
        <w:rPr>
          <w:rFonts w:ascii="宋体" w:hAnsi="宋体" w:eastAsia="宋体" w:cs="宋体"/>
          <w:b/>
          <w:bCs/>
          <w:color w:val="auto"/>
          <w:sz w:val="32"/>
          <w:szCs w:val="32"/>
          <w:highlight w:val="none"/>
          <w:lang w:bidi="ar"/>
        </w:rPr>
      </w:pPr>
      <w:bookmarkStart w:id="659" w:name="_Toc12431"/>
      <w:bookmarkStart w:id="660" w:name="_Toc169169454"/>
      <w:r>
        <w:rPr>
          <w:rFonts w:hint="default" w:ascii="宋体" w:hAnsi="宋体" w:eastAsia="宋体" w:cs="宋体"/>
          <w:b/>
          <w:bCs/>
          <w:i w:val="0"/>
          <w:iCs w:val="0"/>
          <w:caps w:val="0"/>
          <w:color w:val="auto"/>
          <w:spacing w:val="0"/>
          <w:sz w:val="32"/>
          <w:szCs w:val="32"/>
          <w:highlight w:val="none"/>
          <w:lang w:bidi="ar"/>
        </w:rPr>
        <w:t>1</w:t>
      </w:r>
      <w:r>
        <w:rPr>
          <w:rFonts w:hint="default" w:ascii="宋体" w:hAnsi="宋体" w:eastAsia="宋体" w:cs="宋体"/>
          <w:b/>
          <w:bCs/>
          <w:i w:val="0"/>
          <w:iCs w:val="0"/>
          <w:caps w:val="0"/>
          <w:color w:val="auto"/>
          <w:spacing w:val="0"/>
          <w:sz w:val="32"/>
          <w:szCs w:val="32"/>
          <w:highlight w:val="none"/>
          <w:lang w:val="en-US" w:eastAsia="zh-CN" w:bidi="ar"/>
        </w:rPr>
        <w:t>4</w:t>
      </w:r>
      <w:r>
        <w:rPr>
          <w:rFonts w:hint="default" w:ascii="宋体" w:hAnsi="宋体" w:eastAsia="宋体" w:cs="宋体"/>
          <w:b/>
          <w:bCs/>
          <w:i w:val="0"/>
          <w:iCs w:val="0"/>
          <w:caps w:val="0"/>
          <w:color w:val="auto"/>
          <w:spacing w:val="0"/>
          <w:sz w:val="32"/>
          <w:szCs w:val="32"/>
          <w:highlight w:val="none"/>
          <w:lang w:bidi="ar"/>
        </w:rPr>
        <w:t>.1.</w:t>
      </w:r>
      <w:r>
        <w:rPr>
          <w:rFonts w:hint="default" w:ascii="宋体" w:hAnsi="宋体" w:eastAsia="宋体" w:cs="宋体"/>
          <w:b/>
          <w:bCs/>
          <w:i w:val="0"/>
          <w:iCs w:val="0"/>
          <w:caps w:val="0"/>
          <w:color w:val="auto"/>
          <w:spacing w:val="0"/>
          <w:sz w:val="32"/>
          <w:szCs w:val="32"/>
          <w:highlight w:val="none"/>
          <w:lang w:val="en-US" w:eastAsia="zh-CN" w:bidi="ar"/>
        </w:rPr>
        <w:t>4</w:t>
      </w:r>
      <w:r>
        <w:rPr>
          <w:rFonts w:hint="default" w:ascii="宋体" w:hAnsi="宋体" w:eastAsia="宋体" w:cs="宋体"/>
          <w:b/>
          <w:bCs/>
          <w:color w:val="auto"/>
          <w:kern w:val="2"/>
          <w:sz w:val="32"/>
          <w:szCs w:val="32"/>
          <w:highlight w:val="none"/>
          <w:lang w:val="en-US" w:eastAsia="zh-CN" w:bidi="ar"/>
        </w:rPr>
        <w:t>提供</w:t>
      </w:r>
      <w:r>
        <w:rPr>
          <w:rFonts w:hint="default" w:ascii="宋体" w:hAnsi="宋体" w:eastAsia="宋体" w:cs="宋体"/>
          <w:b/>
          <w:bCs/>
          <w:color w:val="auto"/>
          <w:kern w:val="2"/>
          <w:sz w:val="32"/>
          <w:szCs w:val="32"/>
          <w:highlight w:val="none"/>
          <w:lang w:bidi="ar"/>
        </w:rPr>
        <w:t>出厂检验合格证明</w:t>
      </w:r>
      <w:r>
        <w:rPr>
          <w:rFonts w:hint="default" w:ascii="宋体" w:hAnsi="宋体" w:eastAsia="宋体" w:cs="宋体"/>
          <w:b/>
          <w:bCs/>
          <w:color w:val="auto"/>
          <w:kern w:val="2"/>
          <w:sz w:val="32"/>
          <w:szCs w:val="32"/>
          <w:highlight w:val="none"/>
          <w:lang w:eastAsia="zh-CN" w:bidi="ar"/>
        </w:rPr>
        <w:t>、</w:t>
      </w:r>
      <w:r>
        <w:rPr>
          <w:rFonts w:hint="default" w:ascii="宋体" w:hAnsi="宋体" w:eastAsia="宋体" w:cs="宋体"/>
          <w:b/>
          <w:bCs/>
          <w:color w:val="auto"/>
          <w:kern w:val="2"/>
          <w:sz w:val="32"/>
          <w:szCs w:val="32"/>
          <w:highlight w:val="none"/>
          <w:lang w:val="en-US" w:eastAsia="zh-CN" w:bidi="ar"/>
        </w:rPr>
        <w:t>202</w:t>
      </w:r>
      <w:r>
        <w:rPr>
          <w:rFonts w:hint="eastAsia" w:eastAsia="宋体" w:cs="宋体"/>
          <w:b/>
          <w:bCs/>
          <w:color w:val="auto"/>
          <w:kern w:val="2"/>
          <w:sz w:val="32"/>
          <w:szCs w:val="32"/>
          <w:highlight w:val="none"/>
          <w:lang w:val="en-US" w:eastAsia="zh-CN" w:bidi="ar"/>
        </w:rPr>
        <w:t>6</w:t>
      </w:r>
      <w:r>
        <w:rPr>
          <w:rFonts w:hint="default" w:ascii="宋体" w:hAnsi="宋体" w:eastAsia="宋体" w:cs="宋体"/>
          <w:b/>
          <w:bCs/>
          <w:color w:val="auto"/>
          <w:kern w:val="2"/>
          <w:sz w:val="32"/>
          <w:szCs w:val="32"/>
          <w:highlight w:val="none"/>
          <w:lang w:val="en-US" w:eastAsia="zh-CN" w:bidi="ar"/>
        </w:rPr>
        <w:t>年度防撞包</w:t>
      </w:r>
      <w:r>
        <w:rPr>
          <w:rFonts w:hint="default" w:ascii="宋体" w:hAnsi="宋体" w:eastAsia="宋体" w:cs="宋体"/>
          <w:b/>
          <w:bCs/>
          <w:color w:val="auto"/>
          <w:kern w:val="2"/>
          <w:sz w:val="32"/>
          <w:szCs w:val="32"/>
          <w:highlight w:val="none"/>
          <w:lang w:bidi="ar"/>
        </w:rPr>
        <w:t>产品质量险</w:t>
      </w:r>
      <w:r>
        <w:rPr>
          <w:rFonts w:hint="default" w:ascii="宋体" w:hAnsi="宋体" w:eastAsia="宋体" w:cs="宋体"/>
          <w:b/>
          <w:bCs/>
          <w:color w:val="auto"/>
          <w:kern w:val="2"/>
          <w:sz w:val="32"/>
          <w:szCs w:val="32"/>
          <w:highlight w:val="none"/>
          <w:lang w:eastAsia="zh-CN" w:bidi="ar"/>
        </w:rPr>
        <w:t>、</w:t>
      </w:r>
      <w:r>
        <w:rPr>
          <w:rFonts w:hint="default" w:ascii="宋体" w:hAnsi="宋体" w:eastAsia="宋体" w:cs="宋体"/>
          <w:b/>
          <w:bCs/>
          <w:color w:val="auto"/>
          <w:kern w:val="2"/>
          <w:sz w:val="32"/>
          <w:szCs w:val="32"/>
          <w:highlight w:val="none"/>
          <w:lang w:val="en-US" w:eastAsia="zh-CN" w:bidi="ar"/>
        </w:rPr>
        <w:t>碰撞检测报告</w:t>
      </w:r>
      <w:r>
        <w:rPr>
          <w:rFonts w:hint="default" w:ascii="宋体" w:hAnsi="宋体" w:eastAsia="宋体" w:cs="宋体"/>
          <w:b/>
          <w:bCs/>
          <w:i w:val="0"/>
          <w:iCs w:val="0"/>
          <w:caps w:val="0"/>
          <w:color w:val="auto"/>
          <w:spacing w:val="0"/>
          <w:sz w:val="32"/>
          <w:szCs w:val="32"/>
          <w:highlight w:val="none"/>
          <w:lang w:bidi="ar"/>
        </w:rPr>
        <w:t>复印件</w:t>
      </w:r>
    </w:p>
    <w:p w14:paraId="242ACB8C">
      <w:pPr>
        <w:pageBreakBefore w:val="0"/>
        <w:autoSpaceDE/>
        <w:autoSpaceDN/>
        <w:adjustRightInd/>
        <w:spacing w:line="360" w:lineRule="auto"/>
        <w:rPr>
          <w:rFonts w:hint="eastAsia" w:ascii="宋体" w:hAnsi="宋体" w:eastAsia="宋体" w:cs="宋体"/>
          <w:b w:val="0"/>
          <w:bCs w:val="0"/>
          <w:color w:val="auto"/>
          <w:kern w:val="2"/>
          <w:sz w:val="21"/>
          <w:szCs w:val="22"/>
          <w:highlight w:val="none"/>
          <w:lang w:val="en-US" w:eastAsia="zh-CN" w:bidi="ar"/>
        </w:rPr>
      </w:pPr>
    </w:p>
    <w:p w14:paraId="32F7EAE8">
      <w:pPr>
        <w:pageBreakBefore w:val="0"/>
        <w:autoSpaceDE/>
        <w:autoSpaceDN/>
        <w:adjustRightInd/>
        <w:spacing w:line="360" w:lineRule="auto"/>
        <w:rPr>
          <w:rFonts w:hint="eastAsia" w:ascii="宋体" w:hAnsi="宋体" w:eastAsia="宋体" w:cs="宋体"/>
          <w:b w:val="0"/>
          <w:bCs w:val="0"/>
          <w:color w:val="auto"/>
          <w:kern w:val="2"/>
          <w:sz w:val="21"/>
          <w:szCs w:val="22"/>
          <w:highlight w:val="none"/>
          <w:lang w:val="en-US" w:eastAsia="zh-CN" w:bidi="ar"/>
        </w:rPr>
      </w:pPr>
      <w:r>
        <w:rPr>
          <w:rFonts w:hint="eastAsia" w:ascii="宋体" w:hAnsi="宋体" w:eastAsia="宋体" w:cs="宋体"/>
          <w:b w:val="0"/>
          <w:bCs w:val="0"/>
          <w:color w:val="auto"/>
          <w:kern w:val="2"/>
          <w:sz w:val="21"/>
          <w:szCs w:val="22"/>
          <w:highlight w:val="none"/>
          <w:lang w:val="en-US" w:eastAsia="zh-CN" w:bidi="ar"/>
        </w:rPr>
        <w:t>说明：</w:t>
      </w:r>
    </w:p>
    <w:p w14:paraId="29B36908">
      <w:pPr>
        <w:autoSpaceDE w:val="0"/>
        <w:autoSpaceDN w:val="0"/>
        <w:adjustRightInd w:val="0"/>
        <w:spacing w:line="360" w:lineRule="auto"/>
        <w:ind w:left="743" w:leftChars="118" w:hanging="495" w:hangingChars="236"/>
        <w:jc w:val="left"/>
        <w:rPr>
          <w:rFonts w:hint="eastAsia" w:ascii="宋体" w:hAnsi="宋体" w:eastAsia="宋体" w:cs="宋体"/>
          <w:b w:val="0"/>
          <w:bCs w:val="0"/>
          <w:color w:val="auto"/>
          <w:kern w:val="2"/>
          <w:sz w:val="21"/>
          <w:szCs w:val="21"/>
          <w:highlight w:val="none"/>
          <w:lang w:eastAsia="zh-CN" w:bidi="ar"/>
        </w:rPr>
      </w:pPr>
      <w:r>
        <w:rPr>
          <w:rFonts w:hint="eastAsia" w:ascii="宋体" w:hAnsi="宋体" w:eastAsia="宋体" w:cs="宋体"/>
          <w:b w:val="0"/>
          <w:bCs w:val="0"/>
          <w:color w:val="auto"/>
          <w:kern w:val="2"/>
          <w:sz w:val="21"/>
          <w:szCs w:val="21"/>
          <w:highlight w:val="none"/>
          <w:lang w:val="en-US" w:eastAsia="zh-CN" w:bidi="ar"/>
        </w:rPr>
        <w:t>（1）</w:t>
      </w:r>
      <w:r>
        <w:rPr>
          <w:rFonts w:hint="eastAsia" w:ascii="宋体" w:hAnsi="宋体" w:eastAsia="宋体" w:cs="宋体"/>
          <w:b w:val="0"/>
          <w:bCs w:val="0"/>
          <w:color w:val="auto"/>
          <w:kern w:val="2"/>
          <w:sz w:val="21"/>
          <w:szCs w:val="21"/>
          <w:highlight w:val="none"/>
          <w:lang w:bidi="ar"/>
        </w:rPr>
        <w:t>投标人应提供防撞包出厂检验合格证明及防撞包的产品质量险，提供防撞包防撞等级证明材料（参考《MASH2016》和国内行业标准的防撞等级测试标准，包含正向追尾、偏置正向追尾和偏斜向追尾的第三方专业检测机构出具的实车碰撞检测报告</w:t>
      </w:r>
      <w:r>
        <w:rPr>
          <w:rFonts w:hint="eastAsia" w:ascii="宋体" w:hAnsi="宋体" w:eastAsia="宋体" w:cs="宋体"/>
          <w:b w:val="0"/>
          <w:bCs w:val="0"/>
          <w:color w:val="auto"/>
          <w:kern w:val="2"/>
          <w:sz w:val="21"/>
          <w:szCs w:val="21"/>
          <w:highlight w:val="none"/>
          <w:lang w:eastAsia="zh-CN" w:bidi="ar"/>
        </w:rPr>
        <w:t>。</w:t>
      </w:r>
    </w:p>
    <w:p w14:paraId="442AF38A">
      <w:pPr>
        <w:autoSpaceDE w:val="0"/>
        <w:autoSpaceDN w:val="0"/>
        <w:adjustRightInd w:val="0"/>
        <w:spacing w:line="360" w:lineRule="auto"/>
        <w:ind w:left="743" w:leftChars="118" w:hanging="495" w:hangingChars="236"/>
        <w:jc w:val="left"/>
        <w:rPr>
          <w:rFonts w:hint="eastAsia" w:ascii="宋体" w:hAnsi="宋体" w:eastAsia="宋体" w:cs="宋体"/>
          <w:b w:val="0"/>
          <w:bCs w:val="0"/>
          <w:color w:val="auto"/>
          <w:kern w:val="2"/>
          <w:sz w:val="21"/>
          <w:szCs w:val="21"/>
          <w:highlight w:val="none"/>
          <w:lang w:bidi="ar"/>
        </w:rPr>
      </w:pPr>
      <w:r>
        <w:rPr>
          <w:rFonts w:hint="eastAsia" w:ascii="宋体" w:hAnsi="宋体" w:eastAsia="宋体" w:cs="宋体"/>
          <w:b w:val="0"/>
          <w:bCs w:val="0"/>
          <w:color w:val="auto"/>
          <w:kern w:val="2"/>
          <w:sz w:val="21"/>
          <w:szCs w:val="21"/>
          <w:highlight w:val="none"/>
          <w:lang w:val="en-US" w:eastAsia="zh-CN" w:bidi="ar"/>
        </w:rPr>
        <w:t>（2）</w:t>
      </w:r>
      <w:r>
        <w:rPr>
          <w:rFonts w:hint="eastAsia" w:ascii="宋体" w:hAnsi="宋体" w:eastAsia="宋体" w:cs="宋体"/>
          <w:b w:val="0"/>
          <w:bCs w:val="0"/>
          <w:color w:val="auto"/>
          <w:kern w:val="2"/>
          <w:sz w:val="21"/>
          <w:szCs w:val="21"/>
          <w:highlight w:val="none"/>
          <w:lang w:bidi="ar"/>
        </w:rPr>
        <w:t>碰撞测试工况包含对投标车型的1100kg小车正撞、2270kg小车正撞、偏撞以及偏斜撞，测试报告中应体现出测试后车质量，及碰撞过程图片）。</w:t>
      </w:r>
    </w:p>
    <w:p w14:paraId="3E4ED52B">
      <w:pPr>
        <w:autoSpaceDE w:val="0"/>
        <w:autoSpaceDN w:val="0"/>
        <w:adjustRightInd w:val="0"/>
        <w:spacing w:line="360" w:lineRule="auto"/>
        <w:ind w:left="743" w:leftChars="118" w:hanging="495" w:hangingChars="236"/>
        <w:jc w:val="left"/>
        <w:rPr>
          <w:rFonts w:hint="eastAsia" w:ascii="宋体" w:hAnsi="宋体" w:eastAsia="宋体" w:cs="宋体"/>
          <w:b w:val="0"/>
          <w:bCs w:val="0"/>
          <w:color w:val="auto"/>
          <w:kern w:val="2"/>
          <w:sz w:val="21"/>
          <w:szCs w:val="21"/>
          <w:highlight w:val="none"/>
          <w:lang w:bidi="ar"/>
        </w:rPr>
      </w:pPr>
      <w:r>
        <w:rPr>
          <w:rFonts w:hint="eastAsia" w:ascii="宋体" w:hAnsi="宋体" w:eastAsia="宋体" w:cs="宋体"/>
          <w:b w:val="0"/>
          <w:bCs w:val="0"/>
          <w:color w:val="auto"/>
          <w:kern w:val="2"/>
          <w:sz w:val="21"/>
          <w:szCs w:val="21"/>
          <w:highlight w:val="none"/>
          <w:lang w:val="en-US" w:eastAsia="zh-CN" w:bidi="ar"/>
        </w:rPr>
        <w:t>（3）</w:t>
      </w:r>
      <w:r>
        <w:rPr>
          <w:rFonts w:hint="eastAsia" w:ascii="宋体" w:hAnsi="宋体" w:eastAsia="宋体" w:cs="宋体"/>
          <w:b w:val="0"/>
          <w:bCs w:val="0"/>
          <w:color w:val="auto"/>
          <w:kern w:val="2"/>
          <w:sz w:val="21"/>
          <w:szCs w:val="21"/>
          <w:highlight w:val="none"/>
          <w:lang w:bidi="ar"/>
        </w:rPr>
        <w:t>按招标人要求配备所有附件和完整的使用说明书，提供整套设备的结构、原理、使用等相关资料。</w:t>
      </w:r>
    </w:p>
    <w:p w14:paraId="259F91E4">
      <w:pPr>
        <w:pStyle w:val="2"/>
        <w:rPr>
          <w:rFonts w:hint="eastAsia" w:ascii="宋体" w:hAnsi="宋体" w:eastAsia="宋体" w:cs="宋体"/>
          <w:b w:val="0"/>
          <w:bCs w:val="0"/>
          <w:color w:val="auto"/>
          <w:kern w:val="2"/>
          <w:sz w:val="21"/>
          <w:szCs w:val="22"/>
          <w:highlight w:val="none"/>
          <w:lang w:bidi="ar"/>
        </w:rPr>
      </w:pPr>
    </w:p>
    <w:p w14:paraId="1D0BEE5E">
      <w:pPr>
        <w:rPr>
          <w:color w:val="auto"/>
          <w:highlight w:val="none"/>
        </w:rPr>
      </w:pPr>
      <w:r>
        <w:rPr>
          <w:rFonts w:hint="eastAsia"/>
          <w:color w:val="auto"/>
          <w:highlight w:val="none"/>
          <w:lang w:bidi="ar"/>
        </w:rPr>
        <w:br w:type="page"/>
      </w:r>
    </w:p>
    <w:p w14:paraId="1FA9CA1C">
      <w:pPr>
        <w:pStyle w:val="32"/>
        <w:rPr>
          <w:rFonts w:hint="eastAsia" w:ascii="宋体" w:hAnsi="宋体" w:eastAsia="宋体" w:cs="宋体"/>
          <w:b/>
          <w:bCs/>
          <w:color w:val="auto"/>
          <w:kern w:val="2"/>
          <w:sz w:val="32"/>
          <w:szCs w:val="32"/>
          <w:highlight w:val="none"/>
          <w:lang w:val="en-US" w:eastAsia="zh-CN" w:bidi="ar"/>
        </w:rPr>
      </w:pPr>
      <w:r>
        <w:rPr>
          <w:rFonts w:hint="default" w:ascii="宋体" w:hAnsi="宋体" w:eastAsia="宋体" w:cs="宋体"/>
          <w:b/>
          <w:bCs/>
          <w:color w:val="auto"/>
          <w:sz w:val="32"/>
          <w:szCs w:val="32"/>
          <w:highlight w:val="none"/>
          <w:lang w:val="en-US" w:eastAsia="zh-CN" w:bidi="ar"/>
        </w:rPr>
        <w:t>14.1.5</w:t>
      </w:r>
      <w:r>
        <w:rPr>
          <w:rFonts w:hint="default" w:ascii="宋体" w:hAnsi="宋体" w:eastAsia="宋体" w:cs="宋体"/>
          <w:b/>
          <w:bCs/>
          <w:color w:val="auto"/>
          <w:kern w:val="2"/>
          <w:sz w:val="32"/>
          <w:szCs w:val="32"/>
          <w:highlight w:val="none"/>
          <w:lang w:val="en-US" w:eastAsia="zh-CN" w:bidi="ar"/>
        </w:rPr>
        <w:t>提供</w:t>
      </w:r>
      <w:r>
        <w:rPr>
          <w:rFonts w:hint="default" w:ascii="宋体" w:hAnsi="宋体" w:eastAsia="宋体" w:cs="宋体"/>
          <w:b/>
          <w:bCs/>
          <w:color w:val="auto"/>
          <w:kern w:val="2"/>
          <w:sz w:val="32"/>
          <w:szCs w:val="32"/>
          <w:highlight w:val="none"/>
          <w:lang w:bidi="ar"/>
        </w:rPr>
        <w:t>《汽车整车产品定型试验报告》</w:t>
      </w:r>
      <w:r>
        <w:rPr>
          <w:rFonts w:hint="eastAsia" w:ascii="宋体" w:hAnsi="宋体" w:eastAsia="宋体" w:cs="宋体"/>
          <w:b/>
          <w:bCs/>
          <w:color w:val="auto"/>
          <w:kern w:val="2"/>
          <w:sz w:val="32"/>
          <w:szCs w:val="32"/>
          <w:highlight w:val="none"/>
          <w:lang w:val="en-US" w:eastAsia="zh-CN" w:bidi="ar"/>
        </w:rPr>
        <w:t>复印件</w:t>
      </w:r>
    </w:p>
    <w:p w14:paraId="68546FEC">
      <w:pPr>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snapToGrid w:val="0"/>
          <w:color w:val="auto"/>
          <w:kern w:val="0"/>
          <w:sz w:val="21"/>
          <w:szCs w:val="21"/>
          <w:highlight w:val="none"/>
          <w:lang w:val="en-US" w:eastAsia="zh-CN" w:bidi="ar-SA"/>
        </w:rPr>
        <w:t>说明：</w:t>
      </w:r>
    </w:p>
    <w:p w14:paraId="6FF96335">
      <w:pPr>
        <w:pStyle w:val="2"/>
        <w:rPr>
          <w:rFonts w:hint="eastAsia" w:ascii="宋体" w:hAnsi="宋体" w:eastAsia="宋体" w:cs="宋体"/>
          <w:b/>
          <w:bCs/>
          <w:color w:val="auto"/>
          <w:kern w:val="2"/>
          <w:sz w:val="32"/>
          <w:szCs w:val="32"/>
          <w:highlight w:val="none"/>
          <w:lang w:val="en-US" w:eastAsia="zh-CN" w:bidi="ar"/>
        </w:rPr>
      </w:pPr>
      <w:r>
        <w:rPr>
          <w:rFonts w:hint="eastAsia" w:ascii="宋体" w:hAnsi="宋体" w:eastAsia="宋体" w:cs="宋体"/>
          <w:color w:val="auto"/>
          <w:kern w:val="0"/>
          <w:szCs w:val="21"/>
          <w:highlight w:val="none"/>
        </w:rPr>
        <w:t>投标人应提供所投车辆内容完整、字迹清晰易辨认的《汽车整车产品定型试验报告》并确保其真实性。投标文件承诺的所投车辆参数必须与所附的《汽车整车产品定型试验报告》的有关参数一致。</w:t>
      </w:r>
    </w:p>
    <w:p w14:paraId="020C1626">
      <w:pPr>
        <w:pStyle w:val="32"/>
        <w:pageBreakBefore/>
        <w:widowControl w:val="0"/>
        <w:autoSpaceDE w:val="0"/>
        <w:autoSpaceDN w:val="0"/>
        <w:adjustRightInd w:val="0"/>
        <w:spacing w:before="0" w:beforeAutospacing="0" w:after="120" w:afterLines="50" w:afterAutospacing="0" w:line="360" w:lineRule="auto"/>
        <w:jc w:val="both"/>
        <w:outlineLvl w:val="2"/>
        <w:rPr>
          <w:rFonts w:eastAsia="宋体" w:cs="宋体"/>
          <w:b/>
          <w:bCs/>
          <w:color w:val="auto"/>
          <w:sz w:val="32"/>
          <w:szCs w:val="32"/>
          <w:highlight w:val="none"/>
        </w:rPr>
      </w:pPr>
      <w:r>
        <w:rPr>
          <w:rFonts w:hint="eastAsia" w:eastAsia="宋体" w:cs="宋体"/>
          <w:b/>
          <w:bCs/>
          <w:color w:val="auto"/>
          <w:sz w:val="32"/>
          <w:szCs w:val="32"/>
          <w:highlight w:val="none"/>
          <w:lang w:bidi="ar"/>
        </w:rPr>
        <w:t>1</w:t>
      </w:r>
      <w:r>
        <w:rPr>
          <w:rFonts w:hint="eastAsia" w:eastAsia="宋体" w:cs="宋体"/>
          <w:b/>
          <w:bCs/>
          <w:color w:val="auto"/>
          <w:sz w:val="32"/>
          <w:szCs w:val="32"/>
          <w:highlight w:val="none"/>
          <w:lang w:val="en-US" w:eastAsia="zh-CN" w:bidi="ar"/>
        </w:rPr>
        <w:t>4.</w:t>
      </w:r>
      <w:r>
        <w:rPr>
          <w:rFonts w:hint="eastAsia" w:eastAsia="宋体" w:cs="宋体"/>
          <w:b/>
          <w:bCs/>
          <w:color w:val="auto"/>
          <w:sz w:val="32"/>
          <w:szCs w:val="32"/>
          <w:highlight w:val="none"/>
          <w:lang w:bidi="ar"/>
        </w:rPr>
        <w:t>2 技术参数偏离表格式</w:t>
      </w:r>
      <w:bookmarkEnd w:id="659"/>
      <w:bookmarkEnd w:id="660"/>
    </w:p>
    <w:p w14:paraId="19471724">
      <w:pPr>
        <w:autoSpaceDE w:val="0"/>
        <w:autoSpaceDN w:val="0"/>
        <w:adjustRightInd w:val="0"/>
        <w:spacing w:line="360" w:lineRule="auto"/>
        <w:jc w:val="center"/>
        <w:outlineLvl w:val="2"/>
        <w:rPr>
          <w:rFonts w:hint="eastAsia" w:ascii="宋体" w:hAnsi="宋体" w:eastAsia="宋体" w:cs="宋体"/>
          <w:b/>
          <w:color w:val="auto"/>
          <w:sz w:val="30"/>
          <w:szCs w:val="30"/>
          <w:highlight w:val="none"/>
          <w:lang w:eastAsia="zh-CN"/>
        </w:rPr>
      </w:pPr>
      <w:bookmarkStart w:id="661" w:name="_Toc21001"/>
      <w:r>
        <w:rPr>
          <w:rFonts w:hint="eastAsia" w:ascii="宋体" w:hAnsi="宋体" w:eastAsia="宋体" w:cs="宋体"/>
          <w:b/>
          <w:color w:val="auto"/>
          <w:kern w:val="0"/>
          <w:sz w:val="30"/>
          <w:szCs w:val="30"/>
          <w:highlight w:val="none"/>
          <w:lang w:val="en-US" w:eastAsia="zh-CN" w:bidi="ar"/>
        </w:rPr>
        <w:t xml:space="preserve"> </w:t>
      </w:r>
      <w:r>
        <w:rPr>
          <w:rFonts w:hint="eastAsia" w:ascii="宋体" w:hAnsi="宋体" w:eastAsia="宋体" w:cs="宋体"/>
          <w:b/>
          <w:color w:val="auto"/>
          <w:kern w:val="0"/>
          <w:sz w:val="30"/>
          <w:szCs w:val="30"/>
          <w:highlight w:val="none"/>
          <w:lang w:bidi="ar"/>
        </w:rPr>
        <w:t>技术参数偏离表</w:t>
      </w:r>
      <w:bookmarkEnd w:id="661"/>
    </w:p>
    <w:tbl>
      <w:tblPr>
        <w:tblStyle w:val="36"/>
        <w:tblW w:w="10432"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1278"/>
        <w:gridCol w:w="2641"/>
        <w:gridCol w:w="2683"/>
        <w:gridCol w:w="881"/>
        <w:gridCol w:w="1305"/>
        <w:gridCol w:w="999"/>
      </w:tblGrid>
      <w:tr w14:paraId="6C94635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7247" w:type="dxa"/>
            <w:gridSpan w:val="4"/>
            <w:tcBorders>
              <w:top w:val="single" w:color="000000" w:sz="4" w:space="0"/>
              <w:bottom w:val="single" w:color="000000" w:sz="4" w:space="0"/>
            </w:tcBorders>
            <w:shd w:val="clear" w:color="auto" w:fill="auto"/>
            <w:vAlign w:val="center"/>
          </w:tcPr>
          <w:p w14:paraId="3429690C">
            <w:pPr>
              <w:spacing w:line="360" w:lineRule="auto"/>
              <w:contextualSpacing/>
              <w:jc w:val="center"/>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招标文件要求</w:t>
            </w:r>
          </w:p>
        </w:tc>
        <w:tc>
          <w:tcPr>
            <w:tcW w:w="3185" w:type="dxa"/>
            <w:gridSpan w:val="3"/>
            <w:tcBorders>
              <w:top w:val="single" w:color="000000" w:sz="4" w:space="0"/>
              <w:left w:val="single" w:color="000000" w:sz="4" w:space="0"/>
              <w:bottom w:val="single" w:color="000000" w:sz="4" w:space="0"/>
            </w:tcBorders>
            <w:shd w:val="clear" w:color="auto" w:fill="auto"/>
            <w:vAlign w:val="center"/>
          </w:tcPr>
          <w:p w14:paraId="0A75BD48">
            <w:pPr>
              <w:spacing w:line="360" w:lineRule="auto"/>
              <w:contextualSpacing/>
              <w:jc w:val="center"/>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投标文件内容</w:t>
            </w:r>
          </w:p>
        </w:tc>
      </w:tr>
      <w:tr w14:paraId="4A3C9B5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061C62EC">
            <w:pPr>
              <w:spacing w:line="360" w:lineRule="auto"/>
              <w:contextualSpacing/>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929" w:type="dxa"/>
            <w:gridSpan w:val="2"/>
            <w:tcBorders>
              <w:top w:val="single" w:color="000000" w:sz="4" w:space="0"/>
              <w:left w:val="single" w:color="000000" w:sz="4" w:space="0"/>
              <w:bottom w:val="single" w:color="000000" w:sz="4" w:space="0"/>
            </w:tcBorders>
            <w:shd w:val="clear" w:color="auto" w:fill="auto"/>
            <w:vAlign w:val="center"/>
          </w:tcPr>
          <w:p w14:paraId="74CA70A5">
            <w:pPr>
              <w:spacing w:line="360" w:lineRule="auto"/>
              <w:contextualSpacing/>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技术参数</w:t>
            </w:r>
          </w:p>
        </w:tc>
        <w:tc>
          <w:tcPr>
            <w:tcW w:w="2646" w:type="dxa"/>
            <w:tcBorders>
              <w:top w:val="single" w:color="000000" w:sz="4" w:space="0"/>
              <w:left w:val="single" w:color="000000" w:sz="4" w:space="0"/>
              <w:bottom w:val="single" w:color="000000" w:sz="4" w:space="0"/>
            </w:tcBorders>
            <w:shd w:val="clear" w:color="auto" w:fill="auto"/>
            <w:vAlign w:val="center"/>
          </w:tcPr>
          <w:p w14:paraId="17E0EA8B">
            <w:pPr>
              <w:spacing w:line="360" w:lineRule="auto"/>
              <w:contextualSpacing/>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配置要求</w:t>
            </w:r>
          </w:p>
        </w:tc>
        <w:tc>
          <w:tcPr>
            <w:tcW w:w="881" w:type="dxa"/>
            <w:tcBorders>
              <w:top w:val="single" w:color="000000" w:sz="4" w:space="0"/>
              <w:left w:val="single" w:color="000000" w:sz="4" w:space="0"/>
              <w:bottom w:val="single" w:color="000000" w:sz="4" w:space="0"/>
            </w:tcBorders>
            <w:shd w:val="clear" w:color="auto" w:fill="auto"/>
            <w:vAlign w:val="center"/>
          </w:tcPr>
          <w:p w14:paraId="6E2B130B">
            <w:pPr>
              <w:spacing w:line="360" w:lineRule="auto"/>
              <w:contextualSpacing/>
              <w:jc w:val="center"/>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偏离情况</w:t>
            </w:r>
          </w:p>
        </w:tc>
        <w:tc>
          <w:tcPr>
            <w:tcW w:w="1305" w:type="dxa"/>
            <w:tcBorders>
              <w:top w:val="single" w:color="000000" w:sz="4" w:space="0"/>
              <w:left w:val="single" w:color="000000" w:sz="4" w:space="0"/>
              <w:bottom w:val="single" w:color="000000" w:sz="4" w:space="0"/>
            </w:tcBorders>
            <w:shd w:val="clear" w:color="auto" w:fill="auto"/>
            <w:vAlign w:val="center"/>
          </w:tcPr>
          <w:p w14:paraId="07E572F4">
            <w:pPr>
              <w:spacing w:line="360" w:lineRule="auto"/>
              <w:contextualSpacing/>
              <w:jc w:val="center"/>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具体偏离内容</w:t>
            </w:r>
          </w:p>
        </w:tc>
        <w:tc>
          <w:tcPr>
            <w:tcW w:w="999" w:type="dxa"/>
            <w:tcBorders>
              <w:top w:val="single" w:color="000000" w:sz="4" w:space="0"/>
              <w:left w:val="single" w:color="000000" w:sz="4" w:space="0"/>
              <w:bottom w:val="single" w:color="000000" w:sz="4" w:space="0"/>
            </w:tcBorders>
            <w:shd w:val="clear" w:color="auto" w:fill="auto"/>
            <w:vAlign w:val="center"/>
          </w:tcPr>
          <w:p w14:paraId="42DFBF3F">
            <w:pPr>
              <w:spacing w:line="360" w:lineRule="auto"/>
              <w:contextualSpacing/>
              <w:jc w:val="center"/>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对应证明材料页码</w:t>
            </w:r>
          </w:p>
        </w:tc>
      </w:tr>
      <w:tr w14:paraId="1F4F317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54F4BE3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0" w:type="auto"/>
            <w:vMerge w:val="restart"/>
            <w:tcBorders>
              <w:top w:val="single" w:color="000000" w:sz="4" w:space="0"/>
              <w:left w:val="single" w:color="000000" w:sz="4" w:space="0"/>
              <w:right w:val="single" w:color="000000" w:sz="4" w:space="0"/>
            </w:tcBorders>
            <w:shd w:val="clear" w:color="auto" w:fill="auto"/>
            <w:vAlign w:val="center"/>
          </w:tcPr>
          <w:p w14:paraId="6C5DB8A1">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车辆本体</w:t>
            </w:r>
          </w:p>
        </w:tc>
        <w:tc>
          <w:tcPr>
            <w:tcW w:w="2596" w:type="dxa"/>
            <w:tcBorders>
              <w:top w:val="single" w:color="000000" w:sz="4" w:space="0"/>
              <w:left w:val="single" w:color="000000" w:sz="4" w:space="0"/>
              <w:bottom w:val="single" w:color="000000" w:sz="4" w:space="0"/>
            </w:tcBorders>
            <w:shd w:val="clear" w:color="auto" w:fill="auto"/>
            <w:vAlign w:val="center"/>
          </w:tcPr>
          <w:p w14:paraId="1E1EA5B3">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车辆类型</w:t>
            </w:r>
          </w:p>
        </w:tc>
        <w:tc>
          <w:tcPr>
            <w:tcW w:w="2646" w:type="dxa"/>
            <w:tcBorders>
              <w:top w:val="single" w:color="000000" w:sz="4" w:space="0"/>
              <w:left w:val="single" w:color="000000" w:sz="4" w:space="0"/>
              <w:bottom w:val="single" w:color="000000" w:sz="4" w:space="0"/>
            </w:tcBorders>
            <w:shd w:val="clear" w:color="auto" w:fill="auto"/>
            <w:vAlign w:val="center"/>
          </w:tcPr>
          <w:p w14:paraId="008D61DE">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轻型专门用途货车</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防撞缓冲车</w:t>
            </w:r>
            <w:r>
              <w:rPr>
                <w:rFonts w:hint="eastAsia" w:ascii="宋体" w:hAnsi="宋体" w:eastAsia="宋体" w:cs="宋体"/>
                <w:color w:val="auto"/>
                <w:kern w:val="0"/>
                <w:szCs w:val="21"/>
                <w:highlight w:val="none"/>
                <w:lang w:eastAsia="zh-CN"/>
              </w:rPr>
              <w:t>）</w:t>
            </w:r>
          </w:p>
        </w:tc>
        <w:tc>
          <w:tcPr>
            <w:tcW w:w="881" w:type="dxa"/>
            <w:tcBorders>
              <w:top w:val="single" w:color="000000" w:sz="4" w:space="0"/>
              <w:left w:val="single" w:color="000000" w:sz="4" w:space="0"/>
              <w:bottom w:val="single" w:color="000000" w:sz="4" w:space="0"/>
            </w:tcBorders>
            <w:shd w:val="clear" w:color="auto" w:fill="auto"/>
            <w:vAlign w:val="center"/>
          </w:tcPr>
          <w:p w14:paraId="49C6197F">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111F1F85">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41F2ADEA">
            <w:pPr>
              <w:spacing w:line="360" w:lineRule="auto"/>
              <w:contextualSpacing/>
              <w:jc w:val="center"/>
              <w:rPr>
                <w:rFonts w:hint="eastAsia" w:ascii="宋体" w:hAnsi="宋体" w:eastAsia="宋体" w:cs="宋体"/>
                <w:color w:val="auto"/>
                <w:kern w:val="0"/>
                <w:szCs w:val="21"/>
                <w:highlight w:val="none"/>
              </w:rPr>
            </w:pPr>
          </w:p>
        </w:tc>
      </w:tr>
      <w:tr w14:paraId="721EC9D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607BE7B2">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p>
        </w:tc>
        <w:tc>
          <w:tcPr>
            <w:tcW w:w="0" w:type="auto"/>
            <w:vMerge w:val="continue"/>
            <w:tcBorders>
              <w:left w:val="single" w:color="000000" w:sz="4" w:space="0"/>
              <w:right w:val="single" w:color="000000" w:sz="4" w:space="0"/>
            </w:tcBorders>
            <w:shd w:val="clear" w:color="auto" w:fill="auto"/>
            <w:vAlign w:val="center"/>
          </w:tcPr>
          <w:p w14:paraId="570F6675">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1F1F95E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能源类型</w:t>
            </w:r>
          </w:p>
        </w:tc>
        <w:tc>
          <w:tcPr>
            <w:tcW w:w="2646" w:type="dxa"/>
            <w:tcBorders>
              <w:top w:val="single" w:color="000000" w:sz="4" w:space="0"/>
              <w:left w:val="single" w:color="000000" w:sz="4" w:space="0"/>
              <w:bottom w:val="single" w:color="000000" w:sz="4" w:space="0"/>
            </w:tcBorders>
            <w:shd w:val="clear" w:color="auto" w:fill="auto"/>
            <w:vAlign w:val="center"/>
          </w:tcPr>
          <w:p w14:paraId="02DC8672">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柴油</w:t>
            </w:r>
          </w:p>
        </w:tc>
        <w:tc>
          <w:tcPr>
            <w:tcW w:w="881" w:type="dxa"/>
            <w:tcBorders>
              <w:top w:val="single" w:color="000000" w:sz="4" w:space="0"/>
              <w:left w:val="single" w:color="000000" w:sz="4" w:space="0"/>
              <w:bottom w:val="single" w:color="000000" w:sz="4" w:space="0"/>
            </w:tcBorders>
            <w:shd w:val="clear" w:color="auto" w:fill="auto"/>
            <w:vAlign w:val="center"/>
          </w:tcPr>
          <w:p w14:paraId="71B9FE64">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2522CEE8">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21FC86CF">
            <w:pPr>
              <w:spacing w:line="360" w:lineRule="auto"/>
              <w:contextualSpacing/>
              <w:jc w:val="center"/>
              <w:rPr>
                <w:rFonts w:hint="eastAsia" w:ascii="宋体" w:hAnsi="宋体" w:eastAsia="宋体" w:cs="宋体"/>
                <w:color w:val="auto"/>
                <w:kern w:val="0"/>
                <w:szCs w:val="21"/>
                <w:highlight w:val="none"/>
              </w:rPr>
            </w:pPr>
          </w:p>
        </w:tc>
      </w:tr>
      <w:tr w14:paraId="5DC30A2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3310515C">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p>
        </w:tc>
        <w:tc>
          <w:tcPr>
            <w:tcW w:w="0" w:type="auto"/>
            <w:vMerge w:val="continue"/>
            <w:tcBorders>
              <w:left w:val="single" w:color="000000" w:sz="4" w:space="0"/>
              <w:right w:val="single" w:color="000000" w:sz="4" w:space="0"/>
            </w:tcBorders>
            <w:shd w:val="clear" w:color="auto" w:fill="auto"/>
            <w:vAlign w:val="center"/>
          </w:tcPr>
          <w:p w14:paraId="0DE7244D">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50776FE7">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环保标准</w:t>
            </w:r>
          </w:p>
        </w:tc>
        <w:tc>
          <w:tcPr>
            <w:tcW w:w="2646" w:type="dxa"/>
            <w:tcBorders>
              <w:top w:val="single" w:color="000000" w:sz="4" w:space="0"/>
              <w:left w:val="single" w:color="000000" w:sz="4" w:space="0"/>
              <w:bottom w:val="single" w:color="000000" w:sz="4" w:space="0"/>
            </w:tcBorders>
            <w:shd w:val="clear" w:color="auto" w:fill="auto"/>
            <w:vAlign w:val="center"/>
          </w:tcPr>
          <w:p w14:paraId="30A16479">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国六</w:t>
            </w:r>
            <w:r>
              <w:rPr>
                <w:rFonts w:hint="eastAsia" w:ascii="宋体" w:hAnsi="宋体" w:eastAsia="宋体" w:cs="宋体"/>
                <w:color w:val="auto"/>
                <w:kern w:val="0"/>
                <w:szCs w:val="21"/>
                <w:highlight w:val="none"/>
                <w:lang w:val="en-US" w:eastAsia="zh-CN"/>
              </w:rPr>
              <w:t>b</w:t>
            </w:r>
            <w:r>
              <w:rPr>
                <w:rFonts w:hint="eastAsia" w:ascii="宋体" w:hAnsi="宋体" w:eastAsia="宋体" w:cs="宋体"/>
                <w:color w:val="auto"/>
                <w:kern w:val="0"/>
                <w:szCs w:val="21"/>
                <w:highlight w:val="none"/>
              </w:rPr>
              <w:t>或以上，须满足东莞合法上牌标准</w:t>
            </w:r>
          </w:p>
        </w:tc>
        <w:tc>
          <w:tcPr>
            <w:tcW w:w="881" w:type="dxa"/>
            <w:tcBorders>
              <w:top w:val="single" w:color="000000" w:sz="4" w:space="0"/>
              <w:left w:val="single" w:color="000000" w:sz="4" w:space="0"/>
              <w:bottom w:val="single" w:color="000000" w:sz="4" w:space="0"/>
            </w:tcBorders>
            <w:shd w:val="clear" w:color="auto" w:fill="auto"/>
            <w:vAlign w:val="center"/>
          </w:tcPr>
          <w:p w14:paraId="0DCB475B">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2277B39C">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2587CE2B">
            <w:pPr>
              <w:spacing w:line="360" w:lineRule="auto"/>
              <w:contextualSpacing/>
              <w:jc w:val="center"/>
              <w:rPr>
                <w:rFonts w:hint="eastAsia" w:ascii="宋体" w:hAnsi="宋体" w:eastAsia="宋体" w:cs="宋体"/>
                <w:color w:val="auto"/>
                <w:kern w:val="0"/>
                <w:szCs w:val="21"/>
                <w:highlight w:val="none"/>
              </w:rPr>
            </w:pPr>
          </w:p>
        </w:tc>
      </w:tr>
      <w:tr w14:paraId="1F1AC7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775F2E53">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p>
        </w:tc>
        <w:tc>
          <w:tcPr>
            <w:tcW w:w="0" w:type="auto"/>
            <w:vMerge w:val="continue"/>
            <w:tcBorders>
              <w:left w:val="single" w:color="000000" w:sz="4" w:space="0"/>
              <w:right w:val="single" w:color="000000" w:sz="4" w:space="0"/>
            </w:tcBorders>
            <w:shd w:val="clear" w:color="auto" w:fill="auto"/>
            <w:vAlign w:val="center"/>
          </w:tcPr>
          <w:p w14:paraId="59355689">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74DCC8E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整车质量（kg）</w:t>
            </w:r>
          </w:p>
        </w:tc>
        <w:tc>
          <w:tcPr>
            <w:tcW w:w="2646" w:type="dxa"/>
            <w:tcBorders>
              <w:top w:val="single" w:color="000000" w:sz="4" w:space="0"/>
              <w:left w:val="single" w:color="000000" w:sz="4" w:space="0"/>
              <w:bottom w:val="single" w:color="000000" w:sz="4" w:space="0"/>
            </w:tcBorders>
            <w:shd w:val="clear" w:color="auto" w:fill="auto"/>
            <w:vAlign w:val="center"/>
          </w:tcPr>
          <w:p w14:paraId="6BC2200D">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≥4000</w:t>
            </w:r>
          </w:p>
        </w:tc>
        <w:tc>
          <w:tcPr>
            <w:tcW w:w="881" w:type="dxa"/>
            <w:tcBorders>
              <w:top w:val="single" w:color="000000" w:sz="4" w:space="0"/>
              <w:left w:val="single" w:color="000000" w:sz="4" w:space="0"/>
              <w:bottom w:val="single" w:color="000000" w:sz="4" w:space="0"/>
            </w:tcBorders>
            <w:shd w:val="clear" w:color="auto" w:fill="auto"/>
            <w:vAlign w:val="center"/>
          </w:tcPr>
          <w:p w14:paraId="4A202DB7">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2CB230B2">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3B7A88E2">
            <w:pPr>
              <w:spacing w:line="360" w:lineRule="auto"/>
              <w:contextualSpacing/>
              <w:jc w:val="center"/>
              <w:rPr>
                <w:rFonts w:hint="eastAsia" w:ascii="宋体" w:hAnsi="宋体" w:eastAsia="宋体" w:cs="宋体"/>
                <w:color w:val="auto"/>
                <w:kern w:val="0"/>
                <w:szCs w:val="21"/>
                <w:highlight w:val="none"/>
              </w:rPr>
            </w:pPr>
          </w:p>
        </w:tc>
      </w:tr>
      <w:tr w14:paraId="7B0755C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05FDCF80">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0" w:type="auto"/>
            <w:vMerge w:val="continue"/>
            <w:tcBorders>
              <w:left w:val="single" w:color="000000" w:sz="4" w:space="0"/>
              <w:right w:val="single" w:color="000000" w:sz="4" w:space="0"/>
            </w:tcBorders>
            <w:shd w:val="clear" w:color="auto" w:fill="auto"/>
            <w:vAlign w:val="center"/>
          </w:tcPr>
          <w:p w14:paraId="6C5B07B0">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auto" w:sz="4" w:space="0"/>
            </w:tcBorders>
            <w:shd w:val="clear" w:color="auto" w:fill="auto"/>
            <w:vAlign w:val="center"/>
          </w:tcPr>
          <w:p w14:paraId="014D654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底盘品牌</w:t>
            </w:r>
          </w:p>
        </w:tc>
        <w:tc>
          <w:tcPr>
            <w:tcW w:w="2646" w:type="dxa"/>
            <w:tcBorders>
              <w:top w:val="single" w:color="000000" w:sz="4" w:space="0"/>
              <w:left w:val="single" w:color="000000" w:sz="4" w:space="0"/>
              <w:bottom w:val="single" w:color="000000" w:sz="4" w:space="0"/>
            </w:tcBorders>
            <w:shd w:val="clear" w:color="auto" w:fill="auto"/>
            <w:vAlign w:val="center"/>
          </w:tcPr>
          <w:p w14:paraId="0EB6E101">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相当于或优于</w:t>
            </w:r>
            <w:r>
              <w:rPr>
                <w:rFonts w:hint="eastAsia" w:ascii="宋体" w:hAnsi="宋体" w:eastAsia="宋体" w:cs="宋体"/>
                <w:color w:val="auto"/>
                <w:kern w:val="0"/>
                <w:szCs w:val="21"/>
                <w:highlight w:val="none"/>
                <w:lang w:val="en-US" w:eastAsia="zh-CN"/>
              </w:rPr>
              <w:t>福田牌</w:t>
            </w:r>
            <w:r>
              <w:rPr>
                <w:rFonts w:hint="eastAsia" w:ascii="宋体" w:hAnsi="宋体" w:eastAsia="宋体" w:cs="宋体"/>
                <w:color w:val="auto"/>
                <w:kern w:val="0"/>
                <w:szCs w:val="21"/>
                <w:highlight w:val="none"/>
              </w:rPr>
              <w:t>或江铃牌或东风牌</w:t>
            </w:r>
          </w:p>
        </w:tc>
        <w:tc>
          <w:tcPr>
            <w:tcW w:w="881" w:type="dxa"/>
            <w:tcBorders>
              <w:top w:val="single" w:color="000000" w:sz="4" w:space="0"/>
              <w:left w:val="single" w:color="000000" w:sz="4" w:space="0"/>
              <w:bottom w:val="single" w:color="000000" w:sz="4" w:space="0"/>
            </w:tcBorders>
            <w:shd w:val="clear" w:color="auto" w:fill="auto"/>
            <w:vAlign w:val="center"/>
          </w:tcPr>
          <w:p w14:paraId="17FD5A73">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1908A083">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7684154A">
            <w:pPr>
              <w:spacing w:line="360" w:lineRule="auto"/>
              <w:contextualSpacing/>
              <w:jc w:val="center"/>
              <w:rPr>
                <w:rFonts w:hint="eastAsia" w:ascii="宋体" w:hAnsi="宋体" w:eastAsia="宋体" w:cs="宋体"/>
                <w:color w:val="auto"/>
                <w:kern w:val="0"/>
                <w:szCs w:val="21"/>
                <w:highlight w:val="none"/>
              </w:rPr>
            </w:pPr>
          </w:p>
        </w:tc>
      </w:tr>
      <w:tr w14:paraId="67F816F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right w:val="single" w:color="000000" w:sz="4" w:space="0"/>
            </w:tcBorders>
            <w:shd w:val="clear" w:color="auto" w:fill="auto"/>
            <w:vAlign w:val="center"/>
          </w:tcPr>
          <w:p w14:paraId="7B2CBDCA">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6</w:t>
            </w:r>
          </w:p>
        </w:tc>
        <w:tc>
          <w:tcPr>
            <w:tcW w:w="0" w:type="auto"/>
            <w:vMerge w:val="continue"/>
            <w:tcBorders>
              <w:left w:val="single" w:color="000000" w:sz="4" w:space="0"/>
              <w:right w:val="single" w:color="auto" w:sz="4" w:space="0"/>
            </w:tcBorders>
            <w:shd w:val="clear" w:color="auto" w:fill="auto"/>
            <w:vAlign w:val="center"/>
          </w:tcPr>
          <w:p w14:paraId="67F76AAA">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auto" w:sz="4" w:space="0"/>
              <w:bottom w:val="single" w:color="auto" w:sz="4" w:space="0"/>
              <w:right w:val="single" w:color="auto" w:sz="4" w:space="0"/>
            </w:tcBorders>
            <w:shd w:val="clear" w:color="auto" w:fill="auto"/>
            <w:vAlign w:val="center"/>
          </w:tcPr>
          <w:p w14:paraId="4E01A8E9">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发动机功率（kw）</w:t>
            </w:r>
          </w:p>
        </w:tc>
        <w:tc>
          <w:tcPr>
            <w:tcW w:w="2646" w:type="dxa"/>
            <w:tcBorders>
              <w:top w:val="single" w:color="000000" w:sz="4" w:space="0"/>
              <w:left w:val="single" w:color="auto" w:sz="4" w:space="0"/>
              <w:bottom w:val="single" w:color="auto" w:sz="4" w:space="0"/>
            </w:tcBorders>
            <w:shd w:val="clear" w:color="auto" w:fill="auto"/>
            <w:vAlign w:val="center"/>
          </w:tcPr>
          <w:p w14:paraId="387042EC">
            <w:pPr>
              <w:autoSpaceDE w:val="0"/>
              <w:autoSpaceDN w:val="0"/>
              <w:adjustRightInd w:val="0"/>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≥85</w:t>
            </w:r>
          </w:p>
        </w:tc>
        <w:tc>
          <w:tcPr>
            <w:tcW w:w="881" w:type="dxa"/>
            <w:tcBorders>
              <w:top w:val="single" w:color="000000" w:sz="4" w:space="0"/>
              <w:left w:val="single" w:color="auto" w:sz="4" w:space="0"/>
              <w:bottom w:val="single" w:color="auto" w:sz="4" w:space="0"/>
            </w:tcBorders>
            <w:shd w:val="clear" w:color="auto" w:fill="auto"/>
            <w:vAlign w:val="center"/>
          </w:tcPr>
          <w:p w14:paraId="41AF9160">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auto" w:sz="4" w:space="0"/>
              <w:bottom w:val="single" w:color="auto" w:sz="4" w:space="0"/>
            </w:tcBorders>
            <w:shd w:val="clear" w:color="auto" w:fill="auto"/>
            <w:vAlign w:val="center"/>
          </w:tcPr>
          <w:p w14:paraId="3FE8F11D">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auto" w:sz="4" w:space="0"/>
              <w:bottom w:val="single" w:color="auto" w:sz="4" w:space="0"/>
            </w:tcBorders>
            <w:shd w:val="clear" w:color="auto" w:fill="auto"/>
            <w:vAlign w:val="center"/>
          </w:tcPr>
          <w:p w14:paraId="0F224EBF">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r>
      <w:tr w14:paraId="335F762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right w:val="single" w:color="000000" w:sz="4" w:space="0"/>
            </w:tcBorders>
            <w:shd w:val="clear" w:color="auto" w:fill="auto"/>
            <w:vAlign w:val="center"/>
          </w:tcPr>
          <w:p w14:paraId="22442DAE">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7</w:t>
            </w:r>
          </w:p>
        </w:tc>
        <w:tc>
          <w:tcPr>
            <w:tcW w:w="0" w:type="auto"/>
            <w:vMerge w:val="continue"/>
            <w:tcBorders>
              <w:left w:val="single" w:color="000000" w:sz="4" w:space="0"/>
              <w:right w:val="single" w:color="auto" w:sz="4" w:space="0"/>
            </w:tcBorders>
            <w:shd w:val="clear" w:color="auto" w:fill="auto"/>
            <w:vAlign w:val="center"/>
          </w:tcPr>
          <w:p w14:paraId="1F899B74">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auto" w:sz="4" w:space="0"/>
              <w:bottom w:val="single" w:color="auto" w:sz="4" w:space="0"/>
              <w:right w:val="single" w:color="auto" w:sz="4" w:space="0"/>
            </w:tcBorders>
            <w:shd w:val="clear" w:color="auto" w:fill="auto"/>
            <w:vAlign w:val="center"/>
          </w:tcPr>
          <w:p w14:paraId="40658FE5">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发动机扭矩</w:t>
            </w:r>
            <w:r>
              <w:rPr>
                <w:rFonts w:hint="eastAsia" w:ascii="宋体" w:hAnsi="宋体" w:eastAsia="宋体" w:cs="宋体"/>
                <w:color w:val="auto"/>
                <w:szCs w:val="21"/>
                <w:highlight w:val="none"/>
                <w:lang w:bidi="ar"/>
              </w:rPr>
              <w:t>（N·m）</w:t>
            </w:r>
          </w:p>
        </w:tc>
        <w:tc>
          <w:tcPr>
            <w:tcW w:w="2646" w:type="dxa"/>
            <w:tcBorders>
              <w:top w:val="single" w:color="000000" w:sz="4" w:space="0"/>
              <w:left w:val="single" w:color="auto" w:sz="4" w:space="0"/>
              <w:bottom w:val="single" w:color="auto" w:sz="4" w:space="0"/>
            </w:tcBorders>
            <w:shd w:val="clear" w:color="auto" w:fill="auto"/>
            <w:vAlign w:val="center"/>
          </w:tcPr>
          <w:p w14:paraId="478E4D5B">
            <w:pPr>
              <w:autoSpaceDE w:val="0"/>
              <w:autoSpaceDN w:val="0"/>
              <w:adjustRightInd w:val="0"/>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≥285</w:t>
            </w:r>
          </w:p>
        </w:tc>
        <w:tc>
          <w:tcPr>
            <w:tcW w:w="881" w:type="dxa"/>
            <w:tcBorders>
              <w:top w:val="single" w:color="000000" w:sz="4" w:space="0"/>
              <w:left w:val="single" w:color="auto" w:sz="4" w:space="0"/>
              <w:bottom w:val="single" w:color="auto" w:sz="4" w:space="0"/>
            </w:tcBorders>
            <w:shd w:val="clear" w:color="auto" w:fill="auto"/>
            <w:vAlign w:val="center"/>
          </w:tcPr>
          <w:p w14:paraId="54ABBEE8">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auto" w:sz="4" w:space="0"/>
              <w:bottom w:val="single" w:color="auto" w:sz="4" w:space="0"/>
            </w:tcBorders>
            <w:shd w:val="clear" w:color="auto" w:fill="auto"/>
            <w:vAlign w:val="center"/>
          </w:tcPr>
          <w:p w14:paraId="5AC92FC4">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auto" w:sz="4" w:space="0"/>
              <w:bottom w:val="single" w:color="auto" w:sz="4" w:space="0"/>
            </w:tcBorders>
            <w:shd w:val="clear" w:color="auto" w:fill="auto"/>
            <w:vAlign w:val="center"/>
          </w:tcPr>
          <w:p w14:paraId="2FA381D4">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r>
      <w:tr w14:paraId="35DE520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vMerge w:val="restart"/>
            <w:tcBorders>
              <w:top w:val="single" w:color="000000" w:sz="4" w:space="0"/>
              <w:right w:val="single" w:color="000000" w:sz="4" w:space="0"/>
            </w:tcBorders>
            <w:shd w:val="clear" w:color="auto" w:fill="auto"/>
            <w:vAlign w:val="center"/>
          </w:tcPr>
          <w:p w14:paraId="04BC45C8">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8</w:t>
            </w:r>
          </w:p>
        </w:tc>
        <w:tc>
          <w:tcPr>
            <w:tcW w:w="0" w:type="auto"/>
            <w:vMerge w:val="continue"/>
            <w:tcBorders>
              <w:left w:val="single" w:color="000000" w:sz="4" w:space="0"/>
              <w:right w:val="single" w:color="auto" w:sz="4" w:space="0"/>
            </w:tcBorders>
            <w:shd w:val="clear" w:color="auto" w:fill="auto"/>
            <w:vAlign w:val="center"/>
          </w:tcPr>
          <w:p w14:paraId="095740C2">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auto" w:sz="4" w:space="0"/>
              <w:bottom w:val="single" w:color="auto" w:sz="4" w:space="0"/>
              <w:right w:val="single" w:color="auto" w:sz="4" w:space="0"/>
            </w:tcBorders>
            <w:shd w:val="clear" w:color="auto" w:fill="auto"/>
            <w:vAlign w:val="center"/>
          </w:tcPr>
          <w:p w14:paraId="3653B528">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车身长（mm）</w:t>
            </w:r>
          </w:p>
        </w:tc>
        <w:tc>
          <w:tcPr>
            <w:tcW w:w="2646" w:type="dxa"/>
            <w:tcBorders>
              <w:top w:val="single" w:color="000000" w:sz="4" w:space="0"/>
              <w:left w:val="single" w:color="auto" w:sz="4" w:space="0"/>
              <w:bottom w:val="single" w:color="auto" w:sz="4" w:space="0"/>
            </w:tcBorders>
            <w:shd w:val="clear" w:color="auto" w:fill="auto"/>
            <w:vAlign w:val="center"/>
          </w:tcPr>
          <w:p w14:paraId="116B12D8">
            <w:pPr>
              <w:autoSpaceDE w:val="0"/>
              <w:autoSpaceDN w:val="0"/>
              <w:adjustRightInd w:val="0"/>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≤6000</w:t>
            </w:r>
          </w:p>
        </w:tc>
        <w:tc>
          <w:tcPr>
            <w:tcW w:w="881" w:type="dxa"/>
            <w:tcBorders>
              <w:top w:val="single" w:color="000000" w:sz="4" w:space="0"/>
              <w:left w:val="single" w:color="auto" w:sz="4" w:space="0"/>
              <w:bottom w:val="single" w:color="auto" w:sz="4" w:space="0"/>
            </w:tcBorders>
            <w:shd w:val="clear" w:color="auto" w:fill="auto"/>
            <w:vAlign w:val="center"/>
          </w:tcPr>
          <w:p w14:paraId="2C43AC60">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auto" w:sz="4" w:space="0"/>
              <w:bottom w:val="single" w:color="auto" w:sz="4" w:space="0"/>
            </w:tcBorders>
            <w:shd w:val="clear" w:color="auto" w:fill="auto"/>
            <w:vAlign w:val="center"/>
          </w:tcPr>
          <w:p w14:paraId="614FCE0E">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auto" w:sz="4" w:space="0"/>
              <w:bottom w:val="single" w:color="auto" w:sz="4" w:space="0"/>
            </w:tcBorders>
            <w:shd w:val="clear" w:color="auto" w:fill="auto"/>
            <w:vAlign w:val="center"/>
          </w:tcPr>
          <w:p w14:paraId="14BB4898">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r>
      <w:tr w14:paraId="286262C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vMerge w:val="continue"/>
            <w:tcBorders>
              <w:right w:val="single" w:color="000000" w:sz="4" w:space="0"/>
            </w:tcBorders>
            <w:shd w:val="clear" w:color="auto" w:fill="auto"/>
            <w:vAlign w:val="center"/>
          </w:tcPr>
          <w:p w14:paraId="5D752ABF">
            <w:pPr>
              <w:spacing w:line="360" w:lineRule="auto"/>
              <w:contextualSpacing/>
              <w:jc w:val="center"/>
              <w:rPr>
                <w:rFonts w:ascii="宋体" w:hAnsi="宋体" w:eastAsia="宋体" w:cs="宋体"/>
                <w:color w:val="auto"/>
                <w:kern w:val="0"/>
                <w:szCs w:val="21"/>
                <w:highlight w:val="none"/>
              </w:rPr>
            </w:pPr>
          </w:p>
        </w:tc>
        <w:tc>
          <w:tcPr>
            <w:tcW w:w="0" w:type="auto"/>
            <w:vMerge w:val="continue"/>
            <w:tcBorders>
              <w:left w:val="single" w:color="000000" w:sz="4" w:space="0"/>
              <w:right w:val="single" w:color="auto" w:sz="4" w:space="0"/>
            </w:tcBorders>
            <w:shd w:val="clear" w:color="auto" w:fill="auto"/>
            <w:vAlign w:val="center"/>
          </w:tcPr>
          <w:p w14:paraId="13E2D137">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auto" w:sz="4" w:space="0"/>
              <w:bottom w:val="single" w:color="auto" w:sz="4" w:space="0"/>
              <w:right w:val="single" w:color="auto" w:sz="4" w:space="0"/>
            </w:tcBorders>
            <w:shd w:val="clear" w:color="auto" w:fill="auto"/>
            <w:vAlign w:val="center"/>
          </w:tcPr>
          <w:p w14:paraId="3F120494">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车身宽（mm）</w:t>
            </w:r>
          </w:p>
        </w:tc>
        <w:tc>
          <w:tcPr>
            <w:tcW w:w="2646" w:type="dxa"/>
            <w:tcBorders>
              <w:top w:val="single" w:color="auto" w:sz="4" w:space="0"/>
              <w:left w:val="single" w:color="auto" w:sz="4" w:space="0"/>
              <w:bottom w:val="single" w:color="auto" w:sz="4" w:space="0"/>
            </w:tcBorders>
            <w:shd w:val="clear" w:color="auto" w:fill="auto"/>
            <w:vAlign w:val="center"/>
          </w:tcPr>
          <w:p w14:paraId="5F96515A">
            <w:pPr>
              <w:autoSpaceDE w:val="0"/>
              <w:autoSpaceDN w:val="0"/>
              <w:adjustRightInd w:val="0"/>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50</w:t>
            </w:r>
          </w:p>
        </w:tc>
        <w:tc>
          <w:tcPr>
            <w:tcW w:w="881" w:type="dxa"/>
            <w:tcBorders>
              <w:top w:val="single" w:color="auto" w:sz="4" w:space="0"/>
              <w:left w:val="single" w:color="auto" w:sz="4" w:space="0"/>
              <w:bottom w:val="single" w:color="auto" w:sz="4" w:space="0"/>
            </w:tcBorders>
            <w:shd w:val="clear" w:color="auto" w:fill="auto"/>
            <w:vAlign w:val="center"/>
          </w:tcPr>
          <w:p w14:paraId="3332D40E">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auto" w:sz="4" w:space="0"/>
              <w:left w:val="single" w:color="auto" w:sz="4" w:space="0"/>
              <w:bottom w:val="single" w:color="auto" w:sz="4" w:space="0"/>
            </w:tcBorders>
            <w:shd w:val="clear" w:color="auto" w:fill="auto"/>
            <w:vAlign w:val="center"/>
          </w:tcPr>
          <w:p w14:paraId="6A5BE62B">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auto" w:sz="4" w:space="0"/>
              <w:left w:val="single" w:color="auto" w:sz="4" w:space="0"/>
              <w:bottom w:val="single" w:color="auto" w:sz="4" w:space="0"/>
            </w:tcBorders>
            <w:shd w:val="clear" w:color="auto" w:fill="auto"/>
            <w:vAlign w:val="center"/>
          </w:tcPr>
          <w:p w14:paraId="5F9D8784">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r>
      <w:tr w14:paraId="737EF91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vMerge w:val="continue"/>
            <w:tcBorders>
              <w:bottom w:val="single" w:color="000000" w:sz="4" w:space="0"/>
              <w:right w:val="single" w:color="000000" w:sz="4" w:space="0"/>
            </w:tcBorders>
            <w:shd w:val="clear" w:color="auto" w:fill="auto"/>
            <w:vAlign w:val="center"/>
          </w:tcPr>
          <w:p w14:paraId="230EEE99">
            <w:pPr>
              <w:spacing w:line="360" w:lineRule="auto"/>
              <w:contextualSpacing/>
              <w:jc w:val="center"/>
              <w:rPr>
                <w:rFonts w:ascii="宋体" w:hAnsi="宋体" w:eastAsia="宋体" w:cs="宋体"/>
                <w:color w:val="auto"/>
                <w:kern w:val="0"/>
                <w:szCs w:val="21"/>
                <w:highlight w:val="none"/>
              </w:rPr>
            </w:pPr>
          </w:p>
        </w:tc>
        <w:tc>
          <w:tcPr>
            <w:tcW w:w="0" w:type="auto"/>
            <w:vMerge w:val="continue"/>
            <w:tcBorders>
              <w:left w:val="single" w:color="000000" w:sz="4" w:space="0"/>
              <w:right w:val="single" w:color="auto" w:sz="4" w:space="0"/>
            </w:tcBorders>
            <w:shd w:val="clear" w:color="auto" w:fill="auto"/>
            <w:vAlign w:val="center"/>
          </w:tcPr>
          <w:p w14:paraId="10193345">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auto" w:sz="4" w:space="0"/>
              <w:bottom w:val="single" w:color="auto" w:sz="4" w:space="0"/>
              <w:right w:val="single" w:color="auto" w:sz="4" w:space="0"/>
            </w:tcBorders>
            <w:shd w:val="clear" w:color="auto" w:fill="auto"/>
            <w:vAlign w:val="center"/>
          </w:tcPr>
          <w:p w14:paraId="28CC46AC">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车身高（mm）</w:t>
            </w:r>
          </w:p>
        </w:tc>
        <w:tc>
          <w:tcPr>
            <w:tcW w:w="2646" w:type="dxa"/>
            <w:tcBorders>
              <w:top w:val="single" w:color="auto" w:sz="4" w:space="0"/>
              <w:left w:val="single" w:color="auto" w:sz="4" w:space="0"/>
              <w:bottom w:val="single" w:color="000000" w:sz="4" w:space="0"/>
            </w:tcBorders>
            <w:shd w:val="clear" w:color="auto" w:fill="auto"/>
            <w:vAlign w:val="center"/>
          </w:tcPr>
          <w:p w14:paraId="3DE79259">
            <w:pPr>
              <w:autoSpaceDE w:val="0"/>
              <w:autoSpaceDN w:val="0"/>
              <w:adjustRightInd w:val="0"/>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00</w:t>
            </w:r>
          </w:p>
        </w:tc>
        <w:tc>
          <w:tcPr>
            <w:tcW w:w="881" w:type="dxa"/>
            <w:tcBorders>
              <w:top w:val="single" w:color="auto" w:sz="4" w:space="0"/>
              <w:left w:val="single" w:color="auto" w:sz="4" w:space="0"/>
              <w:bottom w:val="single" w:color="000000" w:sz="4" w:space="0"/>
            </w:tcBorders>
            <w:shd w:val="clear" w:color="auto" w:fill="auto"/>
            <w:vAlign w:val="center"/>
          </w:tcPr>
          <w:p w14:paraId="4C5C0577">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auto" w:sz="4" w:space="0"/>
              <w:left w:val="single" w:color="auto" w:sz="4" w:space="0"/>
              <w:bottom w:val="single" w:color="000000" w:sz="4" w:space="0"/>
            </w:tcBorders>
            <w:shd w:val="clear" w:color="auto" w:fill="auto"/>
            <w:vAlign w:val="center"/>
          </w:tcPr>
          <w:p w14:paraId="69002011">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auto" w:sz="4" w:space="0"/>
              <w:left w:val="single" w:color="auto" w:sz="4" w:space="0"/>
              <w:bottom w:val="single" w:color="000000" w:sz="4" w:space="0"/>
            </w:tcBorders>
            <w:shd w:val="clear" w:color="auto" w:fill="auto"/>
            <w:vAlign w:val="center"/>
          </w:tcPr>
          <w:p w14:paraId="66530745">
            <w:pPr>
              <w:autoSpaceDE w:val="0"/>
              <w:autoSpaceDN w:val="0"/>
              <w:adjustRightInd w:val="0"/>
              <w:spacing w:line="360" w:lineRule="auto"/>
              <w:contextualSpacing/>
              <w:jc w:val="center"/>
              <w:rPr>
                <w:rFonts w:hint="eastAsia" w:ascii="宋体" w:hAnsi="宋体" w:eastAsia="宋体" w:cs="宋体"/>
                <w:color w:val="auto"/>
                <w:kern w:val="0"/>
                <w:szCs w:val="21"/>
                <w:highlight w:val="none"/>
              </w:rPr>
            </w:pPr>
          </w:p>
        </w:tc>
      </w:tr>
      <w:tr w14:paraId="74C2086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vMerge w:val="restart"/>
            <w:tcBorders>
              <w:top w:val="single" w:color="000000" w:sz="4" w:space="0"/>
              <w:right w:val="single" w:color="000000" w:sz="4" w:space="0"/>
            </w:tcBorders>
            <w:shd w:val="clear" w:color="auto" w:fill="auto"/>
            <w:vAlign w:val="center"/>
          </w:tcPr>
          <w:p w14:paraId="0348E792">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9</w:t>
            </w:r>
          </w:p>
        </w:tc>
        <w:tc>
          <w:tcPr>
            <w:tcW w:w="0" w:type="auto"/>
            <w:vMerge w:val="continue"/>
            <w:tcBorders>
              <w:left w:val="single" w:color="000000" w:sz="4" w:space="0"/>
              <w:right w:val="single" w:color="000000" w:sz="4" w:space="0"/>
            </w:tcBorders>
            <w:shd w:val="clear" w:color="auto" w:fill="auto"/>
            <w:vAlign w:val="center"/>
          </w:tcPr>
          <w:p w14:paraId="4DEDC86F">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000000" w:sz="4" w:space="0"/>
              <w:bottom w:val="single" w:color="000000" w:sz="4" w:space="0"/>
            </w:tcBorders>
            <w:shd w:val="clear" w:color="auto" w:fill="auto"/>
            <w:vAlign w:val="center"/>
          </w:tcPr>
          <w:p w14:paraId="2D0B7AAB">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货箱长（mm）</w:t>
            </w:r>
          </w:p>
        </w:tc>
        <w:tc>
          <w:tcPr>
            <w:tcW w:w="2646" w:type="dxa"/>
            <w:tcBorders>
              <w:top w:val="single" w:color="000000" w:sz="4" w:space="0"/>
              <w:left w:val="single" w:color="000000" w:sz="4" w:space="0"/>
              <w:bottom w:val="single" w:color="000000" w:sz="4" w:space="0"/>
            </w:tcBorders>
            <w:shd w:val="clear" w:color="auto" w:fill="auto"/>
            <w:vAlign w:val="center"/>
          </w:tcPr>
          <w:p w14:paraId="7A427CF4">
            <w:pPr>
              <w:kinsoku w:val="0"/>
              <w:autoSpaceDE w:val="0"/>
              <w:autoSpaceDN w:val="0"/>
              <w:adjustRightInd w:val="0"/>
              <w:snapToGrid w:val="0"/>
              <w:spacing w:line="400" w:lineRule="exact"/>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lang w:bidi="ar"/>
              </w:rPr>
              <w:t>≥2400</w:t>
            </w:r>
          </w:p>
        </w:tc>
        <w:tc>
          <w:tcPr>
            <w:tcW w:w="881" w:type="dxa"/>
            <w:tcBorders>
              <w:top w:val="single" w:color="000000" w:sz="4" w:space="0"/>
              <w:left w:val="single" w:color="000000" w:sz="4" w:space="0"/>
              <w:bottom w:val="single" w:color="000000" w:sz="4" w:space="0"/>
            </w:tcBorders>
            <w:shd w:val="clear" w:color="auto" w:fill="auto"/>
            <w:vAlign w:val="center"/>
          </w:tcPr>
          <w:p w14:paraId="12CEF01C">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c>
          <w:tcPr>
            <w:tcW w:w="1305" w:type="dxa"/>
            <w:tcBorders>
              <w:top w:val="single" w:color="000000" w:sz="4" w:space="0"/>
              <w:left w:val="single" w:color="000000" w:sz="4" w:space="0"/>
              <w:bottom w:val="single" w:color="000000" w:sz="4" w:space="0"/>
            </w:tcBorders>
            <w:shd w:val="clear" w:color="auto" w:fill="auto"/>
            <w:vAlign w:val="center"/>
          </w:tcPr>
          <w:p w14:paraId="77AF3546">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c>
          <w:tcPr>
            <w:tcW w:w="999" w:type="dxa"/>
            <w:tcBorders>
              <w:top w:val="single" w:color="000000" w:sz="4" w:space="0"/>
              <w:left w:val="single" w:color="000000" w:sz="4" w:space="0"/>
              <w:bottom w:val="single" w:color="000000" w:sz="4" w:space="0"/>
            </w:tcBorders>
            <w:shd w:val="clear" w:color="auto" w:fill="auto"/>
            <w:vAlign w:val="center"/>
          </w:tcPr>
          <w:p w14:paraId="4F1BB2F3">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r>
      <w:tr w14:paraId="1DB7830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vMerge w:val="continue"/>
            <w:tcBorders>
              <w:right w:val="single" w:color="000000" w:sz="4" w:space="0"/>
            </w:tcBorders>
            <w:shd w:val="clear" w:color="auto" w:fill="auto"/>
            <w:vAlign w:val="center"/>
          </w:tcPr>
          <w:p w14:paraId="62055242">
            <w:pPr>
              <w:spacing w:line="360" w:lineRule="auto"/>
              <w:contextualSpacing/>
              <w:jc w:val="center"/>
              <w:rPr>
                <w:rFonts w:ascii="宋体" w:hAnsi="宋体" w:eastAsia="宋体" w:cs="宋体"/>
                <w:color w:val="auto"/>
                <w:kern w:val="0"/>
                <w:szCs w:val="21"/>
                <w:highlight w:val="none"/>
              </w:rPr>
            </w:pPr>
          </w:p>
        </w:tc>
        <w:tc>
          <w:tcPr>
            <w:tcW w:w="0" w:type="auto"/>
            <w:vMerge w:val="continue"/>
            <w:tcBorders>
              <w:left w:val="single" w:color="000000" w:sz="4" w:space="0"/>
              <w:right w:val="single" w:color="000000" w:sz="4" w:space="0"/>
            </w:tcBorders>
            <w:shd w:val="clear" w:color="auto" w:fill="auto"/>
            <w:vAlign w:val="center"/>
          </w:tcPr>
          <w:p w14:paraId="5AAA9CDD">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000000" w:sz="4" w:space="0"/>
              <w:bottom w:val="single" w:color="000000" w:sz="4" w:space="0"/>
            </w:tcBorders>
            <w:shd w:val="clear" w:color="auto" w:fill="auto"/>
            <w:vAlign w:val="center"/>
          </w:tcPr>
          <w:p w14:paraId="5E57343F">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货箱宽（mm）</w:t>
            </w:r>
          </w:p>
        </w:tc>
        <w:tc>
          <w:tcPr>
            <w:tcW w:w="2646" w:type="dxa"/>
            <w:tcBorders>
              <w:top w:val="single" w:color="000000" w:sz="4" w:space="0"/>
              <w:left w:val="single" w:color="000000" w:sz="4" w:space="0"/>
              <w:bottom w:val="single" w:color="000000" w:sz="4" w:space="0"/>
            </w:tcBorders>
            <w:shd w:val="clear" w:color="auto" w:fill="auto"/>
            <w:vAlign w:val="center"/>
          </w:tcPr>
          <w:p w14:paraId="2B99EFB9">
            <w:pPr>
              <w:kinsoku w:val="0"/>
              <w:autoSpaceDE w:val="0"/>
              <w:autoSpaceDN w:val="0"/>
              <w:adjustRightInd w:val="0"/>
              <w:snapToGrid w:val="0"/>
              <w:spacing w:line="400" w:lineRule="exact"/>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lang w:bidi="ar"/>
              </w:rPr>
              <w:t>≥1900</w:t>
            </w:r>
          </w:p>
        </w:tc>
        <w:tc>
          <w:tcPr>
            <w:tcW w:w="881" w:type="dxa"/>
            <w:tcBorders>
              <w:top w:val="single" w:color="000000" w:sz="4" w:space="0"/>
              <w:left w:val="single" w:color="000000" w:sz="4" w:space="0"/>
              <w:bottom w:val="single" w:color="000000" w:sz="4" w:space="0"/>
            </w:tcBorders>
            <w:shd w:val="clear" w:color="auto" w:fill="auto"/>
            <w:vAlign w:val="center"/>
          </w:tcPr>
          <w:p w14:paraId="4EAD3D0C">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c>
          <w:tcPr>
            <w:tcW w:w="1305" w:type="dxa"/>
            <w:tcBorders>
              <w:top w:val="single" w:color="000000" w:sz="4" w:space="0"/>
              <w:left w:val="single" w:color="000000" w:sz="4" w:space="0"/>
              <w:bottom w:val="single" w:color="000000" w:sz="4" w:space="0"/>
            </w:tcBorders>
            <w:shd w:val="clear" w:color="auto" w:fill="auto"/>
            <w:vAlign w:val="center"/>
          </w:tcPr>
          <w:p w14:paraId="311DE3C6">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c>
          <w:tcPr>
            <w:tcW w:w="999" w:type="dxa"/>
            <w:tcBorders>
              <w:top w:val="single" w:color="000000" w:sz="4" w:space="0"/>
              <w:left w:val="single" w:color="000000" w:sz="4" w:space="0"/>
              <w:bottom w:val="single" w:color="000000" w:sz="4" w:space="0"/>
            </w:tcBorders>
            <w:shd w:val="clear" w:color="auto" w:fill="auto"/>
            <w:vAlign w:val="center"/>
          </w:tcPr>
          <w:p w14:paraId="2B2B66E8">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r>
      <w:tr w14:paraId="1465F95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vMerge w:val="continue"/>
            <w:tcBorders>
              <w:bottom w:val="single" w:color="000000" w:sz="4" w:space="0"/>
              <w:right w:val="single" w:color="000000" w:sz="4" w:space="0"/>
            </w:tcBorders>
            <w:shd w:val="clear" w:color="auto" w:fill="auto"/>
            <w:vAlign w:val="center"/>
          </w:tcPr>
          <w:p w14:paraId="2E670D30">
            <w:pPr>
              <w:spacing w:line="360" w:lineRule="auto"/>
              <w:contextualSpacing/>
              <w:jc w:val="center"/>
              <w:rPr>
                <w:rFonts w:ascii="宋体" w:hAnsi="宋体" w:eastAsia="宋体" w:cs="宋体"/>
                <w:color w:val="auto"/>
                <w:kern w:val="0"/>
                <w:szCs w:val="21"/>
                <w:highlight w:val="none"/>
              </w:rPr>
            </w:pPr>
          </w:p>
        </w:tc>
        <w:tc>
          <w:tcPr>
            <w:tcW w:w="0" w:type="auto"/>
            <w:vMerge w:val="continue"/>
            <w:tcBorders>
              <w:left w:val="single" w:color="000000" w:sz="4" w:space="0"/>
              <w:right w:val="single" w:color="000000" w:sz="4" w:space="0"/>
            </w:tcBorders>
            <w:shd w:val="clear" w:color="auto" w:fill="auto"/>
            <w:vAlign w:val="center"/>
          </w:tcPr>
          <w:p w14:paraId="3A255336">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000000" w:sz="4" w:space="0"/>
              <w:bottom w:val="single" w:color="000000" w:sz="4" w:space="0"/>
            </w:tcBorders>
            <w:shd w:val="clear" w:color="auto" w:fill="auto"/>
            <w:vAlign w:val="center"/>
          </w:tcPr>
          <w:p w14:paraId="5824C3BB">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栏板高度（mm）</w:t>
            </w:r>
          </w:p>
        </w:tc>
        <w:tc>
          <w:tcPr>
            <w:tcW w:w="2646" w:type="dxa"/>
            <w:tcBorders>
              <w:top w:val="single" w:color="000000" w:sz="4" w:space="0"/>
              <w:left w:val="single" w:color="000000" w:sz="4" w:space="0"/>
              <w:bottom w:val="single" w:color="000000" w:sz="4" w:space="0"/>
            </w:tcBorders>
            <w:shd w:val="clear" w:color="auto" w:fill="auto"/>
            <w:vAlign w:val="center"/>
          </w:tcPr>
          <w:p w14:paraId="2B7996FA">
            <w:pPr>
              <w:kinsoku w:val="0"/>
              <w:autoSpaceDE w:val="0"/>
              <w:autoSpaceDN w:val="0"/>
              <w:adjustRightInd w:val="0"/>
              <w:snapToGrid w:val="0"/>
              <w:spacing w:line="400" w:lineRule="exact"/>
              <w:jc w:val="center"/>
              <w:textAlignment w:val="baseline"/>
              <w:rPr>
                <w:rFonts w:ascii="宋体" w:hAnsi="宋体" w:eastAsia="宋体" w:cs="宋体"/>
                <w:color w:val="auto"/>
                <w:szCs w:val="21"/>
                <w:highlight w:val="none"/>
              </w:rPr>
            </w:pPr>
            <w:r>
              <w:rPr>
                <w:rFonts w:hint="eastAsia" w:ascii="宋体" w:hAnsi="宋体" w:eastAsia="宋体" w:cs="宋体"/>
                <w:color w:val="auto"/>
                <w:szCs w:val="21"/>
                <w:highlight w:val="none"/>
                <w:lang w:bidi="ar"/>
              </w:rPr>
              <w:t>≥</w:t>
            </w:r>
            <w:r>
              <w:rPr>
                <w:rFonts w:ascii="宋体" w:hAnsi="宋体" w:eastAsia="宋体" w:cs="宋体"/>
                <w:color w:val="auto"/>
                <w:szCs w:val="21"/>
                <w:highlight w:val="none"/>
                <w:lang w:bidi="ar"/>
              </w:rPr>
              <w:t>35</w:t>
            </w:r>
            <w:r>
              <w:rPr>
                <w:rFonts w:hint="eastAsia" w:ascii="宋体" w:hAnsi="宋体" w:eastAsia="宋体" w:cs="宋体"/>
                <w:color w:val="auto"/>
                <w:szCs w:val="21"/>
                <w:highlight w:val="none"/>
                <w:lang w:bidi="ar"/>
              </w:rPr>
              <w:t>0</w:t>
            </w:r>
          </w:p>
        </w:tc>
        <w:tc>
          <w:tcPr>
            <w:tcW w:w="881" w:type="dxa"/>
            <w:tcBorders>
              <w:top w:val="single" w:color="000000" w:sz="4" w:space="0"/>
              <w:left w:val="single" w:color="000000" w:sz="4" w:space="0"/>
              <w:bottom w:val="single" w:color="000000" w:sz="4" w:space="0"/>
            </w:tcBorders>
            <w:shd w:val="clear" w:color="auto" w:fill="auto"/>
            <w:vAlign w:val="center"/>
          </w:tcPr>
          <w:p w14:paraId="5644F67F">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c>
          <w:tcPr>
            <w:tcW w:w="1305" w:type="dxa"/>
            <w:tcBorders>
              <w:top w:val="single" w:color="000000" w:sz="4" w:space="0"/>
              <w:left w:val="single" w:color="000000" w:sz="4" w:space="0"/>
              <w:bottom w:val="single" w:color="000000" w:sz="4" w:space="0"/>
            </w:tcBorders>
            <w:shd w:val="clear" w:color="auto" w:fill="auto"/>
            <w:vAlign w:val="center"/>
          </w:tcPr>
          <w:p w14:paraId="739E8A6E">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c>
          <w:tcPr>
            <w:tcW w:w="999" w:type="dxa"/>
            <w:tcBorders>
              <w:top w:val="single" w:color="000000" w:sz="4" w:space="0"/>
              <w:left w:val="single" w:color="000000" w:sz="4" w:space="0"/>
              <w:bottom w:val="single" w:color="000000" w:sz="4" w:space="0"/>
            </w:tcBorders>
            <w:shd w:val="clear" w:color="auto" w:fill="auto"/>
            <w:vAlign w:val="center"/>
          </w:tcPr>
          <w:p w14:paraId="5EEAD330">
            <w:pPr>
              <w:kinsoku w:val="0"/>
              <w:autoSpaceDE w:val="0"/>
              <w:autoSpaceDN w:val="0"/>
              <w:adjustRightInd w:val="0"/>
              <w:snapToGrid w:val="0"/>
              <w:spacing w:line="400" w:lineRule="exact"/>
              <w:jc w:val="center"/>
              <w:textAlignment w:val="baseline"/>
              <w:rPr>
                <w:rFonts w:hint="eastAsia" w:ascii="宋体" w:hAnsi="宋体" w:eastAsia="宋体" w:cs="宋体"/>
                <w:color w:val="auto"/>
                <w:szCs w:val="21"/>
                <w:highlight w:val="none"/>
                <w:lang w:bidi="ar"/>
              </w:rPr>
            </w:pPr>
          </w:p>
        </w:tc>
      </w:tr>
      <w:tr w14:paraId="4EC961F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6F3A873C">
            <w:pPr>
              <w:spacing w:line="360" w:lineRule="auto"/>
              <w:contextualSpacing/>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0</w:t>
            </w:r>
          </w:p>
        </w:tc>
        <w:tc>
          <w:tcPr>
            <w:tcW w:w="0" w:type="auto"/>
            <w:vMerge w:val="continue"/>
            <w:tcBorders>
              <w:left w:val="single" w:color="000000" w:sz="4" w:space="0"/>
              <w:right w:val="single" w:color="000000" w:sz="4" w:space="0"/>
            </w:tcBorders>
            <w:shd w:val="clear" w:color="auto" w:fill="auto"/>
            <w:vAlign w:val="center"/>
          </w:tcPr>
          <w:p w14:paraId="6705FC15">
            <w:pPr>
              <w:spacing w:line="360" w:lineRule="auto"/>
              <w:contextualSpacing/>
              <w:jc w:val="center"/>
              <w:rPr>
                <w:rFonts w:ascii="宋体" w:hAnsi="宋体" w:eastAsia="宋体" w:cs="宋体"/>
                <w:color w:val="auto"/>
                <w:kern w:val="0"/>
                <w:szCs w:val="21"/>
                <w:highlight w:val="none"/>
              </w:rPr>
            </w:pPr>
          </w:p>
        </w:tc>
        <w:tc>
          <w:tcPr>
            <w:tcW w:w="2596" w:type="dxa"/>
            <w:tcBorders>
              <w:top w:val="single" w:color="auto" w:sz="4" w:space="0"/>
              <w:left w:val="single" w:color="000000" w:sz="4" w:space="0"/>
              <w:bottom w:val="single" w:color="000000" w:sz="4" w:space="0"/>
            </w:tcBorders>
            <w:shd w:val="clear" w:color="auto" w:fill="auto"/>
            <w:vAlign w:val="center"/>
          </w:tcPr>
          <w:p w14:paraId="55E36DFE">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刹车防抱死功能</w:t>
            </w:r>
          </w:p>
        </w:tc>
        <w:tc>
          <w:tcPr>
            <w:tcW w:w="2646" w:type="dxa"/>
            <w:tcBorders>
              <w:top w:val="single" w:color="000000" w:sz="4" w:space="0"/>
              <w:left w:val="single" w:color="000000" w:sz="4" w:space="0"/>
              <w:bottom w:val="single" w:color="000000" w:sz="4" w:space="0"/>
            </w:tcBorders>
            <w:shd w:val="clear" w:color="auto" w:fill="auto"/>
            <w:vAlign w:val="center"/>
          </w:tcPr>
          <w:p w14:paraId="22FDD649">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具备</w:t>
            </w:r>
          </w:p>
        </w:tc>
        <w:tc>
          <w:tcPr>
            <w:tcW w:w="881" w:type="dxa"/>
            <w:tcBorders>
              <w:top w:val="single" w:color="000000" w:sz="4" w:space="0"/>
              <w:left w:val="single" w:color="000000" w:sz="4" w:space="0"/>
              <w:bottom w:val="single" w:color="000000" w:sz="4" w:space="0"/>
            </w:tcBorders>
            <w:shd w:val="clear" w:color="auto" w:fill="auto"/>
            <w:vAlign w:val="center"/>
          </w:tcPr>
          <w:p w14:paraId="3145447A">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140BF51F">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7B0EC3AF">
            <w:pPr>
              <w:spacing w:line="360" w:lineRule="auto"/>
              <w:contextualSpacing/>
              <w:jc w:val="center"/>
              <w:rPr>
                <w:rFonts w:hint="eastAsia" w:ascii="宋体" w:hAnsi="宋体" w:eastAsia="宋体" w:cs="宋体"/>
                <w:color w:val="auto"/>
                <w:kern w:val="0"/>
                <w:szCs w:val="21"/>
                <w:highlight w:val="none"/>
              </w:rPr>
            </w:pPr>
          </w:p>
        </w:tc>
      </w:tr>
      <w:tr w14:paraId="12DE7A2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725A944B">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w:t>
            </w:r>
          </w:p>
        </w:tc>
        <w:tc>
          <w:tcPr>
            <w:tcW w:w="0" w:type="auto"/>
            <w:vMerge w:val="continue"/>
            <w:tcBorders>
              <w:left w:val="single" w:color="000000" w:sz="4" w:space="0"/>
              <w:right w:val="single" w:color="000000" w:sz="4" w:space="0"/>
            </w:tcBorders>
            <w:shd w:val="clear" w:color="auto" w:fill="auto"/>
            <w:vAlign w:val="center"/>
          </w:tcPr>
          <w:p w14:paraId="391127D9">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755FEB1E">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额定载客人数（含驾驶员）</w:t>
            </w:r>
          </w:p>
        </w:tc>
        <w:tc>
          <w:tcPr>
            <w:tcW w:w="2646" w:type="dxa"/>
            <w:tcBorders>
              <w:top w:val="single" w:color="000000" w:sz="4" w:space="0"/>
              <w:left w:val="single" w:color="000000" w:sz="4" w:space="0"/>
              <w:bottom w:val="single" w:color="000000" w:sz="4" w:space="0"/>
            </w:tcBorders>
            <w:shd w:val="clear" w:color="auto" w:fill="auto"/>
            <w:vAlign w:val="center"/>
          </w:tcPr>
          <w:p w14:paraId="504F47BE">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≥2+3（人）</w:t>
            </w:r>
          </w:p>
        </w:tc>
        <w:tc>
          <w:tcPr>
            <w:tcW w:w="881" w:type="dxa"/>
            <w:tcBorders>
              <w:top w:val="single" w:color="000000" w:sz="4" w:space="0"/>
              <w:left w:val="single" w:color="000000" w:sz="4" w:space="0"/>
              <w:bottom w:val="single" w:color="000000" w:sz="4" w:space="0"/>
            </w:tcBorders>
            <w:shd w:val="clear" w:color="auto" w:fill="auto"/>
            <w:vAlign w:val="center"/>
          </w:tcPr>
          <w:p w14:paraId="3CCB6DBF">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68D55D15">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16253533">
            <w:pPr>
              <w:spacing w:line="360" w:lineRule="auto"/>
              <w:contextualSpacing/>
              <w:jc w:val="center"/>
              <w:rPr>
                <w:rFonts w:hint="eastAsia" w:ascii="宋体" w:hAnsi="宋体" w:eastAsia="宋体" w:cs="宋体"/>
                <w:color w:val="auto"/>
                <w:kern w:val="0"/>
                <w:szCs w:val="21"/>
                <w:highlight w:val="none"/>
              </w:rPr>
            </w:pPr>
          </w:p>
        </w:tc>
      </w:tr>
      <w:tr w14:paraId="3D2D79D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3FEF6E57">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2</w:t>
            </w:r>
          </w:p>
        </w:tc>
        <w:tc>
          <w:tcPr>
            <w:tcW w:w="0" w:type="auto"/>
            <w:vMerge w:val="continue"/>
            <w:tcBorders>
              <w:left w:val="single" w:color="000000" w:sz="4" w:space="0"/>
              <w:right w:val="single" w:color="000000" w:sz="4" w:space="0"/>
            </w:tcBorders>
            <w:shd w:val="clear" w:color="auto" w:fill="auto"/>
            <w:vAlign w:val="center"/>
          </w:tcPr>
          <w:p w14:paraId="4E2D68DE">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41E96949">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驱动方式</w:t>
            </w:r>
          </w:p>
        </w:tc>
        <w:tc>
          <w:tcPr>
            <w:tcW w:w="2646" w:type="dxa"/>
            <w:tcBorders>
              <w:top w:val="single" w:color="000000" w:sz="4" w:space="0"/>
              <w:left w:val="single" w:color="000000" w:sz="4" w:space="0"/>
              <w:bottom w:val="single" w:color="000000" w:sz="4" w:space="0"/>
            </w:tcBorders>
            <w:shd w:val="clear" w:color="auto" w:fill="auto"/>
            <w:vAlign w:val="center"/>
          </w:tcPr>
          <w:p w14:paraId="2E9D82F0">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后驱（4*2）</w:t>
            </w:r>
          </w:p>
        </w:tc>
        <w:tc>
          <w:tcPr>
            <w:tcW w:w="881" w:type="dxa"/>
            <w:tcBorders>
              <w:top w:val="single" w:color="000000" w:sz="4" w:space="0"/>
              <w:left w:val="single" w:color="000000" w:sz="4" w:space="0"/>
              <w:bottom w:val="single" w:color="000000" w:sz="4" w:space="0"/>
            </w:tcBorders>
            <w:shd w:val="clear" w:color="auto" w:fill="auto"/>
            <w:vAlign w:val="center"/>
          </w:tcPr>
          <w:p w14:paraId="109D9773">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69726469">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119F07C6">
            <w:pPr>
              <w:spacing w:line="360" w:lineRule="auto"/>
              <w:contextualSpacing/>
              <w:jc w:val="center"/>
              <w:rPr>
                <w:rFonts w:hint="eastAsia" w:ascii="宋体" w:hAnsi="宋体" w:eastAsia="宋体" w:cs="宋体"/>
                <w:color w:val="auto"/>
                <w:kern w:val="0"/>
                <w:szCs w:val="21"/>
                <w:highlight w:val="none"/>
              </w:rPr>
            </w:pPr>
          </w:p>
        </w:tc>
      </w:tr>
      <w:tr w14:paraId="7BCAB50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49540BF2">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3</w:t>
            </w:r>
          </w:p>
        </w:tc>
        <w:tc>
          <w:tcPr>
            <w:tcW w:w="0" w:type="auto"/>
            <w:vMerge w:val="continue"/>
            <w:tcBorders>
              <w:left w:val="single" w:color="000000" w:sz="4" w:space="0"/>
              <w:right w:val="single" w:color="000000" w:sz="4" w:space="0"/>
            </w:tcBorders>
            <w:shd w:val="clear" w:color="auto" w:fill="auto"/>
            <w:vAlign w:val="center"/>
          </w:tcPr>
          <w:p w14:paraId="1791559E">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3DF844E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倒车影像和雷达</w:t>
            </w:r>
          </w:p>
        </w:tc>
        <w:tc>
          <w:tcPr>
            <w:tcW w:w="2646" w:type="dxa"/>
            <w:tcBorders>
              <w:top w:val="single" w:color="000000" w:sz="4" w:space="0"/>
              <w:left w:val="single" w:color="000000" w:sz="4" w:space="0"/>
              <w:bottom w:val="single" w:color="000000" w:sz="4" w:space="0"/>
            </w:tcBorders>
            <w:shd w:val="clear" w:color="auto" w:fill="auto"/>
            <w:vAlign w:val="center"/>
          </w:tcPr>
          <w:p w14:paraId="7D8D2022">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配置，缓冲垫收起和放下两种状态均可使用</w:t>
            </w:r>
          </w:p>
        </w:tc>
        <w:tc>
          <w:tcPr>
            <w:tcW w:w="881" w:type="dxa"/>
            <w:tcBorders>
              <w:top w:val="single" w:color="000000" w:sz="4" w:space="0"/>
              <w:left w:val="single" w:color="000000" w:sz="4" w:space="0"/>
              <w:bottom w:val="single" w:color="000000" w:sz="4" w:space="0"/>
            </w:tcBorders>
            <w:shd w:val="clear" w:color="auto" w:fill="auto"/>
            <w:vAlign w:val="center"/>
          </w:tcPr>
          <w:p w14:paraId="2AA83E43">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0D4D6E95">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6E723616">
            <w:pPr>
              <w:spacing w:line="360" w:lineRule="auto"/>
              <w:contextualSpacing/>
              <w:jc w:val="center"/>
              <w:rPr>
                <w:rFonts w:hint="eastAsia" w:ascii="宋体" w:hAnsi="宋体" w:eastAsia="宋体" w:cs="宋体"/>
                <w:color w:val="auto"/>
                <w:kern w:val="0"/>
                <w:szCs w:val="21"/>
                <w:highlight w:val="none"/>
              </w:rPr>
            </w:pPr>
          </w:p>
        </w:tc>
      </w:tr>
      <w:tr w14:paraId="405A737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7BB62A46">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4</w:t>
            </w:r>
          </w:p>
        </w:tc>
        <w:tc>
          <w:tcPr>
            <w:tcW w:w="0" w:type="auto"/>
            <w:vMerge w:val="continue"/>
            <w:tcBorders>
              <w:left w:val="single" w:color="000000" w:sz="4" w:space="0"/>
              <w:right w:val="single" w:color="000000" w:sz="4" w:space="0"/>
            </w:tcBorders>
            <w:shd w:val="clear" w:color="auto" w:fill="auto"/>
            <w:vAlign w:val="center"/>
          </w:tcPr>
          <w:p w14:paraId="432FC9E6">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6CB2CB42">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车内中控锁</w:t>
            </w:r>
          </w:p>
        </w:tc>
        <w:tc>
          <w:tcPr>
            <w:tcW w:w="2646" w:type="dxa"/>
            <w:tcBorders>
              <w:top w:val="single" w:color="000000" w:sz="4" w:space="0"/>
              <w:left w:val="single" w:color="000000" w:sz="4" w:space="0"/>
              <w:bottom w:val="single" w:color="000000" w:sz="4" w:space="0"/>
            </w:tcBorders>
            <w:shd w:val="clear" w:color="auto" w:fill="auto"/>
            <w:vAlign w:val="center"/>
          </w:tcPr>
          <w:p w14:paraId="62AD295D">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w:t>
            </w:r>
          </w:p>
        </w:tc>
        <w:tc>
          <w:tcPr>
            <w:tcW w:w="881" w:type="dxa"/>
            <w:tcBorders>
              <w:top w:val="single" w:color="000000" w:sz="4" w:space="0"/>
              <w:left w:val="single" w:color="000000" w:sz="4" w:space="0"/>
              <w:bottom w:val="single" w:color="000000" w:sz="4" w:space="0"/>
            </w:tcBorders>
            <w:shd w:val="clear" w:color="auto" w:fill="auto"/>
            <w:vAlign w:val="center"/>
          </w:tcPr>
          <w:p w14:paraId="4E110CC2">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3B4F929E">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37487612">
            <w:pPr>
              <w:spacing w:line="360" w:lineRule="auto"/>
              <w:contextualSpacing/>
              <w:jc w:val="center"/>
              <w:rPr>
                <w:rFonts w:hint="eastAsia" w:ascii="宋体" w:hAnsi="宋体" w:eastAsia="宋体" w:cs="宋体"/>
                <w:color w:val="auto"/>
                <w:kern w:val="0"/>
                <w:szCs w:val="21"/>
                <w:highlight w:val="none"/>
              </w:rPr>
            </w:pPr>
          </w:p>
        </w:tc>
      </w:tr>
      <w:tr w14:paraId="3453EC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08B8236D">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5</w:t>
            </w:r>
          </w:p>
        </w:tc>
        <w:tc>
          <w:tcPr>
            <w:tcW w:w="0" w:type="auto"/>
            <w:vMerge w:val="restart"/>
            <w:tcBorders>
              <w:top w:val="single" w:color="000000" w:sz="4" w:space="0"/>
              <w:left w:val="single" w:color="000000" w:sz="4" w:space="0"/>
              <w:right w:val="single" w:color="000000" w:sz="4" w:space="0"/>
            </w:tcBorders>
            <w:shd w:val="clear" w:color="auto" w:fill="auto"/>
            <w:vAlign w:val="center"/>
          </w:tcPr>
          <w:p w14:paraId="73B6951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防撞单元</w:t>
            </w:r>
          </w:p>
        </w:tc>
        <w:tc>
          <w:tcPr>
            <w:tcW w:w="2596" w:type="dxa"/>
            <w:tcBorders>
              <w:top w:val="single" w:color="000000" w:sz="4" w:space="0"/>
              <w:left w:val="single" w:color="000000" w:sz="4" w:space="0"/>
              <w:bottom w:val="single" w:color="000000" w:sz="4" w:space="0"/>
            </w:tcBorders>
            <w:shd w:val="clear" w:color="auto" w:fill="auto"/>
            <w:vAlign w:val="center"/>
          </w:tcPr>
          <w:p w14:paraId="037F9E00">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防撞包寿命</w:t>
            </w:r>
          </w:p>
        </w:tc>
        <w:tc>
          <w:tcPr>
            <w:tcW w:w="2646" w:type="dxa"/>
            <w:tcBorders>
              <w:top w:val="single" w:color="000000" w:sz="4" w:space="0"/>
              <w:left w:val="single" w:color="000000" w:sz="4" w:space="0"/>
              <w:bottom w:val="single" w:color="000000" w:sz="4" w:space="0"/>
            </w:tcBorders>
            <w:shd w:val="clear" w:color="auto" w:fill="auto"/>
            <w:vAlign w:val="center"/>
          </w:tcPr>
          <w:p w14:paraId="1AE26491">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≥5年</w:t>
            </w:r>
          </w:p>
        </w:tc>
        <w:tc>
          <w:tcPr>
            <w:tcW w:w="881" w:type="dxa"/>
            <w:tcBorders>
              <w:top w:val="single" w:color="000000" w:sz="4" w:space="0"/>
              <w:left w:val="single" w:color="000000" w:sz="4" w:space="0"/>
              <w:bottom w:val="single" w:color="000000" w:sz="4" w:space="0"/>
            </w:tcBorders>
            <w:shd w:val="clear" w:color="auto" w:fill="auto"/>
            <w:vAlign w:val="center"/>
          </w:tcPr>
          <w:p w14:paraId="758128F4">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7ACB2467">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74E2C844">
            <w:pPr>
              <w:spacing w:line="360" w:lineRule="auto"/>
              <w:contextualSpacing/>
              <w:jc w:val="center"/>
              <w:rPr>
                <w:rFonts w:hint="eastAsia" w:ascii="宋体" w:hAnsi="宋体" w:eastAsia="宋体" w:cs="宋体"/>
                <w:color w:val="auto"/>
                <w:kern w:val="0"/>
                <w:szCs w:val="21"/>
                <w:highlight w:val="none"/>
              </w:rPr>
            </w:pPr>
          </w:p>
        </w:tc>
      </w:tr>
      <w:tr w14:paraId="194D8D6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70B50263">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6</w:t>
            </w:r>
          </w:p>
        </w:tc>
        <w:tc>
          <w:tcPr>
            <w:tcW w:w="0" w:type="auto"/>
            <w:vMerge w:val="continue"/>
            <w:tcBorders>
              <w:left w:val="single" w:color="000000" w:sz="4" w:space="0"/>
              <w:right w:val="single" w:color="000000" w:sz="4" w:space="0"/>
            </w:tcBorders>
            <w:shd w:val="clear" w:color="auto" w:fill="auto"/>
            <w:vAlign w:val="center"/>
          </w:tcPr>
          <w:p w14:paraId="5BF0FFBA">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4447EBF8">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★防撞缓冲等级</w:t>
            </w:r>
          </w:p>
        </w:tc>
        <w:tc>
          <w:tcPr>
            <w:tcW w:w="2646" w:type="dxa"/>
            <w:tcBorders>
              <w:top w:val="single" w:color="000000" w:sz="4" w:space="0"/>
              <w:left w:val="single" w:color="000000" w:sz="4" w:space="0"/>
              <w:bottom w:val="single" w:color="000000" w:sz="4" w:space="0"/>
            </w:tcBorders>
            <w:shd w:val="clear" w:color="auto" w:fill="auto"/>
            <w:vAlign w:val="center"/>
          </w:tcPr>
          <w:p w14:paraId="052D7EB1">
            <w:pPr>
              <w:autoSpaceDE w:val="0"/>
              <w:autoSpaceDN w:val="0"/>
              <w:adjustRightInd w:val="0"/>
              <w:spacing w:line="360" w:lineRule="auto"/>
              <w:contextualSpacing/>
              <w:jc w:val="center"/>
              <w:rPr>
                <w:rFonts w:ascii="宋体" w:hAnsi="宋体" w:eastAsia="宋体" w:cs="宋体"/>
                <w:color w:val="auto"/>
                <w:kern w:val="0"/>
                <w:szCs w:val="21"/>
                <w:highlight w:val="none"/>
              </w:rPr>
            </w:pPr>
            <w:r>
              <w:rPr>
                <w:rFonts w:ascii="宋体" w:hAnsi="宋体" w:eastAsia="宋体" w:cs="宋体"/>
                <w:color w:val="auto"/>
                <w:kern w:val="0"/>
                <w:szCs w:val="21"/>
                <w:highlight w:val="none"/>
              </w:rPr>
              <w:t>1100-</w:t>
            </w:r>
            <w:r>
              <w:rPr>
                <w:rFonts w:hint="eastAsia" w:ascii="宋体" w:hAnsi="宋体" w:eastAsia="宋体" w:cs="宋体"/>
                <w:color w:val="auto"/>
                <w:kern w:val="0"/>
                <w:szCs w:val="21"/>
                <w:highlight w:val="none"/>
              </w:rPr>
              <w:t>2270kg——≥80 km/h</w:t>
            </w:r>
          </w:p>
          <w:p w14:paraId="659A63E8">
            <w:pPr>
              <w:autoSpaceDE w:val="0"/>
              <w:autoSpaceDN w:val="0"/>
              <w:adjustRightInd w:val="0"/>
              <w:spacing w:line="360" w:lineRule="auto"/>
              <w:ind w:right="-26"/>
              <w:contextualSpacing/>
              <w:jc w:val="center"/>
              <w:rPr>
                <w:rFonts w:ascii="宋体" w:hAnsi="宋体" w:eastAsia="宋体" w:cs="宋体"/>
                <w:b/>
                <w:bCs/>
                <w:color w:val="auto"/>
                <w:kern w:val="0"/>
                <w:szCs w:val="21"/>
                <w:highlight w:val="none"/>
                <w:lang w:val="zh-CN"/>
              </w:rPr>
            </w:pPr>
            <w:r>
              <w:rPr>
                <w:rFonts w:hint="eastAsia" w:ascii="宋体" w:hAnsi="宋体" w:eastAsia="宋体" w:cs="宋体"/>
                <w:color w:val="auto"/>
                <w:kern w:val="0"/>
                <w:szCs w:val="21"/>
                <w:highlight w:val="none"/>
              </w:rPr>
              <w:t>（碰撞体质量——碰撞体时速）</w:t>
            </w:r>
          </w:p>
        </w:tc>
        <w:tc>
          <w:tcPr>
            <w:tcW w:w="881" w:type="dxa"/>
            <w:tcBorders>
              <w:top w:val="single" w:color="000000" w:sz="4" w:space="0"/>
              <w:left w:val="single" w:color="000000" w:sz="4" w:space="0"/>
              <w:bottom w:val="single" w:color="000000" w:sz="4" w:space="0"/>
            </w:tcBorders>
            <w:shd w:val="clear" w:color="auto" w:fill="auto"/>
            <w:vAlign w:val="center"/>
          </w:tcPr>
          <w:p w14:paraId="024A37B0">
            <w:pPr>
              <w:autoSpaceDE w:val="0"/>
              <w:autoSpaceDN w:val="0"/>
              <w:adjustRightInd w:val="0"/>
              <w:spacing w:line="360" w:lineRule="auto"/>
              <w:ind w:right="-26"/>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6A2BC28F">
            <w:pPr>
              <w:autoSpaceDE w:val="0"/>
              <w:autoSpaceDN w:val="0"/>
              <w:adjustRightInd w:val="0"/>
              <w:spacing w:line="360" w:lineRule="auto"/>
              <w:ind w:right="-26"/>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53C0A1EE">
            <w:pPr>
              <w:autoSpaceDE w:val="0"/>
              <w:autoSpaceDN w:val="0"/>
              <w:adjustRightInd w:val="0"/>
              <w:spacing w:line="360" w:lineRule="auto"/>
              <w:ind w:right="-26"/>
              <w:contextualSpacing/>
              <w:jc w:val="center"/>
              <w:rPr>
                <w:rFonts w:hint="eastAsia" w:ascii="宋体" w:hAnsi="宋体" w:eastAsia="宋体" w:cs="宋体"/>
                <w:color w:val="auto"/>
                <w:kern w:val="0"/>
                <w:szCs w:val="21"/>
                <w:highlight w:val="none"/>
              </w:rPr>
            </w:pPr>
          </w:p>
        </w:tc>
      </w:tr>
      <w:tr w14:paraId="54348AF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1D2847D8">
            <w:pPr>
              <w:spacing w:line="360" w:lineRule="auto"/>
              <w:contextualSpacing/>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17</w:t>
            </w:r>
          </w:p>
        </w:tc>
        <w:tc>
          <w:tcPr>
            <w:tcW w:w="0" w:type="auto"/>
            <w:vMerge w:val="continue"/>
            <w:tcBorders>
              <w:left w:val="single" w:color="000000" w:sz="4" w:space="0"/>
              <w:right w:val="single" w:color="000000" w:sz="4" w:space="0"/>
            </w:tcBorders>
            <w:shd w:val="clear" w:color="auto" w:fill="auto"/>
            <w:vAlign w:val="center"/>
          </w:tcPr>
          <w:p w14:paraId="4ADDF88D">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11FAAE7F">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缓冲垫控制系统</w:t>
            </w:r>
          </w:p>
        </w:tc>
        <w:tc>
          <w:tcPr>
            <w:tcW w:w="2646" w:type="dxa"/>
            <w:tcBorders>
              <w:top w:val="single" w:color="000000" w:sz="4" w:space="0"/>
              <w:left w:val="single" w:color="000000" w:sz="4" w:space="0"/>
              <w:bottom w:val="single" w:color="000000" w:sz="4" w:space="0"/>
            </w:tcBorders>
            <w:shd w:val="clear" w:color="auto" w:fill="auto"/>
            <w:vAlign w:val="center"/>
          </w:tcPr>
          <w:p w14:paraId="0685308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驾驶室控制和无线遥控</w:t>
            </w:r>
          </w:p>
        </w:tc>
        <w:tc>
          <w:tcPr>
            <w:tcW w:w="881" w:type="dxa"/>
            <w:tcBorders>
              <w:top w:val="single" w:color="000000" w:sz="4" w:space="0"/>
              <w:left w:val="single" w:color="000000" w:sz="4" w:space="0"/>
              <w:bottom w:val="single" w:color="000000" w:sz="4" w:space="0"/>
            </w:tcBorders>
            <w:shd w:val="clear" w:color="auto" w:fill="auto"/>
            <w:vAlign w:val="center"/>
          </w:tcPr>
          <w:p w14:paraId="2C132112">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0F0A7FCC">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23468C66">
            <w:pPr>
              <w:spacing w:line="360" w:lineRule="auto"/>
              <w:contextualSpacing/>
              <w:jc w:val="center"/>
              <w:rPr>
                <w:rFonts w:hint="eastAsia" w:ascii="宋体" w:hAnsi="宋体" w:eastAsia="宋体" w:cs="宋体"/>
                <w:color w:val="auto"/>
                <w:kern w:val="0"/>
                <w:szCs w:val="21"/>
                <w:highlight w:val="none"/>
              </w:rPr>
            </w:pPr>
          </w:p>
        </w:tc>
      </w:tr>
      <w:tr w14:paraId="58C73B2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3F3E106F">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18</w:t>
            </w:r>
          </w:p>
        </w:tc>
        <w:tc>
          <w:tcPr>
            <w:tcW w:w="0" w:type="auto"/>
            <w:vMerge w:val="continue"/>
            <w:tcBorders>
              <w:left w:val="single" w:color="000000" w:sz="4" w:space="0"/>
              <w:right w:val="single" w:color="000000" w:sz="4" w:space="0"/>
            </w:tcBorders>
            <w:shd w:val="clear" w:color="auto" w:fill="auto"/>
            <w:vAlign w:val="center"/>
          </w:tcPr>
          <w:p w14:paraId="5B98D031">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4E9DAEC2">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缓冲垫翻转形式</w:t>
            </w:r>
          </w:p>
        </w:tc>
        <w:tc>
          <w:tcPr>
            <w:tcW w:w="2646" w:type="dxa"/>
            <w:tcBorders>
              <w:top w:val="single" w:color="000000" w:sz="4" w:space="0"/>
              <w:left w:val="single" w:color="000000" w:sz="4" w:space="0"/>
              <w:bottom w:val="single" w:color="000000" w:sz="4" w:space="0"/>
            </w:tcBorders>
            <w:shd w:val="clear" w:color="auto" w:fill="auto"/>
            <w:vAlign w:val="center"/>
          </w:tcPr>
          <w:p w14:paraId="37B81FAB">
            <w:pPr>
              <w:spacing w:line="360" w:lineRule="auto"/>
              <w:contextualSpacing/>
              <w:jc w:val="center"/>
              <w:rPr>
                <w:rFonts w:ascii="宋体" w:hAnsi="宋体" w:eastAsia="宋体" w:cs="宋体"/>
                <w:color w:val="auto"/>
                <w:szCs w:val="21"/>
                <w:highlight w:val="none"/>
                <w:lang w:bidi="ar"/>
              </w:rPr>
            </w:pPr>
            <w:r>
              <w:rPr>
                <w:rFonts w:hint="eastAsia" w:ascii="宋体" w:hAnsi="宋体" w:eastAsia="宋体" w:cs="宋体"/>
                <w:color w:val="auto"/>
                <w:kern w:val="0"/>
                <w:szCs w:val="21"/>
                <w:highlight w:val="none"/>
              </w:rPr>
              <w:t>上下翻转，翻转角度为90</w:t>
            </w:r>
            <w:r>
              <w:rPr>
                <w:rFonts w:hint="eastAsia" w:ascii="宋体" w:hAnsi="宋体" w:eastAsia="宋体" w:cs="宋体"/>
                <w:color w:val="auto"/>
                <w:szCs w:val="21"/>
                <w:highlight w:val="none"/>
                <w:lang w:bidi="ar"/>
              </w:rPr>
              <w:t>°。</w:t>
            </w:r>
          </w:p>
          <w:p w14:paraId="15E99FC5">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bidi="ar"/>
              </w:rPr>
              <w:t>上翻最大角度为与地面垂直，下翻最大角度为与地面平行。</w:t>
            </w:r>
          </w:p>
        </w:tc>
        <w:tc>
          <w:tcPr>
            <w:tcW w:w="881" w:type="dxa"/>
            <w:tcBorders>
              <w:top w:val="single" w:color="000000" w:sz="4" w:space="0"/>
              <w:left w:val="single" w:color="000000" w:sz="4" w:space="0"/>
              <w:bottom w:val="single" w:color="000000" w:sz="4" w:space="0"/>
            </w:tcBorders>
            <w:shd w:val="clear" w:color="auto" w:fill="auto"/>
            <w:vAlign w:val="center"/>
          </w:tcPr>
          <w:p w14:paraId="25FA0192">
            <w:pPr>
              <w:spacing w:line="360" w:lineRule="auto"/>
              <w:contextualSpacing/>
              <w:jc w:val="center"/>
              <w:rPr>
                <w:rFonts w:hint="eastAsia" w:ascii="宋体" w:hAnsi="宋体" w:eastAsia="宋体" w:cs="宋体"/>
                <w:color w:val="auto"/>
                <w:szCs w:val="21"/>
                <w:highlight w:val="none"/>
                <w:lang w:bidi="ar"/>
              </w:rPr>
            </w:pPr>
          </w:p>
        </w:tc>
        <w:tc>
          <w:tcPr>
            <w:tcW w:w="1305" w:type="dxa"/>
            <w:tcBorders>
              <w:top w:val="single" w:color="000000" w:sz="4" w:space="0"/>
              <w:left w:val="single" w:color="000000" w:sz="4" w:space="0"/>
              <w:bottom w:val="single" w:color="000000" w:sz="4" w:space="0"/>
            </w:tcBorders>
            <w:shd w:val="clear" w:color="auto" w:fill="auto"/>
            <w:vAlign w:val="center"/>
          </w:tcPr>
          <w:p w14:paraId="38BB0BE3">
            <w:pPr>
              <w:spacing w:line="360" w:lineRule="auto"/>
              <w:contextualSpacing/>
              <w:jc w:val="center"/>
              <w:rPr>
                <w:rFonts w:hint="eastAsia" w:ascii="宋体" w:hAnsi="宋体" w:eastAsia="宋体" w:cs="宋体"/>
                <w:color w:val="auto"/>
                <w:szCs w:val="21"/>
                <w:highlight w:val="none"/>
                <w:lang w:bidi="ar"/>
              </w:rPr>
            </w:pPr>
          </w:p>
        </w:tc>
        <w:tc>
          <w:tcPr>
            <w:tcW w:w="999" w:type="dxa"/>
            <w:tcBorders>
              <w:top w:val="single" w:color="000000" w:sz="4" w:space="0"/>
              <w:left w:val="single" w:color="000000" w:sz="4" w:space="0"/>
              <w:bottom w:val="single" w:color="000000" w:sz="4" w:space="0"/>
            </w:tcBorders>
            <w:shd w:val="clear" w:color="auto" w:fill="auto"/>
            <w:vAlign w:val="center"/>
          </w:tcPr>
          <w:p w14:paraId="641290F2">
            <w:pPr>
              <w:spacing w:line="360" w:lineRule="auto"/>
              <w:contextualSpacing/>
              <w:jc w:val="center"/>
              <w:rPr>
                <w:rFonts w:hint="eastAsia" w:ascii="宋体" w:hAnsi="宋体" w:eastAsia="宋体" w:cs="宋体"/>
                <w:color w:val="auto"/>
                <w:szCs w:val="21"/>
                <w:highlight w:val="none"/>
                <w:lang w:bidi="ar"/>
              </w:rPr>
            </w:pPr>
          </w:p>
        </w:tc>
      </w:tr>
      <w:tr w14:paraId="24238B6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796CB76B">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19</w:t>
            </w:r>
          </w:p>
        </w:tc>
        <w:tc>
          <w:tcPr>
            <w:tcW w:w="0" w:type="auto"/>
            <w:vMerge w:val="continue"/>
            <w:tcBorders>
              <w:left w:val="single" w:color="000000" w:sz="4" w:space="0"/>
              <w:right w:val="single" w:color="000000" w:sz="4" w:space="0"/>
            </w:tcBorders>
            <w:shd w:val="clear" w:color="auto" w:fill="auto"/>
            <w:vAlign w:val="center"/>
          </w:tcPr>
          <w:p w14:paraId="190A4A56">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367EAD39">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缓冲垫驱动系统</w:t>
            </w:r>
          </w:p>
        </w:tc>
        <w:tc>
          <w:tcPr>
            <w:tcW w:w="2646" w:type="dxa"/>
            <w:tcBorders>
              <w:top w:val="single" w:color="000000" w:sz="4" w:space="0"/>
              <w:left w:val="single" w:color="000000" w:sz="4" w:space="0"/>
              <w:bottom w:val="single" w:color="000000" w:sz="4" w:space="0"/>
            </w:tcBorders>
            <w:shd w:val="clear" w:color="auto" w:fill="auto"/>
            <w:vAlign w:val="center"/>
          </w:tcPr>
          <w:p w14:paraId="384433F1">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独立液压</w:t>
            </w:r>
          </w:p>
          <w:p w14:paraId="0291FF3F">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（车辆行驶过程中可操控）</w:t>
            </w:r>
          </w:p>
        </w:tc>
        <w:tc>
          <w:tcPr>
            <w:tcW w:w="881" w:type="dxa"/>
            <w:tcBorders>
              <w:top w:val="single" w:color="000000" w:sz="4" w:space="0"/>
              <w:left w:val="single" w:color="000000" w:sz="4" w:space="0"/>
              <w:bottom w:val="single" w:color="000000" w:sz="4" w:space="0"/>
            </w:tcBorders>
            <w:shd w:val="clear" w:color="auto" w:fill="auto"/>
            <w:vAlign w:val="center"/>
          </w:tcPr>
          <w:p w14:paraId="3E412C51">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670C8A4E">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07639189">
            <w:pPr>
              <w:spacing w:line="360" w:lineRule="auto"/>
              <w:contextualSpacing/>
              <w:jc w:val="center"/>
              <w:rPr>
                <w:rFonts w:hint="eastAsia" w:ascii="宋体" w:hAnsi="宋体" w:eastAsia="宋体" w:cs="宋体"/>
                <w:color w:val="auto"/>
                <w:kern w:val="0"/>
                <w:szCs w:val="21"/>
                <w:highlight w:val="none"/>
              </w:rPr>
            </w:pPr>
          </w:p>
        </w:tc>
      </w:tr>
      <w:tr w14:paraId="3C6623E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29247205">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0</w:t>
            </w:r>
          </w:p>
        </w:tc>
        <w:tc>
          <w:tcPr>
            <w:tcW w:w="0" w:type="auto"/>
            <w:vMerge w:val="continue"/>
            <w:tcBorders>
              <w:left w:val="single" w:color="000000" w:sz="4" w:space="0"/>
              <w:right w:val="single" w:color="000000" w:sz="4" w:space="0"/>
            </w:tcBorders>
            <w:shd w:val="clear" w:color="auto" w:fill="auto"/>
            <w:vAlign w:val="center"/>
          </w:tcPr>
          <w:p w14:paraId="7E2E1A4C">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20B8A395">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▲有效吸能长度（mm）</w:t>
            </w:r>
          </w:p>
        </w:tc>
        <w:tc>
          <w:tcPr>
            <w:tcW w:w="2646" w:type="dxa"/>
            <w:tcBorders>
              <w:top w:val="single" w:color="000000" w:sz="4" w:space="0"/>
              <w:left w:val="single" w:color="000000" w:sz="4" w:space="0"/>
              <w:bottom w:val="single" w:color="000000" w:sz="4" w:space="0"/>
            </w:tcBorders>
            <w:shd w:val="clear" w:color="auto" w:fill="auto"/>
            <w:vAlign w:val="center"/>
          </w:tcPr>
          <w:p w14:paraId="5BDCB84F">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10</w:t>
            </w:r>
            <w:r>
              <w:rPr>
                <w:rFonts w:hint="eastAsia" w:ascii="宋体" w:hAnsi="宋体" w:eastAsia="宋体" w:cs="宋体"/>
                <w:color w:val="auto"/>
                <w:kern w:val="0"/>
                <w:szCs w:val="21"/>
                <w:highlight w:val="none"/>
              </w:rPr>
              <w:t>0</w:t>
            </w:r>
          </w:p>
        </w:tc>
        <w:tc>
          <w:tcPr>
            <w:tcW w:w="881" w:type="dxa"/>
            <w:tcBorders>
              <w:top w:val="single" w:color="000000" w:sz="4" w:space="0"/>
              <w:left w:val="single" w:color="000000" w:sz="4" w:space="0"/>
              <w:bottom w:val="single" w:color="000000" w:sz="4" w:space="0"/>
            </w:tcBorders>
            <w:shd w:val="clear" w:color="auto" w:fill="auto"/>
            <w:vAlign w:val="center"/>
          </w:tcPr>
          <w:p w14:paraId="580B3C17">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6C630511">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71733D43">
            <w:pPr>
              <w:spacing w:line="360" w:lineRule="auto"/>
              <w:contextualSpacing/>
              <w:jc w:val="center"/>
              <w:rPr>
                <w:rFonts w:hint="eastAsia" w:ascii="宋体" w:hAnsi="宋体" w:eastAsia="宋体" w:cs="宋体"/>
                <w:color w:val="auto"/>
                <w:kern w:val="0"/>
                <w:szCs w:val="21"/>
                <w:highlight w:val="none"/>
              </w:rPr>
            </w:pPr>
          </w:p>
        </w:tc>
      </w:tr>
      <w:tr w14:paraId="07530DC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0DA2FDBA">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1</w:t>
            </w:r>
          </w:p>
        </w:tc>
        <w:tc>
          <w:tcPr>
            <w:tcW w:w="0" w:type="auto"/>
            <w:vMerge w:val="continue"/>
            <w:tcBorders>
              <w:left w:val="single" w:color="000000" w:sz="4" w:space="0"/>
              <w:right w:val="single" w:color="000000" w:sz="4" w:space="0"/>
            </w:tcBorders>
            <w:shd w:val="clear" w:color="auto" w:fill="auto"/>
            <w:vAlign w:val="center"/>
          </w:tcPr>
          <w:p w14:paraId="4FBE1EFD">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2B59937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防撞垫宽度（mm）</w:t>
            </w:r>
          </w:p>
        </w:tc>
        <w:tc>
          <w:tcPr>
            <w:tcW w:w="2646" w:type="dxa"/>
            <w:tcBorders>
              <w:top w:val="single" w:color="000000" w:sz="4" w:space="0"/>
              <w:left w:val="single" w:color="000000" w:sz="4" w:space="0"/>
              <w:bottom w:val="single" w:color="000000" w:sz="4" w:space="0"/>
            </w:tcBorders>
            <w:shd w:val="clear" w:color="auto" w:fill="auto"/>
            <w:vAlign w:val="center"/>
          </w:tcPr>
          <w:p w14:paraId="1AB89F0F">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ascii="宋体" w:hAnsi="宋体" w:eastAsia="宋体" w:cs="宋体"/>
                <w:color w:val="auto"/>
                <w:kern w:val="0"/>
                <w:szCs w:val="21"/>
                <w:highlight w:val="none"/>
              </w:rPr>
              <w:t>19</w:t>
            </w:r>
            <w:r>
              <w:rPr>
                <w:rFonts w:hint="eastAsia" w:ascii="宋体" w:hAnsi="宋体" w:eastAsia="宋体" w:cs="宋体"/>
                <w:color w:val="auto"/>
                <w:kern w:val="0"/>
                <w:szCs w:val="21"/>
                <w:highlight w:val="none"/>
              </w:rPr>
              <w:t>00</w:t>
            </w:r>
          </w:p>
        </w:tc>
        <w:tc>
          <w:tcPr>
            <w:tcW w:w="881" w:type="dxa"/>
            <w:tcBorders>
              <w:top w:val="single" w:color="000000" w:sz="4" w:space="0"/>
              <w:left w:val="single" w:color="000000" w:sz="4" w:space="0"/>
              <w:bottom w:val="single" w:color="000000" w:sz="4" w:space="0"/>
            </w:tcBorders>
            <w:shd w:val="clear" w:color="auto" w:fill="auto"/>
            <w:vAlign w:val="center"/>
          </w:tcPr>
          <w:p w14:paraId="559E8555">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38E65652">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18662A69">
            <w:pPr>
              <w:spacing w:line="360" w:lineRule="auto"/>
              <w:contextualSpacing/>
              <w:jc w:val="center"/>
              <w:rPr>
                <w:rFonts w:hint="eastAsia" w:ascii="宋体" w:hAnsi="宋体" w:eastAsia="宋体" w:cs="宋体"/>
                <w:color w:val="auto"/>
                <w:kern w:val="0"/>
                <w:szCs w:val="21"/>
                <w:highlight w:val="none"/>
              </w:rPr>
            </w:pPr>
          </w:p>
        </w:tc>
      </w:tr>
      <w:tr w14:paraId="5C9225D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1BED84E3">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2</w:t>
            </w:r>
          </w:p>
        </w:tc>
        <w:tc>
          <w:tcPr>
            <w:tcW w:w="0" w:type="auto"/>
            <w:vMerge w:val="continue"/>
            <w:tcBorders>
              <w:left w:val="single" w:color="000000" w:sz="4" w:space="0"/>
              <w:right w:val="single" w:color="000000" w:sz="4" w:space="0"/>
            </w:tcBorders>
            <w:shd w:val="clear" w:color="auto" w:fill="auto"/>
            <w:vAlign w:val="center"/>
          </w:tcPr>
          <w:p w14:paraId="6A06A420">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1852E478">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▲缓冲垫厚度（mm）</w:t>
            </w:r>
          </w:p>
        </w:tc>
        <w:tc>
          <w:tcPr>
            <w:tcW w:w="2646" w:type="dxa"/>
            <w:tcBorders>
              <w:top w:val="single" w:color="000000" w:sz="4" w:space="0"/>
              <w:left w:val="single" w:color="000000" w:sz="4" w:space="0"/>
              <w:bottom w:val="single" w:color="000000" w:sz="4" w:space="0"/>
            </w:tcBorders>
            <w:shd w:val="clear" w:color="auto" w:fill="auto"/>
            <w:vAlign w:val="center"/>
          </w:tcPr>
          <w:p w14:paraId="68BEF548">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59</w:t>
            </w:r>
            <w:r>
              <w:rPr>
                <w:rFonts w:hint="eastAsia" w:ascii="宋体" w:hAnsi="宋体" w:eastAsia="宋体" w:cs="宋体"/>
                <w:color w:val="auto"/>
                <w:kern w:val="0"/>
                <w:szCs w:val="21"/>
                <w:highlight w:val="none"/>
              </w:rPr>
              <w:t>0</w:t>
            </w:r>
          </w:p>
        </w:tc>
        <w:tc>
          <w:tcPr>
            <w:tcW w:w="881" w:type="dxa"/>
            <w:tcBorders>
              <w:top w:val="single" w:color="000000" w:sz="4" w:space="0"/>
              <w:left w:val="single" w:color="000000" w:sz="4" w:space="0"/>
              <w:bottom w:val="single" w:color="000000" w:sz="4" w:space="0"/>
            </w:tcBorders>
            <w:shd w:val="clear" w:color="auto" w:fill="auto"/>
            <w:vAlign w:val="center"/>
          </w:tcPr>
          <w:p w14:paraId="32F028CB">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71DA33B1">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48E444E5">
            <w:pPr>
              <w:spacing w:line="360" w:lineRule="auto"/>
              <w:contextualSpacing/>
              <w:jc w:val="center"/>
              <w:rPr>
                <w:rFonts w:hint="eastAsia" w:ascii="宋体" w:hAnsi="宋体" w:eastAsia="宋体" w:cs="宋体"/>
                <w:color w:val="auto"/>
                <w:kern w:val="0"/>
                <w:szCs w:val="21"/>
                <w:highlight w:val="none"/>
              </w:rPr>
            </w:pPr>
          </w:p>
        </w:tc>
      </w:tr>
      <w:tr w14:paraId="27DDC99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040B7E2D">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3</w:t>
            </w:r>
          </w:p>
        </w:tc>
        <w:tc>
          <w:tcPr>
            <w:tcW w:w="0" w:type="auto"/>
            <w:vMerge w:val="continue"/>
            <w:tcBorders>
              <w:left w:val="single" w:color="000000" w:sz="4" w:space="0"/>
              <w:right w:val="single" w:color="000000" w:sz="4" w:space="0"/>
            </w:tcBorders>
            <w:shd w:val="clear" w:color="auto" w:fill="auto"/>
            <w:vAlign w:val="center"/>
          </w:tcPr>
          <w:p w14:paraId="1E582111">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42ACAD1A">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缓冲垫离地间隙（mm）</w:t>
            </w:r>
          </w:p>
        </w:tc>
        <w:tc>
          <w:tcPr>
            <w:tcW w:w="2646" w:type="dxa"/>
            <w:tcBorders>
              <w:top w:val="single" w:color="000000" w:sz="4" w:space="0"/>
              <w:left w:val="single" w:color="000000" w:sz="4" w:space="0"/>
              <w:bottom w:val="single" w:color="000000" w:sz="4" w:space="0"/>
            </w:tcBorders>
            <w:shd w:val="clear" w:color="auto" w:fill="auto"/>
            <w:vAlign w:val="center"/>
          </w:tcPr>
          <w:p w14:paraId="638C40B2">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工作状态时离地间隙介于200-300</w:t>
            </w:r>
          </w:p>
        </w:tc>
        <w:tc>
          <w:tcPr>
            <w:tcW w:w="881" w:type="dxa"/>
            <w:tcBorders>
              <w:top w:val="single" w:color="000000" w:sz="4" w:space="0"/>
              <w:left w:val="single" w:color="000000" w:sz="4" w:space="0"/>
              <w:bottom w:val="single" w:color="000000" w:sz="4" w:space="0"/>
            </w:tcBorders>
            <w:shd w:val="clear" w:color="auto" w:fill="auto"/>
            <w:vAlign w:val="center"/>
          </w:tcPr>
          <w:p w14:paraId="32C60D38">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31119D03">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6FCFA4E8">
            <w:pPr>
              <w:spacing w:line="360" w:lineRule="auto"/>
              <w:contextualSpacing/>
              <w:jc w:val="center"/>
              <w:rPr>
                <w:rFonts w:hint="eastAsia" w:ascii="宋体" w:hAnsi="宋体" w:eastAsia="宋体" w:cs="宋体"/>
                <w:color w:val="auto"/>
                <w:kern w:val="0"/>
                <w:szCs w:val="21"/>
                <w:highlight w:val="none"/>
              </w:rPr>
            </w:pPr>
          </w:p>
        </w:tc>
      </w:tr>
      <w:tr w14:paraId="7AC7DE3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06DD4A9E">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4</w:t>
            </w:r>
          </w:p>
        </w:tc>
        <w:tc>
          <w:tcPr>
            <w:tcW w:w="0" w:type="auto"/>
            <w:vMerge w:val="restart"/>
            <w:tcBorders>
              <w:top w:val="single" w:color="000000" w:sz="4" w:space="0"/>
              <w:left w:val="single" w:color="000000" w:sz="4" w:space="0"/>
              <w:right w:val="single" w:color="000000" w:sz="4" w:space="0"/>
            </w:tcBorders>
            <w:shd w:val="clear" w:color="auto" w:fill="auto"/>
            <w:vAlign w:val="center"/>
          </w:tcPr>
          <w:p w14:paraId="0845A41C">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安全性配置</w:t>
            </w:r>
          </w:p>
        </w:tc>
        <w:tc>
          <w:tcPr>
            <w:tcW w:w="2596" w:type="dxa"/>
            <w:tcBorders>
              <w:top w:val="single" w:color="000000" w:sz="4" w:space="0"/>
              <w:left w:val="single" w:color="000000" w:sz="4" w:space="0"/>
              <w:bottom w:val="single" w:color="000000" w:sz="4" w:space="0"/>
            </w:tcBorders>
            <w:shd w:val="clear" w:color="auto" w:fill="auto"/>
            <w:vAlign w:val="center"/>
          </w:tcPr>
          <w:p w14:paraId="5735133B">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大型电子安全导向牌</w:t>
            </w:r>
          </w:p>
        </w:tc>
        <w:tc>
          <w:tcPr>
            <w:tcW w:w="2646" w:type="dxa"/>
            <w:tcBorders>
              <w:top w:val="single" w:color="000000" w:sz="4" w:space="0"/>
              <w:left w:val="single" w:color="000000" w:sz="4" w:space="0"/>
              <w:bottom w:val="single" w:color="000000" w:sz="4" w:space="0"/>
            </w:tcBorders>
            <w:shd w:val="clear" w:color="auto" w:fill="auto"/>
            <w:vAlign w:val="center"/>
          </w:tcPr>
          <w:p w14:paraId="6E753BAE">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导向灯组可遥控操作，可显示多种明确的指向标记，包括但不限于：向左改道、向右改道、禁止通行等。</w:t>
            </w:r>
          </w:p>
        </w:tc>
        <w:tc>
          <w:tcPr>
            <w:tcW w:w="881" w:type="dxa"/>
            <w:tcBorders>
              <w:top w:val="single" w:color="000000" w:sz="4" w:space="0"/>
              <w:left w:val="single" w:color="000000" w:sz="4" w:space="0"/>
              <w:bottom w:val="single" w:color="000000" w:sz="4" w:space="0"/>
            </w:tcBorders>
            <w:shd w:val="clear" w:color="auto" w:fill="auto"/>
            <w:vAlign w:val="center"/>
          </w:tcPr>
          <w:p w14:paraId="1BAFD316">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77427232">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78475F74">
            <w:pPr>
              <w:spacing w:line="360" w:lineRule="auto"/>
              <w:contextualSpacing/>
              <w:jc w:val="center"/>
              <w:rPr>
                <w:rFonts w:hint="eastAsia" w:ascii="宋体" w:hAnsi="宋体" w:eastAsia="宋体" w:cs="宋体"/>
                <w:color w:val="auto"/>
                <w:kern w:val="0"/>
                <w:szCs w:val="21"/>
                <w:highlight w:val="none"/>
              </w:rPr>
            </w:pPr>
          </w:p>
        </w:tc>
      </w:tr>
      <w:tr w14:paraId="481203D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47A4DDDD">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lang w:val="en-US" w:eastAsia="zh-CN"/>
              </w:rPr>
              <w:t>5</w:t>
            </w:r>
          </w:p>
        </w:tc>
        <w:tc>
          <w:tcPr>
            <w:tcW w:w="0" w:type="auto"/>
            <w:vMerge w:val="continue"/>
            <w:tcBorders>
              <w:left w:val="single" w:color="000000" w:sz="4" w:space="0"/>
              <w:right w:val="single" w:color="000000" w:sz="4" w:space="0"/>
            </w:tcBorders>
            <w:shd w:val="clear" w:color="auto" w:fill="auto"/>
            <w:vAlign w:val="center"/>
          </w:tcPr>
          <w:p w14:paraId="614E821E">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7E751F0B">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配重块</w:t>
            </w:r>
          </w:p>
        </w:tc>
        <w:tc>
          <w:tcPr>
            <w:tcW w:w="2646" w:type="dxa"/>
            <w:tcBorders>
              <w:top w:val="single" w:color="000000" w:sz="4" w:space="0"/>
              <w:left w:val="single" w:color="000000" w:sz="4" w:space="0"/>
              <w:bottom w:val="single" w:color="000000" w:sz="4" w:space="0"/>
            </w:tcBorders>
            <w:shd w:val="clear" w:color="auto" w:fill="auto"/>
            <w:vAlign w:val="center"/>
          </w:tcPr>
          <w:p w14:paraId="723F5817">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结合车辆本体自重和防撞等级要求，应配置适量配重块。</w:t>
            </w:r>
          </w:p>
        </w:tc>
        <w:tc>
          <w:tcPr>
            <w:tcW w:w="881" w:type="dxa"/>
            <w:tcBorders>
              <w:top w:val="single" w:color="000000" w:sz="4" w:space="0"/>
              <w:left w:val="single" w:color="000000" w:sz="4" w:space="0"/>
              <w:bottom w:val="single" w:color="000000" w:sz="4" w:space="0"/>
            </w:tcBorders>
            <w:shd w:val="clear" w:color="auto" w:fill="auto"/>
            <w:vAlign w:val="center"/>
          </w:tcPr>
          <w:p w14:paraId="47193CF5">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69470A82">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5B6C5E70">
            <w:pPr>
              <w:spacing w:line="360" w:lineRule="auto"/>
              <w:contextualSpacing/>
              <w:jc w:val="center"/>
              <w:rPr>
                <w:rFonts w:hint="eastAsia" w:ascii="宋体" w:hAnsi="宋体" w:eastAsia="宋体" w:cs="宋体"/>
                <w:color w:val="auto"/>
                <w:kern w:val="0"/>
                <w:szCs w:val="21"/>
                <w:highlight w:val="none"/>
              </w:rPr>
            </w:pPr>
          </w:p>
        </w:tc>
      </w:tr>
      <w:tr w14:paraId="20AD40D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674FF7AC">
            <w:pPr>
              <w:spacing w:line="360" w:lineRule="auto"/>
              <w:contextualSpacing/>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26</w:t>
            </w:r>
          </w:p>
        </w:tc>
        <w:tc>
          <w:tcPr>
            <w:tcW w:w="0" w:type="auto"/>
            <w:vMerge w:val="continue"/>
            <w:tcBorders>
              <w:left w:val="single" w:color="000000" w:sz="4" w:space="0"/>
              <w:right w:val="single" w:color="000000" w:sz="4" w:space="0"/>
            </w:tcBorders>
            <w:shd w:val="clear" w:color="auto" w:fill="auto"/>
            <w:vAlign w:val="center"/>
          </w:tcPr>
          <w:p w14:paraId="2DB7089B">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712BFA4F">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★预警功能</w:t>
            </w:r>
          </w:p>
        </w:tc>
        <w:tc>
          <w:tcPr>
            <w:tcW w:w="2646" w:type="dxa"/>
            <w:tcBorders>
              <w:top w:val="single" w:color="000000" w:sz="4" w:space="0"/>
              <w:left w:val="single" w:color="000000" w:sz="4" w:space="0"/>
              <w:bottom w:val="single" w:color="000000" w:sz="4" w:space="0"/>
            </w:tcBorders>
            <w:shd w:val="clear" w:color="auto" w:fill="auto"/>
            <w:vAlign w:val="center"/>
          </w:tcPr>
          <w:p w14:paraId="3D1E357D">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预警设备可与高德或百度地图联网，产品测距范围≥250m，具有声光双重预警，且含两种灯光预警模式，即常亮和闪亮</w:t>
            </w:r>
            <w:r>
              <w:rPr>
                <w:rFonts w:hint="eastAsia" w:ascii="宋体" w:hAnsi="宋体" w:eastAsia="宋体" w:cs="Times New Roman"/>
                <w:color w:val="auto"/>
                <w:kern w:val="0"/>
                <w:szCs w:val="21"/>
                <w:highlight w:val="none"/>
              </w:rPr>
              <w:t>两种警示方式</w:t>
            </w:r>
            <w:r>
              <w:rPr>
                <w:rFonts w:hint="eastAsia" w:ascii="宋体" w:hAnsi="宋体" w:eastAsia="宋体" w:cs="宋体"/>
                <w:color w:val="auto"/>
                <w:kern w:val="0"/>
                <w:szCs w:val="21"/>
                <w:highlight w:val="none"/>
              </w:rPr>
              <w:t>。</w:t>
            </w:r>
          </w:p>
        </w:tc>
        <w:tc>
          <w:tcPr>
            <w:tcW w:w="881" w:type="dxa"/>
            <w:tcBorders>
              <w:top w:val="single" w:color="000000" w:sz="4" w:space="0"/>
              <w:left w:val="single" w:color="000000" w:sz="4" w:space="0"/>
              <w:bottom w:val="single" w:color="000000" w:sz="4" w:space="0"/>
            </w:tcBorders>
            <w:shd w:val="clear" w:color="auto" w:fill="auto"/>
            <w:vAlign w:val="center"/>
          </w:tcPr>
          <w:p w14:paraId="05E020F3">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59242FFD">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724D41DC">
            <w:pPr>
              <w:spacing w:line="360" w:lineRule="auto"/>
              <w:contextualSpacing/>
              <w:jc w:val="center"/>
              <w:rPr>
                <w:rFonts w:hint="eastAsia" w:ascii="宋体" w:hAnsi="宋体" w:eastAsia="宋体" w:cs="宋体"/>
                <w:color w:val="auto"/>
                <w:kern w:val="0"/>
                <w:szCs w:val="21"/>
                <w:highlight w:val="none"/>
              </w:rPr>
            </w:pPr>
          </w:p>
        </w:tc>
      </w:tr>
      <w:tr w14:paraId="3EF3C8B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47A39FD2">
            <w:pPr>
              <w:spacing w:line="360" w:lineRule="auto"/>
              <w:contextualSpacing/>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27</w:t>
            </w:r>
          </w:p>
        </w:tc>
        <w:tc>
          <w:tcPr>
            <w:tcW w:w="0" w:type="auto"/>
            <w:vMerge w:val="continue"/>
            <w:tcBorders>
              <w:left w:val="single" w:color="000000" w:sz="4" w:space="0"/>
              <w:right w:val="single" w:color="000000" w:sz="4" w:space="0"/>
            </w:tcBorders>
            <w:shd w:val="clear" w:color="auto" w:fill="auto"/>
            <w:vAlign w:val="center"/>
          </w:tcPr>
          <w:p w14:paraId="2F00497F">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11E16D64">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倒车雷达</w:t>
            </w:r>
          </w:p>
        </w:tc>
        <w:tc>
          <w:tcPr>
            <w:tcW w:w="2646" w:type="dxa"/>
            <w:tcBorders>
              <w:top w:val="single" w:color="000000" w:sz="4" w:space="0"/>
              <w:left w:val="single" w:color="000000" w:sz="4" w:space="0"/>
              <w:bottom w:val="single" w:color="000000" w:sz="4" w:space="0"/>
            </w:tcBorders>
            <w:shd w:val="clear" w:color="auto" w:fill="auto"/>
            <w:vAlign w:val="center"/>
          </w:tcPr>
          <w:p w14:paraId="582EA283">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w:t>
            </w:r>
          </w:p>
        </w:tc>
        <w:tc>
          <w:tcPr>
            <w:tcW w:w="881" w:type="dxa"/>
            <w:tcBorders>
              <w:top w:val="single" w:color="000000" w:sz="4" w:space="0"/>
              <w:left w:val="single" w:color="000000" w:sz="4" w:space="0"/>
              <w:bottom w:val="single" w:color="000000" w:sz="4" w:space="0"/>
            </w:tcBorders>
            <w:shd w:val="clear" w:color="auto" w:fill="auto"/>
            <w:vAlign w:val="center"/>
          </w:tcPr>
          <w:p w14:paraId="280BDA2F">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6BC86C75">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34DC495F">
            <w:pPr>
              <w:spacing w:line="360" w:lineRule="auto"/>
              <w:contextualSpacing/>
              <w:jc w:val="center"/>
              <w:rPr>
                <w:rFonts w:hint="eastAsia" w:ascii="宋体" w:hAnsi="宋体" w:eastAsia="宋体" w:cs="宋体"/>
                <w:color w:val="auto"/>
                <w:kern w:val="0"/>
                <w:szCs w:val="21"/>
                <w:highlight w:val="none"/>
              </w:rPr>
            </w:pPr>
          </w:p>
        </w:tc>
      </w:tr>
      <w:tr w14:paraId="3B87DD7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295C9E32">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28</w:t>
            </w:r>
          </w:p>
        </w:tc>
        <w:tc>
          <w:tcPr>
            <w:tcW w:w="0" w:type="auto"/>
            <w:vMerge w:val="restart"/>
            <w:tcBorders>
              <w:top w:val="single" w:color="000000" w:sz="4" w:space="0"/>
              <w:left w:val="single" w:color="000000" w:sz="4" w:space="0"/>
              <w:right w:val="single" w:color="000000" w:sz="4" w:space="0"/>
            </w:tcBorders>
            <w:shd w:val="clear" w:color="auto" w:fill="auto"/>
            <w:vAlign w:val="center"/>
          </w:tcPr>
          <w:p w14:paraId="12A3E049">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需求配置</w:t>
            </w:r>
          </w:p>
        </w:tc>
        <w:tc>
          <w:tcPr>
            <w:tcW w:w="2596" w:type="dxa"/>
            <w:tcBorders>
              <w:top w:val="single" w:color="000000" w:sz="4" w:space="0"/>
              <w:left w:val="single" w:color="000000" w:sz="4" w:space="0"/>
              <w:bottom w:val="single" w:color="000000" w:sz="4" w:space="0"/>
            </w:tcBorders>
            <w:shd w:val="clear" w:color="auto" w:fill="auto"/>
            <w:vAlign w:val="center"/>
          </w:tcPr>
          <w:p w14:paraId="0FFF1EEC">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车身两侧栏板可翻转开启</w:t>
            </w:r>
          </w:p>
        </w:tc>
        <w:tc>
          <w:tcPr>
            <w:tcW w:w="2646" w:type="dxa"/>
            <w:tcBorders>
              <w:top w:val="single" w:color="000000" w:sz="4" w:space="0"/>
              <w:left w:val="single" w:color="000000" w:sz="4" w:space="0"/>
              <w:bottom w:val="single" w:color="000000" w:sz="4" w:space="0"/>
            </w:tcBorders>
            <w:shd w:val="clear" w:color="auto" w:fill="auto"/>
            <w:vAlign w:val="center"/>
          </w:tcPr>
          <w:p w14:paraId="238129A0">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w:t>
            </w:r>
          </w:p>
        </w:tc>
        <w:tc>
          <w:tcPr>
            <w:tcW w:w="881" w:type="dxa"/>
            <w:tcBorders>
              <w:top w:val="single" w:color="000000" w:sz="4" w:space="0"/>
              <w:left w:val="single" w:color="000000" w:sz="4" w:space="0"/>
              <w:bottom w:val="single" w:color="000000" w:sz="4" w:space="0"/>
            </w:tcBorders>
            <w:shd w:val="clear" w:color="auto" w:fill="auto"/>
            <w:vAlign w:val="center"/>
          </w:tcPr>
          <w:p w14:paraId="311C277B">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1AD788B4">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58CE96B2">
            <w:pPr>
              <w:spacing w:line="360" w:lineRule="auto"/>
              <w:contextualSpacing/>
              <w:jc w:val="center"/>
              <w:rPr>
                <w:rFonts w:hint="eastAsia" w:ascii="宋体" w:hAnsi="宋体" w:eastAsia="宋体" w:cs="宋体"/>
                <w:color w:val="auto"/>
                <w:kern w:val="0"/>
                <w:szCs w:val="21"/>
                <w:highlight w:val="none"/>
              </w:rPr>
            </w:pPr>
          </w:p>
        </w:tc>
      </w:tr>
      <w:tr w14:paraId="6AFF6AA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71688872">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29</w:t>
            </w:r>
          </w:p>
        </w:tc>
        <w:tc>
          <w:tcPr>
            <w:tcW w:w="0" w:type="auto"/>
            <w:vMerge w:val="continue"/>
            <w:tcBorders>
              <w:left w:val="single" w:color="000000" w:sz="4" w:space="0"/>
              <w:right w:val="single" w:color="000000" w:sz="4" w:space="0"/>
            </w:tcBorders>
            <w:shd w:val="clear" w:color="auto" w:fill="auto"/>
            <w:vAlign w:val="center"/>
          </w:tcPr>
          <w:p w14:paraId="57309F6E">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012B10E8">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车膜</w:t>
            </w:r>
          </w:p>
        </w:tc>
        <w:tc>
          <w:tcPr>
            <w:tcW w:w="2646" w:type="dxa"/>
            <w:tcBorders>
              <w:top w:val="single" w:color="000000" w:sz="4" w:space="0"/>
              <w:left w:val="single" w:color="000000" w:sz="4" w:space="0"/>
              <w:bottom w:val="single" w:color="000000" w:sz="4" w:space="0"/>
            </w:tcBorders>
            <w:shd w:val="clear" w:color="auto" w:fill="auto"/>
            <w:vAlign w:val="center"/>
          </w:tcPr>
          <w:p w14:paraId="2837D84B">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配置，品牌相当或优于龙膜，3M，威固。</w:t>
            </w:r>
          </w:p>
        </w:tc>
        <w:tc>
          <w:tcPr>
            <w:tcW w:w="881" w:type="dxa"/>
            <w:tcBorders>
              <w:top w:val="single" w:color="000000" w:sz="4" w:space="0"/>
              <w:left w:val="single" w:color="000000" w:sz="4" w:space="0"/>
              <w:bottom w:val="single" w:color="000000" w:sz="4" w:space="0"/>
            </w:tcBorders>
            <w:shd w:val="clear" w:color="auto" w:fill="auto"/>
            <w:vAlign w:val="center"/>
          </w:tcPr>
          <w:p w14:paraId="3C23DC68">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247E4A2A">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23ED709D">
            <w:pPr>
              <w:spacing w:line="360" w:lineRule="auto"/>
              <w:contextualSpacing/>
              <w:jc w:val="center"/>
              <w:rPr>
                <w:rFonts w:hint="eastAsia" w:ascii="宋体" w:hAnsi="宋体" w:eastAsia="宋体" w:cs="宋体"/>
                <w:color w:val="auto"/>
                <w:kern w:val="0"/>
                <w:szCs w:val="21"/>
                <w:highlight w:val="none"/>
              </w:rPr>
            </w:pPr>
          </w:p>
        </w:tc>
      </w:tr>
      <w:tr w14:paraId="2344BD0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62068146">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0</w:t>
            </w:r>
          </w:p>
        </w:tc>
        <w:tc>
          <w:tcPr>
            <w:tcW w:w="0" w:type="auto"/>
            <w:vMerge w:val="continue"/>
            <w:tcBorders>
              <w:left w:val="single" w:color="000000" w:sz="4" w:space="0"/>
              <w:right w:val="single" w:color="000000" w:sz="4" w:space="0"/>
            </w:tcBorders>
            <w:shd w:val="clear" w:color="auto" w:fill="auto"/>
            <w:vAlign w:val="center"/>
          </w:tcPr>
          <w:p w14:paraId="26F37B9F">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5BF942BF">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行车记录仪</w:t>
            </w:r>
          </w:p>
        </w:tc>
        <w:tc>
          <w:tcPr>
            <w:tcW w:w="2646" w:type="dxa"/>
            <w:tcBorders>
              <w:top w:val="single" w:color="000000" w:sz="4" w:space="0"/>
              <w:left w:val="single" w:color="000000" w:sz="4" w:space="0"/>
              <w:bottom w:val="single" w:color="000000" w:sz="4" w:space="0"/>
            </w:tcBorders>
            <w:shd w:val="clear" w:color="auto" w:fill="auto"/>
            <w:vAlign w:val="center"/>
          </w:tcPr>
          <w:p w14:paraId="2EAD8A19">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配置，分辨率:1080P或以上；内存≥64G SD(TF)卡；显示屏尺寸≥5英寸。相当或优于360、小米、海康威视。</w:t>
            </w:r>
          </w:p>
        </w:tc>
        <w:tc>
          <w:tcPr>
            <w:tcW w:w="881" w:type="dxa"/>
            <w:tcBorders>
              <w:top w:val="single" w:color="000000" w:sz="4" w:space="0"/>
              <w:left w:val="single" w:color="000000" w:sz="4" w:space="0"/>
              <w:bottom w:val="single" w:color="000000" w:sz="4" w:space="0"/>
            </w:tcBorders>
            <w:shd w:val="clear" w:color="auto" w:fill="auto"/>
            <w:vAlign w:val="center"/>
          </w:tcPr>
          <w:p w14:paraId="5384CBEE">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23782FA0">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37FDCD06">
            <w:pPr>
              <w:spacing w:line="360" w:lineRule="auto"/>
              <w:contextualSpacing/>
              <w:jc w:val="center"/>
              <w:rPr>
                <w:rFonts w:hint="eastAsia" w:ascii="宋体" w:hAnsi="宋体" w:eastAsia="宋体" w:cs="宋体"/>
                <w:color w:val="auto"/>
                <w:kern w:val="0"/>
                <w:szCs w:val="21"/>
                <w:highlight w:val="none"/>
              </w:rPr>
            </w:pPr>
          </w:p>
        </w:tc>
      </w:tr>
      <w:tr w14:paraId="43377E8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0" w:type="auto"/>
            <w:tcBorders>
              <w:top w:val="single" w:color="000000" w:sz="4" w:space="0"/>
              <w:bottom w:val="single" w:color="000000" w:sz="4" w:space="0"/>
              <w:right w:val="single" w:color="000000" w:sz="4" w:space="0"/>
            </w:tcBorders>
            <w:shd w:val="clear" w:color="auto" w:fill="auto"/>
            <w:vAlign w:val="center"/>
          </w:tcPr>
          <w:p w14:paraId="113B1F23">
            <w:pPr>
              <w:spacing w:line="360" w:lineRule="auto"/>
              <w:contextualSpacing/>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lang w:val="en-US" w:eastAsia="zh-CN"/>
              </w:rPr>
              <w:t>1</w:t>
            </w:r>
          </w:p>
        </w:tc>
        <w:tc>
          <w:tcPr>
            <w:tcW w:w="0" w:type="auto"/>
            <w:vMerge w:val="continue"/>
            <w:tcBorders>
              <w:left w:val="single" w:color="000000" w:sz="4" w:space="0"/>
              <w:right w:val="single" w:color="000000" w:sz="4" w:space="0"/>
            </w:tcBorders>
            <w:shd w:val="clear" w:color="auto" w:fill="auto"/>
            <w:vAlign w:val="center"/>
          </w:tcPr>
          <w:p w14:paraId="7EE90436">
            <w:pPr>
              <w:spacing w:line="360" w:lineRule="auto"/>
              <w:contextualSpacing/>
              <w:jc w:val="center"/>
              <w:rPr>
                <w:rFonts w:ascii="宋体" w:hAnsi="宋体" w:eastAsia="宋体" w:cs="宋体"/>
                <w:color w:val="auto"/>
                <w:kern w:val="0"/>
                <w:szCs w:val="21"/>
                <w:highlight w:val="none"/>
              </w:rPr>
            </w:pPr>
          </w:p>
        </w:tc>
        <w:tc>
          <w:tcPr>
            <w:tcW w:w="2596" w:type="dxa"/>
            <w:tcBorders>
              <w:top w:val="single" w:color="000000" w:sz="4" w:space="0"/>
              <w:left w:val="single" w:color="000000" w:sz="4" w:space="0"/>
              <w:bottom w:val="single" w:color="000000" w:sz="4" w:space="0"/>
            </w:tcBorders>
            <w:shd w:val="clear" w:color="auto" w:fill="auto"/>
            <w:vAlign w:val="center"/>
          </w:tcPr>
          <w:p w14:paraId="7736580D">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随车工具</w:t>
            </w:r>
          </w:p>
        </w:tc>
        <w:tc>
          <w:tcPr>
            <w:tcW w:w="2646" w:type="dxa"/>
            <w:tcBorders>
              <w:top w:val="single" w:color="000000" w:sz="4" w:space="0"/>
              <w:left w:val="single" w:color="000000" w:sz="4" w:space="0"/>
              <w:bottom w:val="single" w:color="000000" w:sz="4" w:space="0"/>
            </w:tcBorders>
            <w:shd w:val="clear" w:color="auto" w:fill="auto"/>
            <w:vAlign w:val="center"/>
          </w:tcPr>
          <w:p w14:paraId="57916C39">
            <w:pPr>
              <w:spacing w:line="360" w:lineRule="auto"/>
              <w:contextualSpacing/>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配置包括但不限于：汽车电瓶搭火线、车载充气泵、灭火器、三角木止退器、</w:t>
            </w:r>
            <w:r>
              <w:rPr>
                <w:rFonts w:hint="eastAsia" w:ascii="宋体" w:hAnsi="宋体" w:eastAsia="宋体" w:cs="宋体"/>
                <w:color w:val="auto"/>
                <w:kern w:val="0"/>
                <w:szCs w:val="21"/>
                <w:highlight w:val="none"/>
                <w:lang w:val="en-US" w:eastAsia="zh-CN"/>
              </w:rPr>
              <w:t>水基型</w:t>
            </w:r>
            <w:r>
              <w:rPr>
                <w:rFonts w:hint="eastAsia" w:ascii="宋体" w:hAnsi="宋体" w:eastAsia="宋体" w:cs="宋体"/>
                <w:color w:val="auto"/>
                <w:kern w:val="0"/>
                <w:szCs w:val="21"/>
                <w:highlight w:val="none"/>
              </w:rPr>
              <w:t>灭火器、全包围脚垫、安全锤。</w:t>
            </w:r>
          </w:p>
        </w:tc>
        <w:tc>
          <w:tcPr>
            <w:tcW w:w="881" w:type="dxa"/>
            <w:tcBorders>
              <w:top w:val="single" w:color="000000" w:sz="4" w:space="0"/>
              <w:left w:val="single" w:color="000000" w:sz="4" w:space="0"/>
              <w:bottom w:val="single" w:color="000000" w:sz="4" w:space="0"/>
            </w:tcBorders>
            <w:shd w:val="clear" w:color="auto" w:fill="auto"/>
            <w:vAlign w:val="center"/>
          </w:tcPr>
          <w:p w14:paraId="08C8AD0C">
            <w:pPr>
              <w:spacing w:line="360" w:lineRule="auto"/>
              <w:contextualSpacing/>
              <w:jc w:val="center"/>
              <w:rPr>
                <w:rFonts w:hint="eastAsia" w:ascii="宋体" w:hAnsi="宋体" w:eastAsia="宋体" w:cs="宋体"/>
                <w:color w:val="auto"/>
                <w:kern w:val="0"/>
                <w:szCs w:val="21"/>
                <w:highlight w:val="none"/>
              </w:rPr>
            </w:pPr>
          </w:p>
        </w:tc>
        <w:tc>
          <w:tcPr>
            <w:tcW w:w="1305" w:type="dxa"/>
            <w:tcBorders>
              <w:top w:val="single" w:color="000000" w:sz="4" w:space="0"/>
              <w:left w:val="single" w:color="000000" w:sz="4" w:space="0"/>
              <w:bottom w:val="single" w:color="000000" w:sz="4" w:space="0"/>
            </w:tcBorders>
            <w:shd w:val="clear" w:color="auto" w:fill="auto"/>
            <w:vAlign w:val="center"/>
          </w:tcPr>
          <w:p w14:paraId="31708DFE">
            <w:pPr>
              <w:spacing w:line="360" w:lineRule="auto"/>
              <w:contextualSpacing/>
              <w:jc w:val="center"/>
              <w:rPr>
                <w:rFonts w:hint="eastAsia" w:ascii="宋体" w:hAnsi="宋体" w:eastAsia="宋体" w:cs="宋体"/>
                <w:color w:val="auto"/>
                <w:kern w:val="0"/>
                <w:szCs w:val="21"/>
                <w:highlight w:val="none"/>
              </w:rPr>
            </w:pPr>
          </w:p>
        </w:tc>
        <w:tc>
          <w:tcPr>
            <w:tcW w:w="999" w:type="dxa"/>
            <w:tcBorders>
              <w:top w:val="single" w:color="000000" w:sz="4" w:space="0"/>
              <w:left w:val="single" w:color="000000" w:sz="4" w:space="0"/>
              <w:bottom w:val="single" w:color="000000" w:sz="4" w:space="0"/>
            </w:tcBorders>
            <w:shd w:val="clear" w:color="auto" w:fill="auto"/>
            <w:vAlign w:val="center"/>
          </w:tcPr>
          <w:p w14:paraId="6895CA7F">
            <w:pPr>
              <w:spacing w:line="360" w:lineRule="auto"/>
              <w:contextualSpacing/>
              <w:jc w:val="center"/>
              <w:rPr>
                <w:rFonts w:hint="eastAsia" w:ascii="宋体" w:hAnsi="宋体" w:eastAsia="宋体" w:cs="宋体"/>
                <w:color w:val="auto"/>
                <w:kern w:val="0"/>
                <w:szCs w:val="21"/>
                <w:highlight w:val="none"/>
              </w:rPr>
            </w:pPr>
          </w:p>
        </w:tc>
      </w:tr>
    </w:tbl>
    <w:p w14:paraId="43635895">
      <w:pPr>
        <w:autoSpaceDE w:val="0"/>
        <w:autoSpaceDN w:val="0"/>
        <w:adjustRightInd w:val="0"/>
        <w:snapToGrid w:val="0"/>
        <w:spacing w:line="360" w:lineRule="auto"/>
        <w:ind w:left="398" w:leftChars="-57" w:hanging="518" w:hangingChars="247"/>
        <w:jc w:val="left"/>
        <w:rPr>
          <w:rFonts w:hint="eastAsia" w:ascii="宋体" w:hAnsi="宋体" w:eastAsia="宋体" w:cs="宋体"/>
          <w:color w:val="auto"/>
          <w:kern w:val="0"/>
          <w:szCs w:val="21"/>
          <w:highlight w:val="none"/>
          <w:lang w:bidi="ar"/>
        </w:rPr>
      </w:pPr>
    </w:p>
    <w:p w14:paraId="5C653C04">
      <w:pPr>
        <w:autoSpaceDE w:val="0"/>
        <w:autoSpaceDN w:val="0"/>
        <w:adjustRightInd w:val="0"/>
        <w:snapToGrid w:val="0"/>
        <w:spacing w:line="360" w:lineRule="auto"/>
        <w:ind w:left="398" w:leftChars="-57" w:hanging="518" w:hangingChars="247"/>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备注：</w:t>
      </w:r>
    </w:p>
    <w:p w14:paraId="0481ABC7">
      <w:pPr>
        <w:numPr>
          <w:ilvl w:val="0"/>
          <w:numId w:val="3"/>
        </w:numPr>
        <w:autoSpaceDE w:val="0"/>
        <w:autoSpaceDN w:val="0"/>
        <w:adjustRightInd w:val="0"/>
        <w:snapToGrid w:val="0"/>
        <w:spacing w:line="360" w:lineRule="auto"/>
        <w:ind w:left="382" w:hanging="521"/>
        <w:jc w:val="left"/>
        <w:rPr>
          <w:rFonts w:ascii="宋体" w:hAnsi="宋体" w:eastAsia="宋体" w:cs="宋体"/>
          <w:b/>
          <w:color w:val="auto"/>
          <w:szCs w:val="21"/>
          <w:highlight w:val="none"/>
          <w:u w:val="single"/>
        </w:rPr>
      </w:pPr>
      <w:r>
        <w:rPr>
          <w:rFonts w:hint="eastAsia" w:ascii="宋体" w:hAnsi="宋体" w:eastAsia="宋体" w:cs="宋体"/>
          <w:b/>
          <w:color w:val="auto"/>
          <w:kern w:val="0"/>
          <w:szCs w:val="21"/>
          <w:highlight w:val="none"/>
          <w:u w:val="single"/>
          <w:lang w:bidi="ar"/>
        </w:rPr>
        <w:t>投标人应对照招标文件用户需求书“</w:t>
      </w:r>
      <w:r>
        <w:rPr>
          <w:rFonts w:hint="eastAsia" w:ascii="宋体" w:hAnsi="宋体" w:eastAsia="宋体" w:cs="宋体"/>
          <w:b/>
          <w:color w:val="auto"/>
          <w:kern w:val="0"/>
          <w:szCs w:val="21"/>
          <w:highlight w:val="none"/>
          <w:u w:val="single"/>
          <w:lang w:val="en-US" w:eastAsia="zh-CN" w:bidi="ar"/>
        </w:rPr>
        <w:t>二</w:t>
      </w:r>
      <w:r>
        <w:rPr>
          <w:rFonts w:hint="eastAsia" w:ascii="宋体" w:hAnsi="宋体" w:eastAsia="宋体" w:cs="宋体"/>
          <w:b/>
          <w:color w:val="auto"/>
          <w:kern w:val="0"/>
          <w:szCs w:val="21"/>
          <w:highlight w:val="none"/>
          <w:u w:val="single"/>
          <w:lang w:bidi="ar"/>
        </w:rPr>
        <w:t>、技术参数要求”逐条、如实地填写“偏离情况”项，“偏离情况”项为正偏离（或负偏离）的，必须在“具体偏离内容”项内详细说明与招标文件的偏离内容，“偏离情况”项为无偏离的，在“具体偏离内容”项内填“无”。本项目标有“★”的地方均被视为重要的技术指标要求或性能要求，投标人要特别加以注意，必须对此回答并完全满足这些要求，否则指标未响应或不满足，将按无效投标处理。“▲”标志的条款为评审的重要指标，投标人若有“▲”条款未响应或不满足，将导致其响应性评审扣分，并不会按无效</w:t>
      </w:r>
      <w:r>
        <w:rPr>
          <w:rFonts w:hint="eastAsia" w:ascii="宋体" w:hAnsi="宋体" w:eastAsia="宋体" w:cs="宋体"/>
          <w:b/>
          <w:color w:val="auto"/>
          <w:kern w:val="0"/>
          <w:szCs w:val="21"/>
          <w:highlight w:val="none"/>
          <w:u w:val="single"/>
          <w:lang w:val="en-US" w:eastAsia="zh-CN" w:bidi="ar"/>
        </w:rPr>
        <w:t>投标</w:t>
      </w:r>
      <w:r>
        <w:rPr>
          <w:rFonts w:hint="eastAsia" w:ascii="宋体" w:hAnsi="宋体" w:eastAsia="宋体" w:cs="宋体"/>
          <w:b/>
          <w:color w:val="auto"/>
          <w:kern w:val="0"/>
          <w:szCs w:val="21"/>
          <w:highlight w:val="none"/>
          <w:u w:val="single"/>
          <w:lang w:bidi="ar"/>
        </w:rPr>
        <w:t>处理。</w:t>
      </w:r>
    </w:p>
    <w:p w14:paraId="2D475A24">
      <w:pPr>
        <w:numPr>
          <w:ilvl w:val="0"/>
          <w:numId w:val="3"/>
        </w:numPr>
        <w:autoSpaceDE w:val="0"/>
        <w:autoSpaceDN w:val="0"/>
        <w:adjustRightInd w:val="0"/>
        <w:snapToGrid w:val="0"/>
        <w:spacing w:line="360" w:lineRule="auto"/>
        <w:ind w:left="398" w:leftChars="-57" w:hanging="518" w:hangingChars="247"/>
        <w:jc w:val="left"/>
        <w:rPr>
          <w:rFonts w:ascii="宋体" w:hAnsi="宋体" w:eastAsia="宋体" w:cs="宋体"/>
          <w:bCs/>
          <w:color w:val="auto"/>
          <w:szCs w:val="21"/>
          <w:highlight w:val="none"/>
        </w:rPr>
      </w:pPr>
      <w:r>
        <w:rPr>
          <w:rFonts w:hint="eastAsia" w:ascii="宋体" w:hAnsi="宋体" w:eastAsia="宋体" w:cs="宋体"/>
          <w:bCs/>
          <w:color w:val="auto"/>
          <w:kern w:val="0"/>
          <w:szCs w:val="21"/>
          <w:highlight w:val="none"/>
          <w:lang w:bidi="ar"/>
        </w:rPr>
        <w:t>偏离情况分为：正偏离、负偏离、无偏离。正偏离是指投标人提供的货物（或服务）技术条件优于招标文件的要求；负偏离是指投标人提供的货物（或服务）技术条件不满足或不完全满足招标文件的要求；无偏离是指投标人提供的货物（或服务）技术条件完全满足招标文件的要求。</w:t>
      </w:r>
    </w:p>
    <w:p w14:paraId="58398B17">
      <w:pPr>
        <w:autoSpaceDE w:val="0"/>
        <w:adjustRightInd w:val="0"/>
        <w:spacing w:line="360" w:lineRule="auto"/>
        <w:ind w:left="441" w:leftChars="-60"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lang w:bidi="ar"/>
        </w:rPr>
        <w:t>（3）</w:t>
      </w:r>
      <w:r>
        <w:rPr>
          <w:rFonts w:hint="eastAsia" w:ascii="宋体" w:hAnsi="宋体" w:eastAsia="宋体" w:cs="宋体"/>
          <w:color w:val="auto"/>
          <w:szCs w:val="21"/>
          <w:highlight w:val="none"/>
          <w:lang w:val="en-US" w:eastAsia="zh-CN" w:bidi="ar"/>
        </w:rPr>
        <w:t>参数</w:t>
      </w:r>
      <w:r>
        <w:rPr>
          <w:rFonts w:hint="eastAsia" w:ascii="宋体" w:hAnsi="宋体" w:eastAsia="宋体" w:cs="宋体"/>
          <w:color w:val="auto"/>
          <w:szCs w:val="21"/>
          <w:highlight w:val="none"/>
          <w:lang w:bidi="ar"/>
        </w:rPr>
        <w:t>需提供所投</w:t>
      </w:r>
      <w:r>
        <w:rPr>
          <w:rFonts w:hint="default" w:ascii="宋体" w:hAnsi="宋体" w:eastAsia="宋体" w:cs="宋体"/>
          <w:color w:val="auto"/>
          <w:szCs w:val="21"/>
          <w:highlight w:val="none"/>
          <w:lang w:val="en-US" w:bidi="ar"/>
        </w:rPr>
        <w:t>产品</w:t>
      </w:r>
      <w:r>
        <w:rPr>
          <w:rFonts w:hint="eastAsia" w:ascii="宋体" w:hAnsi="宋体" w:eastAsia="宋体" w:cs="宋体"/>
          <w:color w:val="auto"/>
          <w:szCs w:val="21"/>
          <w:highlight w:val="none"/>
          <w:lang w:bidi="ar"/>
        </w:rPr>
        <w:t>制造商所作的技术参数说明，或国家工业和信息化部公告/批复或行政主管部门出具的证明/批复或第三方检测机构出具的检测报告或汽车制造商官网的技术参数数据截图、或主要汽车网站(卡车之家)的技术参数数据截图作为评审依据。投标人可将反映投标货物技术参数的资料作为本表的附件，并在技术参数偏离表“对应证明材料页码”项内注明其在投标文件中的具体页码。</w:t>
      </w:r>
    </w:p>
    <w:p w14:paraId="28D828BC">
      <w:pPr>
        <w:autoSpaceDE w:val="0"/>
        <w:autoSpaceDN w:val="0"/>
        <w:adjustRightInd w:val="0"/>
        <w:spacing w:line="360" w:lineRule="auto"/>
        <w:ind w:firstLine="5040" w:firstLineChars="2400"/>
        <w:jc w:val="left"/>
        <w:rPr>
          <w:rFonts w:hint="eastAsia" w:ascii="宋体" w:hAnsi="宋体" w:eastAsia="宋体" w:cs="宋体"/>
          <w:color w:val="auto"/>
          <w:szCs w:val="21"/>
          <w:highlight w:val="none"/>
          <w:lang w:bidi="ar"/>
        </w:rPr>
      </w:pPr>
    </w:p>
    <w:p w14:paraId="3A7944BF">
      <w:pPr>
        <w:autoSpaceDE w:val="0"/>
        <w:autoSpaceDN w:val="0"/>
        <w:adjustRightInd w:val="0"/>
        <w:spacing w:line="360" w:lineRule="auto"/>
        <w:ind w:firstLine="5040" w:firstLineChars="2400"/>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投标人：（加盖投标人法人公章）</w:t>
      </w:r>
    </w:p>
    <w:p w14:paraId="6055EF32">
      <w:pPr>
        <w:autoSpaceDE w:val="0"/>
        <w:autoSpaceDN w:val="0"/>
        <w:adjustRightInd w:val="0"/>
        <w:spacing w:line="360" w:lineRule="auto"/>
        <w:ind w:firstLine="5040" w:firstLineChars="24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日期：   年   月   日</w:t>
      </w:r>
    </w:p>
    <w:p w14:paraId="113F100E">
      <w:pPr>
        <w:autoSpaceDE/>
        <w:autoSpaceDN/>
        <w:adjustRightInd/>
        <w:spacing w:line="240" w:lineRule="auto"/>
        <w:ind w:firstLine="0" w:firstLineChars="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br w:type="page"/>
      </w:r>
    </w:p>
    <w:p w14:paraId="3B2F3CBE">
      <w:pPr>
        <w:pageBreakBefore/>
        <w:autoSpaceDE w:val="0"/>
        <w:autoSpaceDN w:val="0"/>
        <w:adjustRightInd w:val="0"/>
        <w:spacing w:before="120" w:beforeLines="50" w:line="360" w:lineRule="auto"/>
        <w:jc w:val="left"/>
        <w:outlineLvl w:val="2"/>
        <w:rPr>
          <w:rFonts w:ascii="宋体" w:hAnsi="宋体" w:eastAsia="宋体" w:cs="宋体"/>
          <w:b/>
          <w:color w:val="auto"/>
          <w:sz w:val="24"/>
          <w:szCs w:val="24"/>
          <w:highlight w:val="none"/>
        </w:rPr>
      </w:pPr>
      <w:bookmarkStart w:id="662" w:name="_Toc1809"/>
      <w:r>
        <w:rPr>
          <w:rFonts w:hint="eastAsia" w:ascii="宋体" w:hAnsi="宋体" w:eastAsia="宋体" w:cs="宋体"/>
          <w:b/>
          <w:color w:val="auto"/>
          <w:kern w:val="0"/>
          <w:sz w:val="30"/>
          <w:szCs w:val="30"/>
          <w:highlight w:val="none"/>
        </w:rPr>
        <w:t>1</w:t>
      </w:r>
      <w:r>
        <w:rPr>
          <w:rFonts w:hint="eastAsia" w:ascii="宋体" w:hAnsi="宋体" w:eastAsia="宋体" w:cs="宋体"/>
          <w:b/>
          <w:color w:val="auto"/>
          <w:kern w:val="0"/>
          <w:sz w:val="30"/>
          <w:szCs w:val="30"/>
          <w:highlight w:val="none"/>
          <w:lang w:val="en-US" w:eastAsia="zh-CN"/>
        </w:rPr>
        <w:t>4</w:t>
      </w:r>
      <w:r>
        <w:rPr>
          <w:rFonts w:hint="eastAsia" w:ascii="宋体" w:hAnsi="宋体" w:eastAsia="宋体" w:cs="宋体"/>
          <w:b/>
          <w:color w:val="auto"/>
          <w:kern w:val="0"/>
          <w:sz w:val="30"/>
          <w:szCs w:val="30"/>
          <w:highlight w:val="none"/>
        </w:rPr>
        <w:t>.</w:t>
      </w:r>
      <w:r>
        <w:rPr>
          <w:rFonts w:hint="eastAsia" w:ascii="宋体" w:hAnsi="宋体" w:eastAsia="宋体" w:cs="宋体"/>
          <w:b/>
          <w:color w:val="auto"/>
          <w:kern w:val="0"/>
          <w:sz w:val="30"/>
          <w:szCs w:val="30"/>
          <w:highlight w:val="none"/>
          <w:lang w:val="en-US" w:eastAsia="zh-CN"/>
        </w:rPr>
        <w:t>3</w:t>
      </w:r>
      <w:r>
        <w:rPr>
          <w:rFonts w:ascii="宋体" w:hAnsi="宋体" w:eastAsia="宋体" w:cs="宋体"/>
          <w:b/>
          <w:color w:val="auto"/>
          <w:kern w:val="0"/>
          <w:sz w:val="30"/>
          <w:szCs w:val="30"/>
          <w:highlight w:val="none"/>
        </w:rPr>
        <w:t xml:space="preserve"> </w:t>
      </w:r>
      <w:r>
        <w:rPr>
          <w:rFonts w:hint="eastAsia" w:ascii="宋体" w:hAnsi="宋体" w:eastAsia="宋体" w:cs="宋体"/>
          <w:b/>
          <w:color w:val="auto"/>
          <w:kern w:val="0"/>
          <w:sz w:val="32"/>
          <w:szCs w:val="32"/>
          <w:highlight w:val="none"/>
          <w:lang w:bidi="ar"/>
        </w:rPr>
        <w:t>车辆配置清单（投标人根据所投产品如实自行填写）</w:t>
      </w:r>
      <w:bookmarkEnd w:id="662"/>
    </w:p>
    <w:p w14:paraId="47A87A2E">
      <w:pPr>
        <w:autoSpaceDE w:val="0"/>
        <w:autoSpaceDN w:val="0"/>
        <w:adjustRightInd w:val="0"/>
        <w:spacing w:before="120" w:beforeLines="50" w:line="360" w:lineRule="auto"/>
        <w:jc w:val="center"/>
        <w:outlineLvl w:val="2"/>
        <w:rPr>
          <w:rFonts w:hint="eastAsia" w:ascii="宋体" w:hAnsi="宋体" w:eastAsia="宋体" w:cs="宋体"/>
          <w:b/>
          <w:bCs/>
          <w:color w:val="auto"/>
          <w:sz w:val="30"/>
          <w:szCs w:val="30"/>
          <w:highlight w:val="none"/>
          <w:lang w:eastAsia="zh-CN"/>
        </w:rPr>
      </w:pPr>
      <w:bookmarkStart w:id="663" w:name="_Toc29722"/>
      <w:r>
        <w:rPr>
          <w:rFonts w:hint="eastAsia" w:ascii="宋体" w:hAnsi="宋体" w:eastAsia="宋体" w:cs="宋体"/>
          <w:b/>
          <w:color w:val="auto"/>
          <w:kern w:val="0"/>
          <w:sz w:val="30"/>
          <w:szCs w:val="30"/>
          <w:highlight w:val="none"/>
          <w:lang w:bidi="ar"/>
        </w:rPr>
        <w:t>车辆配置清单</w:t>
      </w:r>
      <w:bookmarkEnd w:id="663"/>
    </w:p>
    <w:p w14:paraId="7511ADBF">
      <w:pPr>
        <w:pStyle w:val="32"/>
        <w:widowControl w:val="0"/>
        <w:autoSpaceDE w:val="0"/>
        <w:snapToGrid w:val="0"/>
        <w:spacing w:before="0" w:beforeAutospacing="0" w:after="0" w:afterAutospacing="0" w:line="360" w:lineRule="auto"/>
        <w:jc w:val="both"/>
        <w:rPr>
          <w:rFonts w:hint="eastAsia" w:eastAsia="宋体" w:cs="宋体"/>
          <w:b/>
          <w:bCs/>
          <w:color w:val="auto"/>
          <w:kern w:val="0"/>
          <w:sz w:val="21"/>
          <w:szCs w:val="21"/>
          <w:highlight w:val="none"/>
          <w:lang w:bidi="ar"/>
        </w:rPr>
      </w:pPr>
      <w:r>
        <w:rPr>
          <w:rFonts w:hint="eastAsia" w:eastAsia="宋体" w:cs="宋体"/>
          <w:b/>
          <w:bCs/>
          <w:color w:val="auto"/>
          <w:kern w:val="0"/>
          <w:sz w:val="21"/>
          <w:szCs w:val="21"/>
          <w:highlight w:val="none"/>
          <w:lang w:bidi="ar"/>
        </w:rPr>
        <w:t>项目名称：</w:t>
      </w:r>
      <w:r>
        <w:rPr>
          <w:rFonts w:hint="eastAsia" w:eastAsia="宋体" w:cs="宋体"/>
          <w:b/>
          <w:bCs/>
          <w:color w:val="auto"/>
          <w:kern w:val="0"/>
          <w:sz w:val="21"/>
          <w:szCs w:val="21"/>
          <w:highlight w:val="none"/>
          <w:u w:val="none"/>
          <w:lang w:eastAsia="zh-CN" w:bidi="ar"/>
        </w:rPr>
        <w:t>东莞市水务环境投资控股集团管网有限公司2026年防撞缓冲车采购项目（第四次招标）</w:t>
      </w:r>
    </w:p>
    <w:p w14:paraId="44AC18B9">
      <w:pPr>
        <w:pStyle w:val="32"/>
        <w:widowControl w:val="0"/>
        <w:autoSpaceDE w:val="0"/>
        <w:snapToGrid w:val="0"/>
        <w:spacing w:before="0" w:beforeAutospacing="0" w:after="0" w:afterAutospacing="0" w:line="360" w:lineRule="auto"/>
        <w:jc w:val="both"/>
        <w:rPr>
          <w:rFonts w:hint="eastAsia" w:eastAsia="宋体" w:cs="宋体"/>
          <w:color w:val="auto"/>
          <w:sz w:val="21"/>
          <w:szCs w:val="21"/>
          <w:highlight w:val="none"/>
          <w:u w:val="single"/>
          <w:lang w:val="en-US" w:eastAsia="zh-CN"/>
        </w:rPr>
      </w:pPr>
      <w:r>
        <w:rPr>
          <w:rFonts w:hint="eastAsia" w:eastAsia="宋体" w:cs="宋体"/>
          <w:b/>
          <w:color w:val="auto"/>
          <w:kern w:val="0"/>
          <w:sz w:val="21"/>
          <w:szCs w:val="21"/>
          <w:highlight w:val="none"/>
          <w:lang w:eastAsia="zh-CN" w:bidi="ar"/>
        </w:rPr>
        <w:t>招标编号：TC269400L</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130"/>
        <w:gridCol w:w="2340"/>
        <w:gridCol w:w="2422"/>
        <w:gridCol w:w="1302"/>
        <w:gridCol w:w="1302"/>
      </w:tblGrid>
      <w:tr w14:paraId="1689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5FDC355">
            <w:pPr>
              <w:autoSpaceDE w:val="0"/>
              <w:autoSpaceDN w:val="0"/>
              <w:adjustRightInd w:val="0"/>
              <w:snapToGrid w:val="0"/>
              <w:jc w:val="center"/>
              <w:rPr>
                <w:rFonts w:ascii="宋体" w:hAnsi="宋体" w:eastAsia="宋体" w:cs="宋体"/>
                <w:b/>
                <w:color w:val="auto"/>
                <w:szCs w:val="21"/>
                <w:highlight w:val="none"/>
              </w:rPr>
            </w:pPr>
            <w:r>
              <w:rPr>
                <w:rFonts w:hint="eastAsia" w:ascii="宋体" w:hAnsi="宋体" w:eastAsia="宋体" w:cs="宋体"/>
                <w:b/>
                <w:color w:val="auto"/>
                <w:szCs w:val="21"/>
                <w:highlight w:val="none"/>
                <w:lang w:bidi="ar"/>
              </w:rPr>
              <w:t>序号</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14:paraId="2F62F8E8">
            <w:pPr>
              <w:autoSpaceDE w:val="0"/>
              <w:autoSpaceDN w:val="0"/>
              <w:adjustRightInd w:val="0"/>
              <w:snapToGrid w:val="0"/>
              <w:jc w:val="center"/>
              <w:rPr>
                <w:rFonts w:ascii="宋体" w:hAnsi="宋体" w:eastAsia="宋体" w:cs="宋体"/>
                <w:b/>
                <w:color w:val="auto"/>
                <w:szCs w:val="21"/>
                <w:highlight w:val="none"/>
              </w:rPr>
            </w:pPr>
            <w:r>
              <w:rPr>
                <w:rFonts w:hint="eastAsia" w:ascii="宋体" w:hAnsi="宋体" w:eastAsia="宋体" w:cs="宋体"/>
                <w:b/>
                <w:color w:val="auto"/>
                <w:szCs w:val="21"/>
                <w:highlight w:val="none"/>
                <w:lang w:bidi="ar"/>
              </w:rPr>
              <w:t>车辆类型</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14:paraId="64DB276B">
            <w:pPr>
              <w:autoSpaceDE w:val="0"/>
              <w:autoSpaceDN w:val="0"/>
              <w:adjustRightInd w:val="0"/>
              <w:snapToGrid w:val="0"/>
              <w:jc w:val="center"/>
              <w:rPr>
                <w:rFonts w:ascii="宋体" w:hAnsi="宋体" w:eastAsia="宋体" w:cs="宋体"/>
                <w:b/>
                <w:color w:val="auto"/>
                <w:szCs w:val="21"/>
                <w:highlight w:val="none"/>
              </w:rPr>
            </w:pPr>
            <w:r>
              <w:rPr>
                <w:rFonts w:hint="eastAsia" w:ascii="宋体" w:hAnsi="宋体" w:eastAsia="宋体" w:cs="宋体"/>
                <w:b/>
                <w:color w:val="auto"/>
                <w:szCs w:val="21"/>
                <w:highlight w:val="none"/>
                <w:lang w:bidi="ar"/>
              </w:rPr>
              <w:t>配套设备名称</w:t>
            </w:r>
          </w:p>
        </w:tc>
        <w:tc>
          <w:tcPr>
            <w:tcW w:w="2422" w:type="dxa"/>
            <w:tcBorders>
              <w:top w:val="single" w:color="auto" w:sz="4" w:space="0"/>
              <w:left w:val="single" w:color="auto" w:sz="4" w:space="0"/>
              <w:bottom w:val="single" w:color="auto" w:sz="4" w:space="0"/>
              <w:right w:val="single" w:color="auto" w:sz="4" w:space="0"/>
            </w:tcBorders>
            <w:shd w:val="clear" w:color="auto" w:fill="auto"/>
            <w:vAlign w:val="center"/>
          </w:tcPr>
          <w:p w14:paraId="28110E0E">
            <w:pPr>
              <w:autoSpaceDE w:val="0"/>
              <w:autoSpaceDN w:val="0"/>
              <w:adjustRightInd w:val="0"/>
              <w:snapToGrid w:val="0"/>
              <w:jc w:val="center"/>
              <w:rPr>
                <w:rFonts w:ascii="宋体" w:hAnsi="宋体" w:eastAsia="宋体" w:cs="宋体"/>
                <w:b/>
                <w:color w:val="auto"/>
                <w:szCs w:val="21"/>
                <w:highlight w:val="none"/>
              </w:rPr>
            </w:pPr>
            <w:r>
              <w:rPr>
                <w:rFonts w:hint="eastAsia" w:ascii="宋体" w:hAnsi="宋体" w:eastAsia="宋体" w:cs="宋体"/>
                <w:b/>
                <w:color w:val="auto"/>
                <w:szCs w:val="21"/>
                <w:highlight w:val="none"/>
                <w:lang w:bidi="ar"/>
              </w:rPr>
              <w:t>品牌/规格/型号</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13692278">
            <w:pPr>
              <w:autoSpaceDE w:val="0"/>
              <w:autoSpaceDN w:val="0"/>
              <w:adjustRightInd w:val="0"/>
              <w:snapToGrid w:val="0"/>
              <w:jc w:val="center"/>
              <w:rPr>
                <w:rFonts w:ascii="宋体" w:hAnsi="宋体" w:eastAsia="宋体" w:cs="宋体"/>
                <w:b/>
                <w:color w:val="auto"/>
                <w:szCs w:val="21"/>
                <w:highlight w:val="none"/>
                <w:lang w:bidi="ar"/>
              </w:rPr>
            </w:pPr>
            <w:r>
              <w:rPr>
                <w:rFonts w:hint="eastAsia" w:ascii="宋体" w:hAnsi="宋体" w:eastAsia="宋体" w:cs="宋体"/>
                <w:b/>
                <w:color w:val="auto"/>
                <w:szCs w:val="21"/>
                <w:highlight w:val="none"/>
                <w:lang w:bidi="ar"/>
              </w:rPr>
              <w:t>单位</w:t>
            </w: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250B0556">
            <w:pPr>
              <w:autoSpaceDE w:val="0"/>
              <w:autoSpaceDN w:val="0"/>
              <w:adjustRightInd w:val="0"/>
              <w:snapToGrid w:val="0"/>
              <w:jc w:val="center"/>
              <w:rPr>
                <w:rFonts w:ascii="宋体" w:hAnsi="宋体" w:eastAsia="宋体" w:cs="宋体"/>
                <w:b/>
                <w:color w:val="auto"/>
                <w:szCs w:val="21"/>
                <w:highlight w:val="none"/>
                <w:lang w:bidi="ar"/>
              </w:rPr>
            </w:pPr>
            <w:r>
              <w:rPr>
                <w:rFonts w:hint="eastAsia" w:ascii="宋体" w:hAnsi="宋体" w:eastAsia="宋体" w:cs="宋体"/>
                <w:b/>
                <w:color w:val="auto"/>
                <w:szCs w:val="21"/>
                <w:highlight w:val="none"/>
                <w:lang w:bidi="ar"/>
              </w:rPr>
              <w:t>数量</w:t>
            </w:r>
          </w:p>
        </w:tc>
      </w:tr>
      <w:tr w14:paraId="63E5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tcBorders>
              <w:top w:val="nil"/>
              <w:left w:val="single" w:color="auto" w:sz="4" w:space="0"/>
              <w:bottom w:val="single" w:color="auto" w:sz="4" w:space="0"/>
              <w:right w:val="single" w:color="auto" w:sz="4" w:space="0"/>
            </w:tcBorders>
            <w:shd w:val="clear" w:color="auto" w:fill="auto"/>
            <w:vAlign w:val="center"/>
          </w:tcPr>
          <w:p w14:paraId="3F8D671E">
            <w:pPr>
              <w:autoSpaceDE w:val="0"/>
              <w:autoSpaceDN w:val="0"/>
              <w:adjustRightInd w:val="0"/>
              <w:snapToGrid w:val="0"/>
              <w:spacing w:line="36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lang w:bidi="ar"/>
              </w:rPr>
              <w:t>1</w:t>
            </w:r>
          </w:p>
        </w:tc>
        <w:tc>
          <w:tcPr>
            <w:tcW w:w="2130" w:type="dxa"/>
            <w:vMerge w:val="restart"/>
            <w:tcBorders>
              <w:top w:val="nil"/>
              <w:left w:val="single" w:color="auto" w:sz="4" w:space="0"/>
              <w:bottom w:val="single" w:color="auto" w:sz="4" w:space="0"/>
              <w:right w:val="single" w:color="auto" w:sz="4" w:space="0"/>
            </w:tcBorders>
            <w:shd w:val="clear" w:color="auto" w:fill="auto"/>
            <w:vAlign w:val="center"/>
          </w:tcPr>
          <w:p w14:paraId="372314CC">
            <w:pPr>
              <w:autoSpaceDE w:val="0"/>
              <w:autoSpaceDN w:val="0"/>
              <w:adjustRightInd w:val="0"/>
              <w:snapToGrid w:val="0"/>
              <w:spacing w:line="360" w:lineRule="auto"/>
              <w:jc w:val="center"/>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防撞缓冲车</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14:paraId="1827FF2E">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2422" w:type="dxa"/>
            <w:tcBorders>
              <w:top w:val="single" w:color="auto" w:sz="4" w:space="0"/>
              <w:left w:val="single" w:color="auto" w:sz="4" w:space="0"/>
              <w:bottom w:val="single" w:color="auto" w:sz="4" w:space="0"/>
              <w:right w:val="single" w:color="auto" w:sz="4" w:space="0"/>
            </w:tcBorders>
            <w:shd w:val="clear" w:color="auto" w:fill="auto"/>
            <w:vAlign w:val="center"/>
          </w:tcPr>
          <w:p w14:paraId="51E6DFA0">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03FA347F">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24C310FF">
            <w:pPr>
              <w:autoSpaceDE w:val="0"/>
              <w:autoSpaceDN w:val="0"/>
              <w:adjustRightInd w:val="0"/>
              <w:snapToGrid w:val="0"/>
              <w:spacing w:line="360" w:lineRule="auto"/>
              <w:jc w:val="center"/>
              <w:rPr>
                <w:rFonts w:ascii="宋体" w:hAnsi="宋体" w:eastAsia="宋体" w:cs="宋体"/>
                <w:b/>
                <w:color w:val="auto"/>
                <w:szCs w:val="21"/>
                <w:highlight w:val="none"/>
              </w:rPr>
            </w:pPr>
          </w:p>
        </w:tc>
      </w:tr>
      <w:tr w14:paraId="2F29D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tcBorders>
              <w:top w:val="nil"/>
              <w:left w:val="single" w:color="auto" w:sz="4" w:space="0"/>
              <w:bottom w:val="single" w:color="auto" w:sz="4" w:space="0"/>
              <w:right w:val="single" w:color="auto" w:sz="4" w:space="0"/>
            </w:tcBorders>
            <w:shd w:val="clear" w:color="auto" w:fill="auto"/>
            <w:vAlign w:val="center"/>
          </w:tcPr>
          <w:p w14:paraId="3F6ABF5E">
            <w:pPr>
              <w:rPr>
                <w:rFonts w:ascii="Calibri" w:hAnsi="Calibri" w:eastAsia="宋体" w:cs="Times New Roman"/>
                <w:color w:val="auto"/>
                <w:szCs w:val="21"/>
                <w:highlight w:val="none"/>
              </w:rPr>
            </w:pPr>
          </w:p>
        </w:tc>
        <w:tc>
          <w:tcPr>
            <w:tcW w:w="2130" w:type="dxa"/>
            <w:vMerge w:val="continue"/>
            <w:tcBorders>
              <w:top w:val="nil"/>
              <w:left w:val="single" w:color="auto" w:sz="4" w:space="0"/>
              <w:bottom w:val="single" w:color="auto" w:sz="4" w:space="0"/>
              <w:right w:val="single" w:color="auto" w:sz="4" w:space="0"/>
            </w:tcBorders>
            <w:shd w:val="clear" w:color="auto" w:fill="auto"/>
            <w:vAlign w:val="center"/>
          </w:tcPr>
          <w:p w14:paraId="4A655961">
            <w:pPr>
              <w:rPr>
                <w:rFonts w:ascii="Calibri" w:hAnsi="Calibri" w:eastAsia="宋体" w:cs="Times New Roman"/>
                <w:color w:val="auto"/>
                <w:szCs w:val="21"/>
                <w:highlight w:val="none"/>
              </w:rPr>
            </w:pP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14:paraId="781D2DEC">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2422" w:type="dxa"/>
            <w:tcBorders>
              <w:top w:val="single" w:color="auto" w:sz="4" w:space="0"/>
              <w:left w:val="single" w:color="auto" w:sz="4" w:space="0"/>
              <w:bottom w:val="single" w:color="auto" w:sz="4" w:space="0"/>
              <w:right w:val="single" w:color="auto" w:sz="4" w:space="0"/>
            </w:tcBorders>
            <w:shd w:val="clear" w:color="auto" w:fill="auto"/>
            <w:vAlign w:val="center"/>
          </w:tcPr>
          <w:p w14:paraId="12B520BC">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79BA717A">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282D674C">
            <w:pPr>
              <w:autoSpaceDE w:val="0"/>
              <w:autoSpaceDN w:val="0"/>
              <w:adjustRightInd w:val="0"/>
              <w:snapToGrid w:val="0"/>
              <w:spacing w:line="360" w:lineRule="auto"/>
              <w:jc w:val="center"/>
              <w:rPr>
                <w:rFonts w:ascii="宋体" w:hAnsi="宋体" w:eastAsia="宋体" w:cs="宋体"/>
                <w:b/>
                <w:color w:val="auto"/>
                <w:szCs w:val="21"/>
                <w:highlight w:val="none"/>
              </w:rPr>
            </w:pPr>
          </w:p>
        </w:tc>
      </w:tr>
      <w:tr w14:paraId="3265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tcBorders>
              <w:top w:val="nil"/>
              <w:left w:val="single" w:color="auto" w:sz="4" w:space="0"/>
              <w:bottom w:val="single" w:color="auto" w:sz="4" w:space="0"/>
              <w:right w:val="single" w:color="auto" w:sz="4" w:space="0"/>
            </w:tcBorders>
            <w:shd w:val="clear" w:color="auto" w:fill="auto"/>
            <w:vAlign w:val="center"/>
          </w:tcPr>
          <w:p w14:paraId="1D22B8CE">
            <w:pPr>
              <w:rPr>
                <w:rFonts w:ascii="Calibri" w:hAnsi="Calibri" w:eastAsia="宋体" w:cs="Times New Roman"/>
                <w:color w:val="auto"/>
                <w:szCs w:val="21"/>
                <w:highlight w:val="none"/>
              </w:rPr>
            </w:pPr>
          </w:p>
        </w:tc>
        <w:tc>
          <w:tcPr>
            <w:tcW w:w="2130" w:type="dxa"/>
            <w:vMerge w:val="continue"/>
            <w:tcBorders>
              <w:top w:val="nil"/>
              <w:left w:val="single" w:color="auto" w:sz="4" w:space="0"/>
              <w:bottom w:val="single" w:color="auto" w:sz="4" w:space="0"/>
              <w:right w:val="single" w:color="auto" w:sz="4" w:space="0"/>
            </w:tcBorders>
            <w:shd w:val="clear" w:color="auto" w:fill="auto"/>
            <w:vAlign w:val="center"/>
          </w:tcPr>
          <w:p w14:paraId="7CE8118A">
            <w:pPr>
              <w:rPr>
                <w:rFonts w:ascii="Calibri" w:hAnsi="Calibri" w:eastAsia="宋体" w:cs="Times New Roman"/>
                <w:color w:val="auto"/>
                <w:szCs w:val="21"/>
                <w:highlight w:val="none"/>
              </w:rPr>
            </w:pP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14:paraId="53AD5A7B">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2422" w:type="dxa"/>
            <w:tcBorders>
              <w:top w:val="single" w:color="auto" w:sz="4" w:space="0"/>
              <w:left w:val="single" w:color="auto" w:sz="4" w:space="0"/>
              <w:bottom w:val="single" w:color="auto" w:sz="4" w:space="0"/>
              <w:right w:val="single" w:color="auto" w:sz="4" w:space="0"/>
            </w:tcBorders>
            <w:shd w:val="clear" w:color="auto" w:fill="auto"/>
            <w:vAlign w:val="center"/>
          </w:tcPr>
          <w:p w14:paraId="4152D4DC">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1E695065">
            <w:pPr>
              <w:autoSpaceDE w:val="0"/>
              <w:autoSpaceDN w:val="0"/>
              <w:adjustRightInd w:val="0"/>
              <w:snapToGrid w:val="0"/>
              <w:spacing w:line="360" w:lineRule="auto"/>
              <w:jc w:val="center"/>
              <w:rPr>
                <w:rFonts w:ascii="宋体" w:hAnsi="宋体" w:eastAsia="宋体" w:cs="宋体"/>
                <w:b/>
                <w:color w:val="auto"/>
                <w:szCs w:val="21"/>
                <w:highlight w:val="none"/>
              </w:rPr>
            </w:pPr>
          </w:p>
        </w:tc>
        <w:tc>
          <w:tcPr>
            <w:tcW w:w="1302" w:type="dxa"/>
            <w:tcBorders>
              <w:top w:val="single" w:color="auto" w:sz="4" w:space="0"/>
              <w:left w:val="single" w:color="auto" w:sz="4" w:space="0"/>
              <w:bottom w:val="single" w:color="auto" w:sz="4" w:space="0"/>
              <w:right w:val="single" w:color="auto" w:sz="4" w:space="0"/>
            </w:tcBorders>
            <w:shd w:val="clear" w:color="auto" w:fill="auto"/>
            <w:vAlign w:val="center"/>
          </w:tcPr>
          <w:p w14:paraId="3F822D0D">
            <w:pPr>
              <w:autoSpaceDE w:val="0"/>
              <w:autoSpaceDN w:val="0"/>
              <w:adjustRightInd w:val="0"/>
              <w:snapToGrid w:val="0"/>
              <w:spacing w:line="360" w:lineRule="auto"/>
              <w:jc w:val="center"/>
              <w:rPr>
                <w:rFonts w:ascii="宋体" w:hAnsi="宋体" w:eastAsia="宋体" w:cs="宋体"/>
                <w:b/>
                <w:color w:val="auto"/>
                <w:szCs w:val="21"/>
                <w:highlight w:val="none"/>
              </w:rPr>
            </w:pPr>
          </w:p>
        </w:tc>
      </w:tr>
    </w:tbl>
    <w:p w14:paraId="2390A6CA">
      <w:pPr>
        <w:autoSpaceDE w:val="0"/>
        <w:autoSpaceDN w:val="0"/>
        <w:adjustRightInd w:val="0"/>
        <w:snapToGrid w:val="0"/>
        <w:spacing w:line="360" w:lineRule="auto"/>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备注：（1）此表为单台（辆）车辆的配置清单明细表。</w:t>
      </w:r>
    </w:p>
    <w:p w14:paraId="0F5D29FC">
      <w:pPr>
        <w:autoSpaceDE w:val="0"/>
        <w:autoSpaceDN w:val="0"/>
        <w:adjustRightInd w:val="0"/>
        <w:snapToGrid w:val="0"/>
        <w:spacing w:line="360" w:lineRule="auto"/>
        <w:ind w:firstLine="632" w:firstLineChars="300"/>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（2）投标人根据所投产品的实际情况如实填写本表。</w:t>
      </w:r>
    </w:p>
    <w:p w14:paraId="33130C94">
      <w:pPr>
        <w:autoSpaceDE w:val="0"/>
        <w:autoSpaceDN w:val="0"/>
        <w:adjustRightInd w:val="0"/>
        <w:snapToGrid w:val="0"/>
        <w:spacing w:line="360" w:lineRule="auto"/>
        <w:ind w:firstLine="632" w:firstLineChars="300"/>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（3）填写内容包括但不限于组成实现用户需求书车辆所需功能的底盘</w:t>
      </w:r>
      <w:r>
        <w:rPr>
          <w:rFonts w:hint="eastAsia" w:ascii="宋体" w:hAnsi="宋体" w:eastAsia="宋体" w:cs="宋体"/>
          <w:b/>
          <w:color w:val="auto"/>
          <w:kern w:val="0"/>
          <w:szCs w:val="21"/>
          <w:highlight w:val="none"/>
          <w:lang w:val="en-US" w:eastAsia="zh-CN" w:bidi="ar"/>
        </w:rPr>
        <w:t>型号</w:t>
      </w:r>
      <w:r>
        <w:rPr>
          <w:rFonts w:hint="eastAsia" w:ascii="宋体" w:hAnsi="宋体" w:eastAsia="宋体" w:cs="宋体"/>
          <w:b/>
          <w:color w:val="auto"/>
          <w:kern w:val="0"/>
          <w:szCs w:val="21"/>
          <w:highlight w:val="none"/>
          <w:lang w:bidi="ar"/>
        </w:rPr>
        <w:t>、</w:t>
      </w:r>
      <w:r>
        <w:rPr>
          <w:rFonts w:hint="eastAsia" w:ascii="宋体" w:hAnsi="宋体" w:eastAsia="宋体" w:cs="宋体"/>
          <w:b/>
          <w:color w:val="auto"/>
          <w:kern w:val="0"/>
          <w:szCs w:val="21"/>
          <w:highlight w:val="none"/>
          <w:lang w:val="en-US" w:eastAsia="zh-CN" w:bidi="ar"/>
        </w:rPr>
        <w:t>发动机型号</w:t>
      </w:r>
      <w:r>
        <w:rPr>
          <w:rFonts w:hint="eastAsia" w:ascii="宋体" w:hAnsi="宋体" w:eastAsia="宋体" w:cs="宋体"/>
          <w:b/>
          <w:color w:val="auto"/>
          <w:kern w:val="0"/>
          <w:szCs w:val="21"/>
          <w:highlight w:val="none"/>
          <w:lang w:bidi="ar"/>
        </w:rPr>
        <w:t>、</w:t>
      </w:r>
      <w:r>
        <w:rPr>
          <w:rFonts w:hint="eastAsia" w:ascii="宋体" w:hAnsi="宋体" w:eastAsia="宋体" w:cs="宋体"/>
          <w:b/>
          <w:color w:val="auto"/>
          <w:kern w:val="0"/>
          <w:szCs w:val="21"/>
          <w:highlight w:val="none"/>
          <w:lang w:val="en-US" w:eastAsia="zh-CN" w:bidi="ar"/>
        </w:rPr>
        <w:t>空调等</w:t>
      </w:r>
      <w:r>
        <w:rPr>
          <w:rFonts w:hint="eastAsia" w:ascii="宋体" w:hAnsi="宋体" w:eastAsia="宋体" w:cs="宋体"/>
          <w:b/>
          <w:color w:val="auto"/>
          <w:kern w:val="0"/>
          <w:szCs w:val="21"/>
          <w:highlight w:val="none"/>
          <w:lang w:bidi="ar"/>
        </w:rPr>
        <w:t>。</w:t>
      </w:r>
    </w:p>
    <w:p w14:paraId="668ABF16">
      <w:pPr>
        <w:autoSpaceDE w:val="0"/>
        <w:autoSpaceDN w:val="0"/>
        <w:adjustRightInd w:val="0"/>
        <w:snapToGrid w:val="0"/>
        <w:spacing w:line="360" w:lineRule="auto"/>
        <w:ind w:firstLine="632" w:firstLineChars="300"/>
        <w:rPr>
          <w:rFonts w:ascii="宋体" w:hAnsi="宋体" w:eastAsia="宋体" w:cs="宋体"/>
          <w:b/>
          <w:color w:val="auto"/>
          <w:szCs w:val="21"/>
          <w:highlight w:val="none"/>
        </w:rPr>
      </w:pPr>
      <w:r>
        <w:rPr>
          <w:rFonts w:hint="eastAsia" w:ascii="宋体" w:hAnsi="宋体" w:eastAsia="宋体" w:cs="宋体"/>
          <w:b/>
          <w:color w:val="auto"/>
          <w:kern w:val="0"/>
          <w:szCs w:val="21"/>
          <w:highlight w:val="none"/>
          <w:lang w:bidi="ar"/>
        </w:rPr>
        <w:t xml:space="preserve"> </w:t>
      </w:r>
    </w:p>
    <w:p w14:paraId="0A094990">
      <w:pPr>
        <w:autoSpaceDE w:val="0"/>
        <w:autoSpaceDN w:val="0"/>
        <w:adjustRightInd w:val="0"/>
        <w:spacing w:line="360" w:lineRule="auto"/>
        <w:ind w:firstLine="5040"/>
        <w:rPr>
          <w:rFonts w:ascii="宋体" w:hAnsi="宋体" w:eastAsia="宋体" w:cs="宋体"/>
          <w:color w:val="auto"/>
          <w:szCs w:val="21"/>
          <w:highlight w:val="none"/>
        </w:rPr>
      </w:pPr>
      <w:r>
        <w:rPr>
          <w:rFonts w:hint="eastAsia" w:ascii="宋体" w:hAnsi="宋体" w:eastAsia="宋体" w:cs="宋体"/>
          <w:color w:val="auto"/>
          <w:szCs w:val="21"/>
          <w:highlight w:val="none"/>
          <w:lang w:bidi="ar"/>
        </w:rPr>
        <w:t>投标人：（加盖投标人法人公章）</w:t>
      </w:r>
    </w:p>
    <w:p w14:paraId="7F2E0581">
      <w:pPr>
        <w:autoSpaceDE w:val="0"/>
        <w:autoSpaceDN w:val="0"/>
        <w:adjustRightInd w:val="0"/>
        <w:spacing w:line="360" w:lineRule="auto"/>
        <w:ind w:firstLine="5040"/>
        <w:jc w:val="left"/>
        <w:outlineLvl w:val="9"/>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法定代表人或其授权代表签名（或盖私章）：</w:t>
      </w:r>
    </w:p>
    <w:p w14:paraId="3A03B85A">
      <w:pPr>
        <w:autoSpaceDE w:val="0"/>
        <w:autoSpaceDN w:val="0"/>
        <w:adjustRightInd w:val="0"/>
        <w:snapToGrid/>
        <w:spacing w:line="360" w:lineRule="auto"/>
        <w:ind w:left="0" w:leftChars="0" w:firstLine="5040" w:firstLineChars="0"/>
        <w:jc w:val="left"/>
        <w:rPr>
          <w:rFonts w:ascii="宋体" w:hAnsi="宋体" w:eastAsia="宋体" w:cs="Times New Roman"/>
          <w:color w:val="auto"/>
          <w:kern w:val="0"/>
          <w:szCs w:val="21"/>
          <w:highlight w:val="none"/>
          <w:lang w:val="zh-CN"/>
        </w:rPr>
      </w:pPr>
      <w:r>
        <w:rPr>
          <w:rFonts w:hint="eastAsia" w:ascii="宋体" w:hAnsi="宋体" w:eastAsia="宋体" w:cs="宋体"/>
          <w:color w:val="auto"/>
          <w:szCs w:val="21"/>
          <w:highlight w:val="none"/>
          <w:lang w:bidi="ar"/>
        </w:rPr>
        <w:t>日期：   年   月   日</w:t>
      </w:r>
      <w:bookmarkEnd w:id="647"/>
      <w:bookmarkEnd w:id="648"/>
      <w:bookmarkEnd w:id="649"/>
      <w:bookmarkEnd w:id="650"/>
      <w:bookmarkEnd w:id="651"/>
      <w:bookmarkEnd w:id="652"/>
      <w:bookmarkEnd w:id="653"/>
      <w:bookmarkEnd w:id="654"/>
    </w:p>
    <w:p w14:paraId="5ADB926C">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p>
    <w:p w14:paraId="5DA9CCE2">
      <w:pPr>
        <w:widowControl/>
        <w:jc w:val="left"/>
        <w:rPr>
          <w:rFonts w:ascii="宋体" w:hAnsi="宋体" w:eastAsia="宋体" w:cs="Times New Roman"/>
          <w:color w:val="auto"/>
          <w:kern w:val="0"/>
          <w:szCs w:val="21"/>
          <w:highlight w:val="none"/>
        </w:rPr>
      </w:pPr>
      <w:bookmarkStart w:id="664" w:name="_Toc94107225"/>
      <w:r>
        <w:rPr>
          <w:rFonts w:ascii="宋体" w:hAnsi="宋体" w:eastAsia="宋体" w:cs="Times New Roman"/>
          <w:color w:val="auto"/>
          <w:kern w:val="0"/>
          <w:szCs w:val="21"/>
          <w:highlight w:val="none"/>
        </w:rPr>
        <w:br w:type="page"/>
      </w:r>
    </w:p>
    <w:bookmarkEnd w:id="664"/>
    <w:p w14:paraId="3785ECD4">
      <w:pPr>
        <w:autoSpaceDE w:val="0"/>
        <w:autoSpaceDN w:val="0"/>
        <w:adjustRightInd w:val="0"/>
        <w:spacing w:line="360" w:lineRule="auto"/>
        <w:jc w:val="left"/>
        <w:outlineLvl w:val="2"/>
        <w:rPr>
          <w:rFonts w:ascii="宋体" w:hAnsi="宋体" w:eastAsia="宋体" w:cs="宋体"/>
          <w:b/>
          <w:color w:val="auto"/>
          <w:kern w:val="0"/>
          <w:sz w:val="30"/>
          <w:szCs w:val="30"/>
          <w:highlight w:val="none"/>
          <w:lang w:bidi="ar"/>
        </w:rPr>
      </w:pPr>
      <w:bookmarkStart w:id="665" w:name="_Toc27219"/>
      <w:bookmarkStart w:id="666" w:name="_Toc169169456"/>
      <w:bookmarkStart w:id="667" w:name="_Toc140596949"/>
      <w:bookmarkStart w:id="668" w:name="_Toc104991896"/>
      <w:bookmarkStart w:id="669" w:name="_Toc102860094"/>
      <w:bookmarkStart w:id="670" w:name="_Toc142508389"/>
      <w:bookmarkStart w:id="671" w:name="_Toc102860438"/>
      <w:bookmarkStart w:id="672" w:name="_Toc533708139"/>
      <w:r>
        <w:rPr>
          <w:rFonts w:hint="eastAsia" w:ascii="宋体" w:hAnsi="宋体" w:eastAsia="宋体" w:cs="宋体"/>
          <w:b/>
          <w:color w:val="auto"/>
          <w:kern w:val="0"/>
          <w:sz w:val="30"/>
          <w:szCs w:val="30"/>
          <w:highlight w:val="none"/>
          <w:lang w:bidi="ar"/>
        </w:rPr>
        <w:t>1</w:t>
      </w:r>
      <w:r>
        <w:rPr>
          <w:rFonts w:hint="eastAsia" w:ascii="宋体" w:hAnsi="宋体" w:eastAsia="宋体" w:cs="宋体"/>
          <w:b/>
          <w:color w:val="auto"/>
          <w:kern w:val="0"/>
          <w:sz w:val="30"/>
          <w:szCs w:val="30"/>
          <w:highlight w:val="none"/>
          <w:lang w:val="en-US" w:eastAsia="zh-CN" w:bidi="ar"/>
        </w:rPr>
        <w:t>4.</w:t>
      </w:r>
      <w:r>
        <w:rPr>
          <w:rFonts w:hint="eastAsia" w:ascii="宋体" w:hAnsi="宋体" w:eastAsia="宋体" w:cs="宋体"/>
          <w:b/>
          <w:color w:val="auto"/>
          <w:kern w:val="0"/>
          <w:sz w:val="30"/>
          <w:szCs w:val="30"/>
          <w:highlight w:val="none"/>
          <w:lang w:bidi="ar"/>
        </w:rPr>
        <w:t>4 零部件保修期限表</w:t>
      </w:r>
      <w:bookmarkEnd w:id="665"/>
      <w:bookmarkEnd w:id="666"/>
    </w:p>
    <w:p w14:paraId="07E710AD">
      <w:pPr>
        <w:widowControl/>
        <w:autoSpaceDE w:val="0"/>
        <w:autoSpaceDN w:val="0"/>
        <w:adjustRightInd w:val="0"/>
        <w:spacing w:line="360" w:lineRule="auto"/>
        <w:jc w:val="left"/>
        <w:outlineLvl w:val="2"/>
        <w:rPr>
          <w:rFonts w:ascii="宋体" w:hAnsi="宋体" w:eastAsia="宋体" w:cs="宋体"/>
          <w:b/>
          <w:bCs/>
          <w:color w:val="auto"/>
          <w:kern w:val="0"/>
          <w:sz w:val="32"/>
          <w:szCs w:val="32"/>
          <w:highlight w:val="none"/>
          <w:lang w:bidi="ar"/>
        </w:rPr>
      </w:pPr>
      <w:bookmarkStart w:id="673" w:name="_Toc12139"/>
      <w:r>
        <w:rPr>
          <w:rFonts w:hint="eastAsia" w:ascii="宋体" w:hAnsi="宋体" w:eastAsia="宋体" w:cs="宋体"/>
          <w:b/>
          <w:bCs/>
          <w:color w:val="auto"/>
          <w:kern w:val="0"/>
          <w:sz w:val="32"/>
          <w:szCs w:val="32"/>
          <w:highlight w:val="none"/>
          <w:lang w:bidi="ar"/>
        </w:rPr>
        <w:t>1</w:t>
      </w:r>
      <w:r>
        <w:rPr>
          <w:rFonts w:hint="eastAsia" w:ascii="宋体" w:hAnsi="宋体" w:eastAsia="宋体" w:cs="宋体"/>
          <w:b/>
          <w:bCs/>
          <w:color w:val="auto"/>
          <w:kern w:val="0"/>
          <w:sz w:val="32"/>
          <w:szCs w:val="32"/>
          <w:highlight w:val="none"/>
          <w:lang w:val="en-US" w:eastAsia="zh-CN" w:bidi="ar"/>
        </w:rPr>
        <w:t>4.</w:t>
      </w:r>
      <w:r>
        <w:rPr>
          <w:rFonts w:hint="eastAsia" w:ascii="宋体" w:hAnsi="宋体" w:eastAsia="宋体" w:cs="宋体"/>
          <w:b/>
          <w:bCs/>
          <w:color w:val="auto"/>
          <w:kern w:val="0"/>
          <w:sz w:val="32"/>
          <w:szCs w:val="32"/>
          <w:highlight w:val="none"/>
          <w:lang w:bidi="ar"/>
        </w:rPr>
        <w:t>4</w:t>
      </w:r>
      <w:r>
        <w:rPr>
          <w:rFonts w:hint="eastAsia" w:ascii="宋体" w:hAnsi="宋体" w:eastAsia="宋体" w:cs="宋体"/>
          <w:b/>
          <w:bCs/>
          <w:color w:val="auto"/>
          <w:kern w:val="0"/>
          <w:sz w:val="32"/>
          <w:szCs w:val="32"/>
          <w:highlight w:val="none"/>
          <w:lang w:val="en-US" w:eastAsia="zh-CN" w:bidi="ar"/>
        </w:rPr>
        <w:t>.</w:t>
      </w:r>
      <w:r>
        <w:rPr>
          <w:rFonts w:hint="eastAsia" w:ascii="宋体" w:hAnsi="宋体" w:eastAsia="宋体" w:cs="宋体"/>
          <w:b/>
          <w:bCs/>
          <w:color w:val="auto"/>
          <w:kern w:val="0"/>
          <w:sz w:val="32"/>
          <w:szCs w:val="32"/>
          <w:highlight w:val="none"/>
          <w:lang w:bidi="ar"/>
        </w:rPr>
        <w:t xml:space="preserve">1 </w:t>
      </w:r>
      <w:r>
        <w:rPr>
          <w:rFonts w:hint="eastAsia" w:ascii="宋体" w:hAnsi="宋体" w:eastAsia="宋体" w:cs="宋体"/>
          <w:b/>
          <w:color w:val="auto"/>
          <w:sz w:val="32"/>
          <w:szCs w:val="32"/>
          <w:highlight w:val="none"/>
          <w:lang w:bidi="ar"/>
        </w:rPr>
        <w:t>部分零部件保修期限表</w:t>
      </w:r>
      <w:bookmarkEnd w:id="673"/>
    </w:p>
    <w:tbl>
      <w:tblPr>
        <w:tblStyle w:val="36"/>
        <w:tblW w:w="97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9"/>
        <w:gridCol w:w="2100"/>
        <w:gridCol w:w="3440"/>
        <w:gridCol w:w="3122"/>
      </w:tblGrid>
      <w:tr w14:paraId="3C600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04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序号</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21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分类</w:t>
            </w:r>
          </w:p>
        </w:tc>
        <w:tc>
          <w:tcPr>
            <w:tcW w:w="3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9A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易损易耗件名称</w:t>
            </w:r>
          </w:p>
        </w:tc>
        <w:tc>
          <w:tcPr>
            <w:tcW w:w="3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D7D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质保期限</w:t>
            </w:r>
          </w:p>
        </w:tc>
      </w:tr>
      <w:tr w14:paraId="6375A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C173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w:t>
            </w:r>
          </w:p>
        </w:tc>
        <w:tc>
          <w:tcPr>
            <w:tcW w:w="2100" w:type="dxa"/>
            <w:vMerge w:val="restart"/>
            <w:tcBorders>
              <w:top w:val="single" w:color="000000" w:sz="4" w:space="0"/>
              <w:left w:val="single" w:color="000000" w:sz="4" w:space="0"/>
              <w:bottom w:val="nil"/>
              <w:right w:val="single" w:color="000000" w:sz="4" w:space="0"/>
            </w:tcBorders>
            <w:shd w:val="clear" w:color="auto" w:fill="auto"/>
            <w:vAlign w:val="center"/>
          </w:tcPr>
          <w:p w14:paraId="27BA879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承诺质保配置</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06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离合器摩擦片</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C7D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08D04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9DB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2</w:t>
            </w:r>
          </w:p>
        </w:tc>
        <w:tc>
          <w:tcPr>
            <w:tcW w:w="2100" w:type="dxa"/>
            <w:vMerge w:val="continue"/>
            <w:tcBorders>
              <w:top w:val="single" w:color="000000" w:sz="4" w:space="0"/>
              <w:left w:val="single" w:color="000000" w:sz="4" w:space="0"/>
              <w:bottom w:val="nil"/>
              <w:right w:val="single" w:color="000000" w:sz="4" w:space="0"/>
            </w:tcBorders>
            <w:shd w:val="clear" w:color="auto" w:fill="auto"/>
            <w:vAlign w:val="center"/>
          </w:tcPr>
          <w:p w14:paraId="17C0E619">
            <w:pPr>
              <w:jc w:val="center"/>
              <w:rPr>
                <w:rFonts w:hint="eastAsia" w:ascii="宋体" w:hAnsi="宋体" w:eastAsia="宋体" w:cs="宋体"/>
                <w:b/>
                <w:bCs/>
                <w:i w:val="0"/>
                <w:iCs w:val="0"/>
                <w:color w:val="auto"/>
                <w:sz w:val="20"/>
                <w:szCs w:val="20"/>
                <w:highlight w:val="none"/>
                <w:u w:val="none"/>
              </w:rPr>
            </w:pP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C1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制动摩擦片</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882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2A1E9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F7EB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w:t>
            </w:r>
          </w:p>
        </w:tc>
        <w:tc>
          <w:tcPr>
            <w:tcW w:w="2100" w:type="dxa"/>
            <w:vMerge w:val="continue"/>
            <w:tcBorders>
              <w:top w:val="single" w:color="000000" w:sz="4" w:space="0"/>
              <w:left w:val="single" w:color="000000" w:sz="4" w:space="0"/>
              <w:bottom w:val="nil"/>
              <w:right w:val="single" w:color="000000" w:sz="4" w:space="0"/>
            </w:tcBorders>
            <w:shd w:val="clear" w:color="auto" w:fill="auto"/>
            <w:vAlign w:val="center"/>
          </w:tcPr>
          <w:p w14:paraId="755D2AAB">
            <w:pPr>
              <w:jc w:val="center"/>
              <w:rPr>
                <w:rFonts w:hint="eastAsia" w:ascii="宋体" w:hAnsi="宋体" w:eastAsia="宋体" w:cs="宋体"/>
                <w:b/>
                <w:bCs/>
                <w:i w:val="0"/>
                <w:iCs w:val="0"/>
                <w:color w:val="auto"/>
                <w:sz w:val="20"/>
                <w:szCs w:val="20"/>
                <w:highlight w:val="none"/>
                <w:u w:val="none"/>
              </w:rPr>
            </w:pP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2A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启动电瓶</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550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1FC8F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5D02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4</w:t>
            </w:r>
          </w:p>
        </w:tc>
        <w:tc>
          <w:tcPr>
            <w:tcW w:w="2100" w:type="dxa"/>
            <w:vMerge w:val="continue"/>
            <w:tcBorders>
              <w:top w:val="single" w:color="000000" w:sz="4" w:space="0"/>
              <w:left w:val="single" w:color="000000" w:sz="4" w:space="0"/>
              <w:bottom w:val="nil"/>
              <w:right w:val="single" w:color="000000" w:sz="4" w:space="0"/>
            </w:tcBorders>
            <w:shd w:val="clear" w:color="auto" w:fill="auto"/>
            <w:vAlign w:val="center"/>
          </w:tcPr>
          <w:p w14:paraId="737A14A7">
            <w:pPr>
              <w:jc w:val="center"/>
              <w:rPr>
                <w:rFonts w:hint="eastAsia" w:ascii="宋体" w:hAnsi="宋体" w:eastAsia="宋体" w:cs="宋体"/>
                <w:b/>
                <w:bCs/>
                <w:i w:val="0"/>
                <w:iCs w:val="0"/>
                <w:color w:val="auto"/>
                <w:sz w:val="20"/>
                <w:szCs w:val="20"/>
                <w:highlight w:val="none"/>
                <w:u w:val="none"/>
              </w:rPr>
            </w:pPr>
          </w:p>
        </w:tc>
        <w:tc>
          <w:tcPr>
            <w:tcW w:w="3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076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各项照明灯泡部件</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2AE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0562A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9916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5</w:t>
            </w:r>
          </w:p>
        </w:tc>
        <w:tc>
          <w:tcPr>
            <w:tcW w:w="2100" w:type="dxa"/>
            <w:vMerge w:val="continue"/>
            <w:tcBorders>
              <w:top w:val="single" w:color="000000" w:sz="4" w:space="0"/>
              <w:left w:val="single" w:color="000000" w:sz="4" w:space="0"/>
              <w:bottom w:val="nil"/>
              <w:right w:val="single" w:color="000000" w:sz="4" w:space="0"/>
            </w:tcBorders>
            <w:shd w:val="clear" w:color="auto" w:fill="auto"/>
            <w:vAlign w:val="center"/>
          </w:tcPr>
          <w:p w14:paraId="0F7616E8">
            <w:pPr>
              <w:jc w:val="center"/>
              <w:rPr>
                <w:rFonts w:hint="eastAsia" w:ascii="宋体" w:hAnsi="宋体" w:eastAsia="宋体" w:cs="宋体"/>
                <w:b/>
                <w:bCs/>
                <w:i w:val="0"/>
                <w:iCs w:val="0"/>
                <w:color w:val="auto"/>
                <w:sz w:val="20"/>
                <w:szCs w:val="20"/>
                <w:highlight w:val="none"/>
                <w:u w:val="none"/>
              </w:rPr>
            </w:pP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CE6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轮胎（含备胎）</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2E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6个月</w:t>
            </w:r>
          </w:p>
        </w:tc>
      </w:tr>
      <w:tr w14:paraId="410BC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FC8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6</w:t>
            </w:r>
          </w:p>
        </w:tc>
        <w:tc>
          <w:tcPr>
            <w:tcW w:w="2100" w:type="dxa"/>
            <w:vMerge w:val="continue"/>
            <w:tcBorders>
              <w:top w:val="single" w:color="000000" w:sz="4" w:space="0"/>
              <w:left w:val="single" w:color="000000" w:sz="4" w:space="0"/>
              <w:bottom w:val="nil"/>
              <w:right w:val="single" w:color="000000" w:sz="4" w:space="0"/>
            </w:tcBorders>
            <w:shd w:val="clear" w:color="auto" w:fill="auto"/>
            <w:vAlign w:val="center"/>
          </w:tcPr>
          <w:p w14:paraId="392BDDB1">
            <w:pPr>
              <w:jc w:val="center"/>
              <w:rPr>
                <w:rFonts w:hint="eastAsia" w:ascii="宋体" w:hAnsi="宋体" w:eastAsia="宋体" w:cs="宋体"/>
                <w:b/>
                <w:bCs/>
                <w:i w:val="0"/>
                <w:iCs w:val="0"/>
                <w:color w:val="auto"/>
                <w:sz w:val="20"/>
                <w:szCs w:val="20"/>
                <w:highlight w:val="none"/>
                <w:u w:val="none"/>
              </w:rPr>
            </w:pP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FCD2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雨刮片</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E0F2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6个月</w:t>
            </w:r>
          </w:p>
        </w:tc>
      </w:tr>
      <w:tr w14:paraId="025AA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CC9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7</w:t>
            </w:r>
          </w:p>
        </w:tc>
        <w:tc>
          <w:tcPr>
            <w:tcW w:w="2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67045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加装配置</w:t>
            </w: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ABD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倒车影像</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8D49">
            <w:pPr>
              <w:jc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54AC5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0CF8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8</w:t>
            </w:r>
          </w:p>
        </w:tc>
        <w:tc>
          <w:tcPr>
            <w:tcW w:w="2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E5499">
            <w:pPr>
              <w:jc w:val="center"/>
              <w:rPr>
                <w:rFonts w:hint="eastAsia" w:ascii="宋体" w:hAnsi="宋体" w:eastAsia="宋体" w:cs="宋体"/>
                <w:b/>
                <w:bCs/>
                <w:i w:val="0"/>
                <w:iCs w:val="0"/>
                <w:color w:val="auto"/>
                <w:sz w:val="20"/>
                <w:szCs w:val="20"/>
                <w:highlight w:val="none"/>
                <w:u w:val="none"/>
              </w:rPr>
            </w:pP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5E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行车记录仪</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BC2C1">
            <w:pPr>
              <w:jc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r w14:paraId="25AC5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4F51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9</w:t>
            </w:r>
          </w:p>
        </w:tc>
        <w:tc>
          <w:tcPr>
            <w:tcW w:w="2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E789D">
            <w:pPr>
              <w:jc w:val="center"/>
              <w:rPr>
                <w:rFonts w:hint="eastAsia" w:ascii="宋体" w:hAnsi="宋体" w:eastAsia="宋体" w:cs="宋体"/>
                <w:b/>
                <w:bCs/>
                <w:i w:val="0"/>
                <w:iCs w:val="0"/>
                <w:color w:val="auto"/>
                <w:sz w:val="20"/>
                <w:szCs w:val="20"/>
                <w:highlight w:val="none"/>
                <w:u w:val="none"/>
              </w:rPr>
            </w:pPr>
          </w:p>
        </w:tc>
        <w:tc>
          <w:tcPr>
            <w:tcW w:w="3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00D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大型电子安全导向牌</w:t>
            </w:r>
          </w:p>
        </w:tc>
        <w:tc>
          <w:tcPr>
            <w:tcW w:w="3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56AC">
            <w:pPr>
              <w:jc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1年</w:t>
            </w:r>
          </w:p>
        </w:tc>
      </w:tr>
    </w:tbl>
    <w:p w14:paraId="2F0C3956">
      <w:pPr>
        <w:autoSpaceDE w:val="0"/>
        <w:autoSpaceDN w:val="0"/>
        <w:adjustRightInd w:val="0"/>
        <w:snapToGrid w:val="0"/>
        <w:spacing w:line="360" w:lineRule="auto"/>
        <w:ind w:firstLine="210" w:firstLineChars="100"/>
        <w:jc w:val="left"/>
        <w:rPr>
          <w:rFonts w:ascii="宋体" w:hAnsi="宋体" w:eastAsia="宋体" w:cs="宋体"/>
          <w:color w:val="auto"/>
          <w:szCs w:val="21"/>
          <w:highlight w:val="none"/>
        </w:rPr>
      </w:pPr>
    </w:p>
    <w:p w14:paraId="667FA325">
      <w:pPr>
        <w:autoSpaceDE w:val="0"/>
        <w:autoSpaceDN w:val="0"/>
        <w:adjustRightInd w:val="0"/>
        <w:snapToGrid w:val="0"/>
        <w:spacing w:line="360" w:lineRule="auto"/>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备注：</w:t>
      </w:r>
    </w:p>
    <w:p w14:paraId="778817D9">
      <w:pPr>
        <w:numPr>
          <w:ilvl w:val="255"/>
          <w:numId w:val="0"/>
        </w:numPr>
        <w:autoSpaceDE w:val="0"/>
        <w:autoSpaceDN w:val="0"/>
        <w:adjustRightInd w:val="0"/>
        <w:snapToGrid w:val="0"/>
        <w:spacing w:line="360" w:lineRule="auto"/>
        <w:jc w:val="left"/>
        <w:rPr>
          <w:rFonts w:ascii="宋体" w:hAnsi="宋体" w:eastAsia="宋体" w:cs="宋体"/>
          <w:b/>
          <w:color w:val="auto"/>
          <w:szCs w:val="21"/>
          <w:highlight w:val="none"/>
        </w:rPr>
      </w:pPr>
      <w:r>
        <w:rPr>
          <w:rFonts w:hint="eastAsia" w:ascii="宋体" w:hAnsi="宋体" w:eastAsia="宋体" w:cs="宋体"/>
          <w:color w:val="auto"/>
          <w:kern w:val="0"/>
          <w:sz w:val="21"/>
          <w:szCs w:val="21"/>
          <w:highlight w:val="none"/>
          <w:lang w:bidi="ar"/>
        </w:rPr>
        <w:t>1.投标人须附产品用户使用说明书中的零部件</w:t>
      </w:r>
      <w:r>
        <w:rPr>
          <w:rFonts w:hint="eastAsia" w:ascii="宋体" w:hAnsi="宋体" w:eastAsia="宋体" w:cs="宋体"/>
          <w:color w:val="auto"/>
          <w:kern w:val="0"/>
          <w:szCs w:val="21"/>
          <w:highlight w:val="none"/>
          <w:lang w:bidi="ar"/>
        </w:rPr>
        <w:t>保修期限表</w:t>
      </w:r>
      <w:r>
        <w:rPr>
          <w:rFonts w:hint="eastAsia" w:ascii="宋体" w:hAnsi="宋体" w:eastAsia="宋体" w:cs="宋体"/>
          <w:color w:val="auto"/>
          <w:kern w:val="0"/>
          <w:sz w:val="21"/>
          <w:szCs w:val="21"/>
          <w:highlight w:val="none"/>
          <w:lang w:bidi="ar"/>
        </w:rPr>
        <w:t>；</w:t>
      </w:r>
    </w:p>
    <w:p w14:paraId="62318847">
      <w:pPr>
        <w:autoSpaceDE w:val="0"/>
        <w:autoSpaceDN w:val="0"/>
        <w:adjustRightInd w:val="0"/>
        <w:spacing w:line="360" w:lineRule="auto"/>
        <w:jc w:val="left"/>
        <w:rPr>
          <w:rFonts w:ascii="宋体" w:hAnsi="宋体" w:eastAsia="宋体" w:cs="宋体"/>
          <w:color w:val="auto"/>
          <w:kern w:val="3"/>
          <w:szCs w:val="21"/>
          <w:highlight w:val="none"/>
        </w:rPr>
      </w:pPr>
      <w:r>
        <w:rPr>
          <w:rFonts w:hint="eastAsia" w:ascii="宋体" w:hAnsi="宋体" w:eastAsia="宋体" w:cs="宋体"/>
          <w:color w:val="auto"/>
          <w:kern w:val="0"/>
          <w:sz w:val="21"/>
          <w:szCs w:val="21"/>
          <w:highlight w:val="none"/>
          <w:lang w:bidi="ar"/>
        </w:rPr>
        <w:t>2.投标人提供的产品用户使用说明书中的零部件</w:t>
      </w:r>
      <w:r>
        <w:rPr>
          <w:rFonts w:hint="eastAsia" w:ascii="宋体" w:hAnsi="宋体" w:eastAsia="宋体" w:cs="宋体"/>
          <w:color w:val="auto"/>
          <w:kern w:val="0"/>
          <w:szCs w:val="21"/>
          <w:highlight w:val="none"/>
          <w:lang w:bidi="ar"/>
        </w:rPr>
        <w:t>保修期限表</w:t>
      </w:r>
      <w:r>
        <w:rPr>
          <w:rFonts w:hint="eastAsia" w:ascii="宋体" w:hAnsi="宋体" w:eastAsia="宋体" w:cs="宋体"/>
          <w:color w:val="auto"/>
          <w:kern w:val="0"/>
          <w:sz w:val="21"/>
          <w:szCs w:val="21"/>
          <w:highlight w:val="none"/>
          <w:lang w:bidi="ar"/>
        </w:rPr>
        <w:t>与上表“1</w:t>
      </w:r>
      <w:r>
        <w:rPr>
          <w:rFonts w:hint="eastAsia" w:ascii="宋体" w:hAnsi="宋体" w:eastAsia="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bidi="ar"/>
        </w:rPr>
        <w:t>4</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bidi="ar"/>
        </w:rPr>
        <w:t xml:space="preserve">1 </w:t>
      </w:r>
      <w:r>
        <w:rPr>
          <w:rFonts w:hint="eastAsia" w:ascii="宋体" w:hAnsi="宋体" w:eastAsia="宋体" w:cs="宋体"/>
          <w:color w:val="auto"/>
          <w:kern w:val="0"/>
          <w:szCs w:val="21"/>
          <w:highlight w:val="none"/>
          <w:lang w:bidi="ar"/>
        </w:rPr>
        <w:t>部分零部件保修期限表</w:t>
      </w:r>
      <w:r>
        <w:rPr>
          <w:rFonts w:hint="eastAsia" w:ascii="宋体" w:hAnsi="宋体" w:eastAsia="宋体" w:cs="宋体"/>
          <w:color w:val="auto"/>
          <w:kern w:val="0"/>
          <w:sz w:val="21"/>
          <w:szCs w:val="21"/>
          <w:highlight w:val="none"/>
          <w:lang w:bidi="ar"/>
        </w:rPr>
        <w:t>”有差异的，以</w:t>
      </w:r>
      <w:r>
        <w:rPr>
          <w:rFonts w:hint="eastAsia" w:ascii="宋体" w:hAnsi="宋体" w:eastAsia="宋体" w:cs="宋体"/>
          <w:color w:val="auto"/>
          <w:szCs w:val="21"/>
          <w:highlight w:val="none"/>
        </w:rPr>
        <w:t>保修期较长</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kern w:val="0"/>
          <w:sz w:val="21"/>
          <w:szCs w:val="21"/>
          <w:highlight w:val="none"/>
          <w:lang w:val="en-US" w:eastAsia="zh-CN" w:bidi="ar"/>
        </w:rPr>
        <w:t>执行</w:t>
      </w:r>
      <w:r>
        <w:rPr>
          <w:rFonts w:hint="eastAsia" w:ascii="宋体" w:hAnsi="宋体" w:eastAsia="宋体" w:cs="宋体"/>
          <w:color w:val="auto"/>
          <w:kern w:val="0"/>
          <w:sz w:val="21"/>
          <w:szCs w:val="21"/>
          <w:highlight w:val="none"/>
          <w:lang w:bidi="ar"/>
        </w:rPr>
        <w:t>。</w:t>
      </w:r>
      <w:r>
        <w:rPr>
          <w:rFonts w:hint="eastAsia" w:ascii="宋体" w:hAnsi="宋体" w:eastAsia="宋体" w:cs="宋体"/>
          <w:color w:val="auto"/>
          <w:kern w:val="3"/>
          <w:szCs w:val="21"/>
          <w:highlight w:val="none"/>
          <w:lang w:bidi="ar"/>
        </w:rPr>
        <w:t xml:space="preserve"> </w:t>
      </w:r>
    </w:p>
    <w:p w14:paraId="096DEB62">
      <w:pPr>
        <w:autoSpaceDE w:val="0"/>
        <w:autoSpaceDN w:val="0"/>
        <w:adjustRightInd w:val="0"/>
        <w:spacing w:line="360" w:lineRule="auto"/>
        <w:ind w:firstLine="4200" w:firstLineChars="2000"/>
        <w:jc w:val="left"/>
        <w:rPr>
          <w:rFonts w:ascii="宋体" w:hAnsi="宋体" w:eastAsia="宋体" w:cs="宋体"/>
          <w:color w:val="auto"/>
          <w:szCs w:val="21"/>
          <w:highlight w:val="none"/>
        </w:rPr>
      </w:pPr>
      <w:r>
        <w:rPr>
          <w:rFonts w:hint="eastAsia" w:ascii="宋体" w:hAnsi="宋体" w:eastAsia="宋体" w:cs="宋体"/>
          <w:color w:val="auto"/>
          <w:kern w:val="3"/>
          <w:szCs w:val="21"/>
          <w:highlight w:val="none"/>
          <w:lang w:bidi="ar"/>
        </w:rPr>
        <w:t xml:space="preserve">投 标 人（加盖投标人法人公章）：              </w:t>
      </w:r>
    </w:p>
    <w:p w14:paraId="5211BE08">
      <w:pPr>
        <w:autoSpaceDE w:val="0"/>
        <w:adjustRightInd w:val="0"/>
        <w:spacing w:line="360" w:lineRule="auto"/>
        <w:ind w:firstLine="4200" w:firstLineChars="2000"/>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日  期：        年     月     日</w:t>
      </w:r>
    </w:p>
    <w:p w14:paraId="5DAB22F4">
      <w:pPr>
        <w:autoSpaceDE w:val="0"/>
        <w:autoSpaceDN w:val="0"/>
        <w:adjustRightInd w:val="0"/>
        <w:spacing w:before="120" w:beforeLines="50"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156A732B">
      <w:pPr>
        <w:autoSpaceDE w:val="0"/>
        <w:autoSpaceDN w:val="0"/>
        <w:adjustRightInd w:val="0"/>
        <w:spacing w:before="120" w:beforeLines="50"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57C6488C">
      <w:pPr>
        <w:autoSpaceDE w:val="0"/>
        <w:autoSpaceDN w:val="0"/>
        <w:adjustRightInd w:val="0"/>
        <w:spacing w:before="120" w:beforeLines="50"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5A992FB0">
      <w:pPr>
        <w:jc w:val="left"/>
        <w:rPr>
          <w:rFonts w:ascii="宋体" w:hAnsi="宋体" w:eastAsia="宋体" w:cs="宋体"/>
          <w:b/>
          <w:color w:val="auto"/>
          <w:kern w:val="0"/>
          <w:sz w:val="32"/>
          <w:szCs w:val="32"/>
          <w:highlight w:val="none"/>
          <w:lang w:bidi="ar"/>
        </w:rPr>
      </w:pPr>
      <w:r>
        <w:rPr>
          <w:rFonts w:hint="eastAsia" w:ascii="宋体" w:hAnsi="宋体" w:eastAsia="宋体" w:cs="宋体"/>
          <w:b/>
          <w:color w:val="auto"/>
          <w:kern w:val="0"/>
          <w:sz w:val="32"/>
          <w:szCs w:val="32"/>
          <w:highlight w:val="none"/>
          <w:lang w:bidi="ar"/>
        </w:rPr>
        <w:br w:type="page"/>
      </w:r>
    </w:p>
    <w:p w14:paraId="6B3CB12E">
      <w:pPr>
        <w:autoSpaceDE w:val="0"/>
        <w:autoSpaceDN w:val="0"/>
        <w:adjustRightInd w:val="0"/>
        <w:spacing w:line="360" w:lineRule="auto"/>
        <w:jc w:val="left"/>
        <w:outlineLvl w:val="2"/>
        <w:rPr>
          <w:rFonts w:ascii="宋体" w:hAnsi="宋体" w:eastAsia="宋体" w:cs="宋体"/>
          <w:b/>
          <w:bCs/>
          <w:color w:val="auto"/>
          <w:kern w:val="0"/>
          <w:sz w:val="32"/>
          <w:szCs w:val="32"/>
          <w:highlight w:val="none"/>
          <w:lang w:bidi="ar"/>
        </w:rPr>
      </w:pPr>
      <w:bookmarkStart w:id="674" w:name="_Toc2439"/>
      <w:r>
        <w:rPr>
          <w:rFonts w:hint="eastAsia" w:ascii="宋体" w:hAnsi="宋体" w:eastAsia="宋体" w:cs="宋体"/>
          <w:b/>
          <w:bCs/>
          <w:color w:val="auto"/>
          <w:kern w:val="0"/>
          <w:sz w:val="32"/>
          <w:szCs w:val="32"/>
          <w:highlight w:val="none"/>
          <w:lang w:bidi="ar"/>
        </w:rPr>
        <w:t>1</w:t>
      </w:r>
      <w:r>
        <w:rPr>
          <w:rFonts w:hint="eastAsia" w:ascii="宋体" w:hAnsi="宋体" w:eastAsia="宋体" w:cs="宋体"/>
          <w:b/>
          <w:bCs/>
          <w:color w:val="auto"/>
          <w:kern w:val="0"/>
          <w:sz w:val="32"/>
          <w:szCs w:val="32"/>
          <w:highlight w:val="none"/>
          <w:lang w:val="en-US" w:eastAsia="zh-CN" w:bidi="ar"/>
        </w:rPr>
        <w:t>4.</w:t>
      </w:r>
      <w:r>
        <w:rPr>
          <w:rFonts w:hint="eastAsia" w:ascii="宋体" w:hAnsi="宋体" w:eastAsia="宋体" w:cs="宋体"/>
          <w:b/>
          <w:bCs/>
          <w:color w:val="auto"/>
          <w:kern w:val="0"/>
          <w:sz w:val="32"/>
          <w:szCs w:val="32"/>
          <w:highlight w:val="none"/>
          <w:lang w:bidi="ar"/>
        </w:rPr>
        <w:t>4</w:t>
      </w:r>
      <w:r>
        <w:rPr>
          <w:rFonts w:hint="eastAsia" w:ascii="宋体" w:hAnsi="宋体" w:eastAsia="宋体" w:cs="宋体"/>
          <w:b/>
          <w:bCs/>
          <w:color w:val="auto"/>
          <w:kern w:val="0"/>
          <w:sz w:val="32"/>
          <w:szCs w:val="32"/>
          <w:highlight w:val="none"/>
          <w:lang w:val="en-US" w:eastAsia="zh-CN" w:bidi="ar"/>
        </w:rPr>
        <w:t>.</w:t>
      </w:r>
      <w:r>
        <w:rPr>
          <w:rFonts w:hint="eastAsia" w:ascii="宋体" w:hAnsi="宋体" w:eastAsia="宋体" w:cs="宋体"/>
          <w:b/>
          <w:bCs/>
          <w:color w:val="auto"/>
          <w:kern w:val="0"/>
          <w:sz w:val="32"/>
          <w:szCs w:val="32"/>
          <w:highlight w:val="none"/>
          <w:lang w:bidi="ar"/>
        </w:rPr>
        <w:t>2 产品用户使用说明书中的零部件保修期限表</w:t>
      </w:r>
      <w:bookmarkEnd w:id="674"/>
    </w:p>
    <w:p w14:paraId="66D5856A">
      <w:pPr>
        <w:rPr>
          <w:rFonts w:hint="eastAsia" w:ascii="宋体" w:hAnsi="宋体" w:eastAsia="宋体" w:cs="宋体"/>
          <w:b/>
          <w:color w:val="auto"/>
          <w:kern w:val="0"/>
          <w:sz w:val="30"/>
          <w:szCs w:val="30"/>
          <w:highlight w:val="none"/>
          <w:lang w:val="en-US" w:eastAsia="zh-CN"/>
        </w:rPr>
      </w:pPr>
      <w:r>
        <w:rPr>
          <w:rFonts w:hint="eastAsia" w:ascii="宋体" w:hAnsi="宋体" w:eastAsia="宋体" w:cs="宋体"/>
          <w:b/>
          <w:color w:val="auto"/>
          <w:kern w:val="0"/>
          <w:sz w:val="30"/>
          <w:szCs w:val="30"/>
          <w:highlight w:val="none"/>
          <w:lang w:val="en-US" w:eastAsia="zh-CN"/>
        </w:rPr>
        <w:br w:type="page"/>
      </w:r>
    </w:p>
    <w:p w14:paraId="4624C2A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color w:val="auto"/>
          <w:kern w:val="0"/>
          <w:sz w:val="32"/>
          <w:szCs w:val="32"/>
          <w:highlight w:val="none"/>
          <w:lang w:val="en-US" w:eastAsia="zh-CN" w:bidi="ar"/>
        </w:rPr>
      </w:pPr>
      <w:bookmarkStart w:id="675" w:name="_Toc6519"/>
      <w:bookmarkStart w:id="676" w:name="_Toc169169457"/>
      <w:bookmarkStart w:id="677" w:name="_Toc770"/>
      <w:bookmarkStart w:id="678" w:name="_Toc1222"/>
      <w:r>
        <w:rPr>
          <w:rFonts w:hint="eastAsia" w:ascii="宋体" w:hAnsi="宋体" w:eastAsia="宋体" w:cs="宋体"/>
          <w:b/>
          <w:color w:val="auto"/>
          <w:kern w:val="0"/>
          <w:sz w:val="32"/>
          <w:szCs w:val="32"/>
          <w:highlight w:val="none"/>
          <w:lang w:val="en-US" w:eastAsia="zh-CN" w:bidi="ar"/>
        </w:rPr>
        <w:t>14.5 所投车辆性能</w:t>
      </w:r>
    </w:p>
    <w:p w14:paraId="2890162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color w:val="auto"/>
          <w:kern w:val="0"/>
          <w:sz w:val="32"/>
          <w:szCs w:val="32"/>
          <w:highlight w:val="none"/>
          <w:lang w:val="en-US" w:eastAsia="zh-CN" w:bidi="ar"/>
        </w:rPr>
      </w:pPr>
      <w:r>
        <w:rPr>
          <w:rFonts w:hint="eastAsia" w:ascii="宋体" w:hAnsi="宋体" w:eastAsia="宋体" w:cs="宋体"/>
          <w:b/>
          <w:color w:val="auto"/>
          <w:kern w:val="0"/>
          <w:sz w:val="32"/>
          <w:szCs w:val="32"/>
          <w:highlight w:val="none"/>
          <w:lang w:val="en-US" w:eastAsia="zh-CN" w:bidi="ar"/>
        </w:rPr>
        <w:t>所投车辆性能证明材料</w:t>
      </w:r>
    </w:p>
    <w:p w14:paraId="6ADF779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color w:val="auto"/>
          <w:kern w:val="0"/>
          <w:sz w:val="21"/>
          <w:szCs w:val="21"/>
          <w:highlight w:val="none"/>
          <w:lang w:val="en-US" w:eastAsia="zh-CN" w:bidi="ar"/>
        </w:rPr>
      </w:pPr>
      <w:r>
        <w:rPr>
          <w:rFonts w:hint="eastAsia" w:ascii="宋体" w:hAnsi="宋体" w:eastAsia="宋体" w:cs="宋体"/>
          <w:b/>
          <w:color w:val="auto"/>
          <w:kern w:val="0"/>
          <w:sz w:val="21"/>
          <w:szCs w:val="21"/>
          <w:highlight w:val="none"/>
          <w:lang w:val="en-US" w:eastAsia="zh-CN" w:bidi="ar"/>
        </w:rPr>
        <w:t>说明：</w:t>
      </w:r>
      <w:r>
        <w:rPr>
          <w:rFonts w:hint="eastAsia" w:ascii="宋体" w:hAnsi="宋体" w:eastAsia="宋体" w:cs="宋体"/>
          <w:b/>
          <w:color w:val="auto"/>
          <w:szCs w:val="21"/>
          <w:highlight w:val="none"/>
          <w:lang w:bidi="ar"/>
        </w:rPr>
        <w:t>需提供所投产品制造商所作的技术参数说明，或国家工业和信息化部公告/批复或行政主管部门出具的证明/批复或第三方检测机构出具的检测报告或汽车制造商官网的技术参数数据截图、或主要汽车网站(卡车之家)的技术参数数据截图作为评审依据，投标人未提供前述证明材料的，对应评审项不得分。</w:t>
      </w:r>
    </w:p>
    <w:p w14:paraId="1C55CA1C">
      <w:pPr>
        <w:pStyle w:val="2"/>
        <w:rPr>
          <w:rFonts w:hint="default"/>
          <w:color w:val="auto"/>
          <w:highlight w:val="none"/>
          <w:lang w:val="en-US" w:eastAsia="zh-CN"/>
        </w:rPr>
      </w:pPr>
    </w:p>
    <w:p w14:paraId="1934BD79">
      <w:pPr>
        <w:autoSpaceDE/>
        <w:autoSpaceDN/>
        <w:adjustRightInd/>
        <w:spacing w:line="240" w:lineRule="auto"/>
        <w:jc w:val="left"/>
        <w:outlineLvl w:val="9"/>
        <w:rPr>
          <w:rFonts w:hint="eastAsia" w:ascii="宋体" w:hAnsi="宋体" w:eastAsia="宋体" w:cs="宋体"/>
          <w:b/>
          <w:color w:val="auto"/>
          <w:kern w:val="0"/>
          <w:sz w:val="32"/>
          <w:szCs w:val="32"/>
          <w:highlight w:val="none"/>
          <w:lang w:bidi="ar"/>
        </w:rPr>
      </w:pPr>
      <w:r>
        <w:rPr>
          <w:rFonts w:hint="eastAsia" w:ascii="宋体" w:hAnsi="宋体" w:eastAsia="宋体" w:cs="宋体"/>
          <w:b/>
          <w:color w:val="auto"/>
          <w:kern w:val="0"/>
          <w:sz w:val="32"/>
          <w:szCs w:val="32"/>
          <w:highlight w:val="none"/>
          <w:lang w:bidi="ar"/>
        </w:rPr>
        <w:br w:type="page"/>
      </w:r>
    </w:p>
    <w:p w14:paraId="60590701">
      <w:pPr>
        <w:pageBreakBefore w:val="0"/>
        <w:autoSpaceDE/>
        <w:autoSpaceDN/>
        <w:adjustRightInd/>
        <w:spacing w:line="240" w:lineRule="auto"/>
        <w:jc w:val="left"/>
        <w:outlineLvl w:val="2"/>
        <w:rPr>
          <w:rFonts w:ascii="宋体" w:hAnsi="宋体" w:eastAsia="宋体" w:cs="宋体"/>
          <w:b/>
          <w:color w:val="auto"/>
          <w:kern w:val="0"/>
          <w:sz w:val="32"/>
          <w:szCs w:val="32"/>
          <w:highlight w:val="none"/>
          <w:lang w:bidi="ar"/>
        </w:rPr>
      </w:pPr>
      <w:r>
        <w:rPr>
          <w:rFonts w:hint="eastAsia" w:ascii="宋体" w:hAnsi="宋体" w:eastAsia="宋体" w:cs="宋体"/>
          <w:b/>
          <w:color w:val="auto"/>
          <w:kern w:val="0"/>
          <w:sz w:val="32"/>
          <w:szCs w:val="32"/>
          <w:highlight w:val="none"/>
          <w:lang w:bidi="ar"/>
        </w:rPr>
        <w:t>1</w:t>
      </w:r>
      <w:r>
        <w:rPr>
          <w:rFonts w:hint="eastAsia" w:ascii="宋体" w:hAnsi="宋体" w:eastAsia="宋体" w:cs="宋体"/>
          <w:b/>
          <w:color w:val="auto"/>
          <w:kern w:val="0"/>
          <w:sz w:val="32"/>
          <w:szCs w:val="32"/>
          <w:highlight w:val="none"/>
          <w:lang w:val="en-US" w:eastAsia="zh-CN" w:bidi="ar"/>
        </w:rPr>
        <w:t>4.6</w:t>
      </w:r>
      <w:r>
        <w:rPr>
          <w:rFonts w:hint="eastAsia" w:ascii="宋体" w:hAnsi="宋体" w:eastAsia="宋体" w:cs="宋体"/>
          <w:b/>
          <w:color w:val="auto"/>
          <w:kern w:val="0"/>
          <w:sz w:val="32"/>
          <w:szCs w:val="32"/>
          <w:highlight w:val="none"/>
          <w:lang w:bidi="ar"/>
        </w:rPr>
        <w:t xml:space="preserve"> </w:t>
      </w:r>
      <w:bookmarkEnd w:id="675"/>
      <w:bookmarkEnd w:id="676"/>
      <w:bookmarkStart w:id="679" w:name="_Toc169169459"/>
      <w:bookmarkStart w:id="680" w:name="_Toc31131"/>
      <w:r>
        <w:rPr>
          <w:rFonts w:hint="eastAsia" w:ascii="宋体" w:hAnsi="宋体" w:eastAsia="宋体" w:cs="宋体"/>
          <w:b/>
          <w:color w:val="auto"/>
          <w:kern w:val="0"/>
          <w:sz w:val="32"/>
          <w:szCs w:val="32"/>
          <w:highlight w:val="none"/>
          <w:lang w:bidi="ar"/>
        </w:rPr>
        <w:t>售后服务承诺书格式</w:t>
      </w:r>
      <w:bookmarkEnd w:id="679"/>
      <w:bookmarkEnd w:id="680"/>
    </w:p>
    <w:p w14:paraId="72F4B274">
      <w:pPr>
        <w:autoSpaceDE w:val="0"/>
        <w:autoSpaceDN w:val="0"/>
        <w:adjustRightInd w:val="0"/>
        <w:jc w:val="left"/>
        <w:rPr>
          <w:rFonts w:ascii="宋体" w:hAnsi="宋体" w:eastAsia="宋体" w:cs="宋体"/>
          <w:b/>
          <w:color w:val="auto"/>
          <w:sz w:val="32"/>
          <w:szCs w:val="32"/>
          <w:highlight w:val="none"/>
        </w:rPr>
      </w:pPr>
      <w:r>
        <w:rPr>
          <w:rFonts w:hint="eastAsia" w:ascii="宋体" w:hAnsi="宋体" w:eastAsia="宋体" w:cs="宋体"/>
          <w:b/>
          <w:color w:val="auto"/>
          <w:kern w:val="0"/>
          <w:sz w:val="32"/>
          <w:szCs w:val="32"/>
          <w:highlight w:val="none"/>
          <w:lang w:bidi="ar"/>
        </w:rPr>
        <w:t xml:space="preserve"> </w:t>
      </w:r>
    </w:p>
    <w:p w14:paraId="26E8C017">
      <w:pPr>
        <w:widowControl/>
        <w:autoSpaceDE w:val="0"/>
        <w:adjustRightInd w:val="0"/>
        <w:jc w:val="center"/>
        <w:rPr>
          <w:rFonts w:ascii="宋体" w:hAnsi="宋体" w:eastAsia="宋体" w:cs="宋体"/>
          <w:b/>
          <w:color w:val="auto"/>
          <w:sz w:val="32"/>
          <w:szCs w:val="32"/>
          <w:highlight w:val="none"/>
        </w:rPr>
      </w:pPr>
      <w:r>
        <w:rPr>
          <w:rFonts w:hint="eastAsia" w:ascii="宋体" w:hAnsi="宋体" w:eastAsia="宋体" w:cs="宋体"/>
          <w:b/>
          <w:bCs/>
          <w:color w:val="auto"/>
          <w:kern w:val="0"/>
          <w:sz w:val="30"/>
          <w:szCs w:val="30"/>
          <w:highlight w:val="none"/>
          <w:lang w:bidi="ar"/>
        </w:rPr>
        <w:t xml:space="preserve"> </w:t>
      </w:r>
      <w:r>
        <w:rPr>
          <w:rFonts w:hint="eastAsia" w:ascii="宋体" w:hAnsi="宋体" w:eastAsia="宋体" w:cs="宋体"/>
          <w:b/>
          <w:color w:val="auto"/>
          <w:kern w:val="0"/>
          <w:sz w:val="32"/>
          <w:szCs w:val="32"/>
          <w:highlight w:val="none"/>
          <w:lang w:bidi="ar"/>
        </w:rPr>
        <w:t>售后服务承诺书</w:t>
      </w:r>
    </w:p>
    <w:p w14:paraId="281E4CD7">
      <w:pPr>
        <w:widowControl/>
        <w:autoSpaceDE w:val="0"/>
        <w:adjustRightInd w:val="0"/>
        <w:jc w:val="left"/>
        <w:rPr>
          <w:rFonts w:ascii="宋体" w:hAnsi="宋体" w:eastAsia="宋体" w:cs="宋体"/>
          <w:b/>
          <w:color w:val="auto"/>
          <w:sz w:val="32"/>
          <w:szCs w:val="32"/>
          <w:highlight w:val="none"/>
        </w:rPr>
      </w:pPr>
      <w:r>
        <w:rPr>
          <w:rFonts w:hint="eastAsia" w:ascii="宋体" w:hAnsi="宋体" w:eastAsia="宋体" w:cs="宋体"/>
          <w:b/>
          <w:color w:val="auto"/>
          <w:kern w:val="0"/>
          <w:sz w:val="32"/>
          <w:szCs w:val="32"/>
          <w:highlight w:val="none"/>
          <w:lang w:bidi="ar"/>
        </w:rPr>
        <w:t xml:space="preserve"> </w:t>
      </w:r>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2"/>
        <w:gridCol w:w="5024"/>
      </w:tblGrid>
      <w:tr w14:paraId="48DB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0BFF00CB">
            <w:pPr>
              <w:autoSpaceDE w:val="0"/>
              <w:autoSpaceDN w:val="0"/>
              <w:adjustRightInd w:val="0"/>
              <w:spacing w:line="360" w:lineRule="auto"/>
              <w:jc w:val="center"/>
              <w:rPr>
                <w:rFonts w:ascii="宋体" w:hAnsi="宋体" w:eastAsia="宋体" w:cs="Courier New"/>
                <w:b/>
                <w:color w:val="auto"/>
                <w:kern w:val="0"/>
                <w:szCs w:val="21"/>
                <w:highlight w:val="none"/>
                <w:shd w:val="clear" w:color="auto" w:fill="FFFFFF"/>
              </w:rPr>
            </w:pPr>
            <w:r>
              <w:rPr>
                <w:rFonts w:hint="eastAsia" w:ascii="宋体" w:hAnsi="宋体" w:eastAsia="宋体" w:cs="宋体"/>
                <w:b/>
                <w:color w:val="auto"/>
                <w:kern w:val="0"/>
                <w:szCs w:val="21"/>
                <w:highlight w:val="none"/>
                <w:shd w:val="clear" w:color="auto" w:fill="FFFFFF"/>
                <w:lang w:bidi="ar"/>
              </w:rPr>
              <w:t>承诺事项</w:t>
            </w:r>
          </w:p>
        </w:tc>
        <w:tc>
          <w:tcPr>
            <w:tcW w:w="2423" w:type="pct"/>
            <w:tcBorders>
              <w:top w:val="single" w:color="auto" w:sz="4" w:space="0"/>
              <w:left w:val="single" w:color="auto" w:sz="4" w:space="0"/>
              <w:bottom w:val="single" w:color="auto" w:sz="4" w:space="0"/>
              <w:right w:val="single" w:color="auto" w:sz="4" w:space="0"/>
            </w:tcBorders>
            <w:shd w:val="clear" w:color="auto" w:fill="auto"/>
            <w:vAlign w:val="center"/>
          </w:tcPr>
          <w:p w14:paraId="6609B073">
            <w:pPr>
              <w:autoSpaceDE w:val="0"/>
              <w:autoSpaceDN w:val="0"/>
              <w:adjustRightInd w:val="0"/>
              <w:spacing w:line="360" w:lineRule="auto"/>
              <w:jc w:val="center"/>
              <w:rPr>
                <w:rFonts w:ascii="宋体" w:hAnsi="宋体" w:eastAsia="宋体" w:cs="Courier New"/>
                <w:b/>
                <w:color w:val="auto"/>
                <w:kern w:val="0"/>
                <w:szCs w:val="21"/>
                <w:highlight w:val="none"/>
                <w:shd w:val="clear" w:color="auto" w:fill="FFFFFF"/>
              </w:rPr>
            </w:pPr>
            <w:r>
              <w:rPr>
                <w:rFonts w:hint="eastAsia" w:ascii="宋体" w:hAnsi="宋体" w:eastAsia="宋体" w:cs="宋体"/>
                <w:b/>
                <w:color w:val="auto"/>
                <w:kern w:val="0"/>
                <w:szCs w:val="21"/>
                <w:highlight w:val="none"/>
                <w:shd w:val="clear" w:color="auto" w:fill="FFFFFF"/>
                <w:lang w:bidi="ar"/>
              </w:rPr>
              <w:t>在合同的质保期外，承诺增加的免费与用户需求</w:t>
            </w:r>
            <w:r>
              <w:rPr>
                <w:rFonts w:hint="eastAsia" w:ascii="宋体" w:hAnsi="宋体" w:eastAsia="宋体" w:cs="宋体"/>
                <w:b/>
                <w:color w:val="auto"/>
                <w:kern w:val="0"/>
                <w:szCs w:val="21"/>
                <w:highlight w:val="none"/>
                <w:shd w:val="clear" w:color="auto" w:fill="FFFFFF"/>
                <w:lang w:val="en-US" w:eastAsia="zh-CN" w:bidi="ar"/>
              </w:rPr>
              <w:t>书</w:t>
            </w:r>
            <w:r>
              <w:rPr>
                <w:rFonts w:hint="eastAsia" w:ascii="宋体" w:hAnsi="宋体" w:eastAsia="宋体" w:cs="宋体"/>
                <w:b/>
                <w:color w:val="auto"/>
                <w:kern w:val="0"/>
                <w:szCs w:val="21"/>
                <w:highlight w:val="none"/>
                <w:shd w:val="clear" w:color="auto" w:fill="FFFFFF"/>
                <w:lang w:bidi="ar"/>
              </w:rPr>
              <w:t>要求同级保养的次数</w:t>
            </w:r>
          </w:p>
        </w:tc>
      </w:tr>
      <w:tr w14:paraId="3349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2576" w:type="pct"/>
            <w:tcBorders>
              <w:top w:val="single" w:color="auto" w:sz="4" w:space="0"/>
              <w:left w:val="single" w:color="auto" w:sz="4" w:space="0"/>
              <w:bottom w:val="single" w:color="auto" w:sz="4" w:space="0"/>
              <w:right w:val="single" w:color="auto" w:sz="4" w:space="0"/>
            </w:tcBorders>
            <w:shd w:val="clear" w:color="auto" w:fill="auto"/>
            <w:vAlign w:val="center"/>
          </w:tcPr>
          <w:p w14:paraId="48C84AB8">
            <w:pPr>
              <w:autoSpaceDE w:val="0"/>
              <w:autoSpaceDN w:val="0"/>
              <w:adjustRightInd w:val="0"/>
              <w:spacing w:line="360" w:lineRule="auto"/>
              <w:jc w:val="center"/>
              <w:rPr>
                <w:rFonts w:ascii="宋体" w:hAnsi="宋体" w:eastAsia="宋体" w:cs="Courier New"/>
                <w:color w:val="auto"/>
                <w:kern w:val="0"/>
                <w:szCs w:val="21"/>
                <w:highlight w:val="none"/>
                <w:shd w:val="clear" w:color="auto" w:fill="FFFFFF"/>
              </w:rPr>
            </w:pPr>
            <w:r>
              <w:rPr>
                <w:rFonts w:hint="eastAsia" w:ascii="宋体" w:hAnsi="宋体" w:eastAsia="宋体" w:cs="宋体"/>
                <w:color w:val="auto"/>
                <w:kern w:val="0"/>
                <w:szCs w:val="21"/>
                <w:highlight w:val="none"/>
                <w:lang w:bidi="ar"/>
              </w:rPr>
              <w:t>车辆保养增加的次数为</w:t>
            </w:r>
          </w:p>
        </w:tc>
        <w:tc>
          <w:tcPr>
            <w:tcW w:w="2423" w:type="pct"/>
            <w:tcBorders>
              <w:top w:val="single" w:color="auto" w:sz="4" w:space="0"/>
              <w:left w:val="single" w:color="auto" w:sz="4" w:space="0"/>
              <w:bottom w:val="single" w:color="auto" w:sz="4" w:space="0"/>
              <w:right w:val="single" w:color="auto" w:sz="4" w:space="0"/>
            </w:tcBorders>
            <w:shd w:val="clear" w:color="auto" w:fill="auto"/>
            <w:vAlign w:val="center"/>
          </w:tcPr>
          <w:p w14:paraId="65BCE354">
            <w:pPr>
              <w:autoSpaceDE w:val="0"/>
              <w:autoSpaceDN w:val="0"/>
              <w:adjustRightInd w:val="0"/>
              <w:spacing w:line="360" w:lineRule="auto"/>
              <w:jc w:val="center"/>
              <w:rPr>
                <w:rFonts w:ascii="宋体" w:hAnsi="宋体" w:eastAsia="宋体" w:cs="Courier New"/>
                <w:color w:val="auto"/>
                <w:kern w:val="0"/>
                <w:szCs w:val="21"/>
                <w:highlight w:val="none"/>
                <w:shd w:val="clear" w:color="auto" w:fill="FFFFFF"/>
              </w:rPr>
            </w:pPr>
            <w:r>
              <w:rPr>
                <w:rFonts w:hint="eastAsia" w:ascii="宋体" w:hAnsi="宋体" w:eastAsia="宋体" w:cs="Courier New"/>
                <w:bCs/>
                <w:color w:val="auto"/>
                <w:kern w:val="0"/>
                <w:szCs w:val="21"/>
                <w:highlight w:val="none"/>
                <w:u w:val="single"/>
                <w:lang w:bidi="ar"/>
              </w:rPr>
              <w:t xml:space="preserve">        </w:t>
            </w:r>
            <w:r>
              <w:rPr>
                <w:rFonts w:hint="eastAsia" w:ascii="宋体" w:hAnsi="宋体" w:eastAsia="宋体" w:cs="宋体"/>
                <w:bCs/>
                <w:color w:val="auto"/>
                <w:kern w:val="0"/>
                <w:szCs w:val="21"/>
                <w:highlight w:val="none"/>
                <w:lang w:bidi="ar"/>
              </w:rPr>
              <w:t>次</w:t>
            </w:r>
          </w:p>
        </w:tc>
      </w:tr>
    </w:tbl>
    <w:p w14:paraId="7A882995">
      <w:pPr>
        <w:autoSpaceDE w:val="0"/>
        <w:autoSpaceDN w:val="0"/>
        <w:adjustRightInd w:val="0"/>
        <w:spacing w:before="164" w:beforeLines="50" w:line="360" w:lineRule="auto"/>
        <w:jc w:val="left"/>
        <w:rPr>
          <w:rFonts w:ascii="宋体" w:hAnsi="宋体" w:eastAsia="宋体" w:cs="Courier New"/>
          <w:color w:val="auto"/>
          <w:szCs w:val="21"/>
          <w:highlight w:val="none"/>
        </w:rPr>
      </w:pPr>
      <w:r>
        <w:rPr>
          <w:rFonts w:hint="eastAsia" w:ascii="宋体" w:hAnsi="宋体" w:eastAsia="宋体" w:cs="宋体"/>
          <w:color w:val="auto"/>
          <w:kern w:val="0"/>
          <w:szCs w:val="21"/>
          <w:highlight w:val="none"/>
          <w:lang w:bidi="ar"/>
        </w:rPr>
        <w:t>备注：投标人在投标文件承诺的免费与用户需求</w:t>
      </w:r>
      <w:r>
        <w:rPr>
          <w:rFonts w:hint="eastAsia" w:ascii="宋体" w:hAnsi="宋体" w:eastAsia="宋体" w:cs="宋体"/>
          <w:color w:val="auto"/>
          <w:kern w:val="0"/>
          <w:szCs w:val="21"/>
          <w:highlight w:val="none"/>
          <w:lang w:val="en-US" w:eastAsia="zh-CN" w:bidi="ar"/>
        </w:rPr>
        <w:t>书</w:t>
      </w:r>
      <w:r>
        <w:rPr>
          <w:rFonts w:hint="eastAsia" w:ascii="宋体" w:hAnsi="宋体" w:eastAsia="宋体" w:cs="宋体"/>
          <w:color w:val="auto"/>
          <w:kern w:val="0"/>
          <w:szCs w:val="21"/>
          <w:highlight w:val="none"/>
          <w:lang w:bidi="ar"/>
        </w:rPr>
        <w:t>要求同级保养的次数，具体车辆保养安排以招标人书面通知的时间、地点为准。</w:t>
      </w:r>
    </w:p>
    <w:p w14:paraId="1B1C9AE0">
      <w:pPr>
        <w:widowControl/>
        <w:autoSpaceDE w:val="0"/>
        <w:adjustRightInd w:val="0"/>
        <w:jc w:val="left"/>
        <w:rPr>
          <w:rFonts w:ascii="宋体" w:hAnsi="宋体" w:eastAsia="宋体" w:cs="宋体"/>
          <w:b/>
          <w:color w:val="auto"/>
          <w:sz w:val="32"/>
          <w:szCs w:val="32"/>
          <w:highlight w:val="none"/>
        </w:rPr>
      </w:pPr>
      <w:r>
        <w:rPr>
          <w:rFonts w:hint="eastAsia" w:ascii="宋体" w:hAnsi="宋体" w:eastAsia="宋体" w:cs="宋体"/>
          <w:b/>
          <w:color w:val="auto"/>
          <w:kern w:val="0"/>
          <w:sz w:val="32"/>
          <w:szCs w:val="32"/>
          <w:highlight w:val="none"/>
          <w:lang w:bidi="ar"/>
        </w:rPr>
        <w:t xml:space="preserve"> </w:t>
      </w:r>
    </w:p>
    <w:p w14:paraId="4094FF9B">
      <w:pPr>
        <w:autoSpaceDE w:val="0"/>
        <w:autoSpaceDN w:val="0"/>
        <w:adjustRightInd w:val="0"/>
        <w:spacing w:line="360" w:lineRule="auto"/>
        <w:ind w:firstLine="5040"/>
        <w:rPr>
          <w:rFonts w:ascii="宋体" w:hAnsi="宋体" w:eastAsia="宋体" w:cs="宋体"/>
          <w:color w:val="auto"/>
          <w:szCs w:val="21"/>
          <w:highlight w:val="none"/>
        </w:rPr>
      </w:pPr>
      <w:r>
        <w:rPr>
          <w:rFonts w:hint="eastAsia" w:ascii="宋体" w:hAnsi="宋体" w:eastAsia="宋体" w:cs="宋体"/>
          <w:color w:val="auto"/>
          <w:szCs w:val="21"/>
          <w:highlight w:val="none"/>
          <w:lang w:bidi="ar"/>
        </w:rPr>
        <w:t>投标人：（加盖投标人法人公章）</w:t>
      </w:r>
    </w:p>
    <w:p w14:paraId="25401BCD">
      <w:pPr>
        <w:autoSpaceDE w:val="0"/>
        <w:autoSpaceDN w:val="0"/>
        <w:adjustRightInd w:val="0"/>
        <w:spacing w:line="360" w:lineRule="auto"/>
        <w:ind w:firstLine="5040"/>
        <w:rPr>
          <w:rFonts w:ascii="宋体" w:hAnsi="宋体" w:eastAsia="宋体" w:cs="宋体"/>
          <w:color w:val="auto"/>
          <w:sz w:val="24"/>
          <w:szCs w:val="24"/>
          <w:highlight w:val="none"/>
        </w:rPr>
      </w:pPr>
      <w:r>
        <w:rPr>
          <w:rFonts w:hint="eastAsia" w:ascii="宋体" w:hAnsi="宋体" w:eastAsia="宋体" w:cs="宋体"/>
          <w:color w:val="auto"/>
          <w:szCs w:val="21"/>
          <w:highlight w:val="none"/>
          <w:lang w:bidi="ar"/>
        </w:rPr>
        <w:t>日期：   年   月   日</w:t>
      </w:r>
    </w:p>
    <w:p w14:paraId="7FF29BCF">
      <w:pPr>
        <w:pageBreakBefore/>
        <w:widowControl/>
        <w:autoSpaceDE w:val="0"/>
        <w:adjustRightInd w:val="0"/>
        <w:jc w:val="left"/>
        <w:outlineLvl w:val="2"/>
        <w:rPr>
          <w:rFonts w:hint="eastAsia" w:ascii="宋体" w:hAnsi="宋体" w:eastAsia="宋体" w:cs="宋体"/>
          <w:b/>
          <w:color w:val="auto"/>
          <w:kern w:val="0"/>
          <w:sz w:val="32"/>
          <w:szCs w:val="32"/>
          <w:highlight w:val="none"/>
          <w:lang w:bidi="ar"/>
        </w:rPr>
        <w:sectPr>
          <w:pgSz w:w="12240" w:h="15840"/>
          <w:pgMar w:top="1191" w:right="1043" w:bottom="1191" w:left="1043" w:header="720" w:footer="720" w:gutter="0"/>
          <w:cols w:space="720" w:num="1"/>
          <w:titlePg/>
          <w:docGrid w:linePitch="326" w:charSpace="0"/>
        </w:sectPr>
      </w:pPr>
      <w:bookmarkStart w:id="681" w:name="_Toc169169460"/>
      <w:bookmarkStart w:id="682" w:name="_Toc31934"/>
    </w:p>
    <w:p w14:paraId="21665D54">
      <w:pPr>
        <w:pageBreakBefore/>
        <w:widowControl/>
        <w:autoSpaceDE w:val="0"/>
        <w:adjustRightInd w:val="0"/>
        <w:jc w:val="left"/>
        <w:outlineLvl w:val="2"/>
        <w:rPr>
          <w:rFonts w:ascii="宋体" w:hAnsi="宋体" w:eastAsia="宋体" w:cs="宋体"/>
          <w:b/>
          <w:color w:val="auto"/>
          <w:sz w:val="32"/>
          <w:szCs w:val="32"/>
          <w:highlight w:val="none"/>
        </w:rPr>
      </w:pPr>
      <w:r>
        <w:rPr>
          <w:rFonts w:hint="eastAsia" w:ascii="宋体" w:hAnsi="宋体" w:eastAsia="宋体" w:cs="宋体"/>
          <w:b/>
          <w:color w:val="auto"/>
          <w:kern w:val="0"/>
          <w:sz w:val="32"/>
          <w:szCs w:val="32"/>
          <w:highlight w:val="none"/>
          <w:lang w:bidi="ar"/>
        </w:rPr>
        <w:t>1</w:t>
      </w:r>
      <w:r>
        <w:rPr>
          <w:rFonts w:hint="eastAsia" w:ascii="宋体" w:hAnsi="宋体" w:eastAsia="宋体" w:cs="宋体"/>
          <w:b/>
          <w:color w:val="auto"/>
          <w:kern w:val="0"/>
          <w:sz w:val="32"/>
          <w:szCs w:val="32"/>
          <w:highlight w:val="none"/>
          <w:lang w:val="en-US" w:eastAsia="zh-CN" w:bidi="ar"/>
        </w:rPr>
        <w:t>4.7</w:t>
      </w:r>
      <w:r>
        <w:rPr>
          <w:rFonts w:hint="eastAsia" w:ascii="宋体" w:hAnsi="宋体" w:eastAsia="宋体" w:cs="宋体"/>
          <w:b/>
          <w:color w:val="auto"/>
          <w:kern w:val="0"/>
          <w:sz w:val="32"/>
          <w:szCs w:val="32"/>
          <w:highlight w:val="none"/>
          <w:lang w:bidi="ar"/>
        </w:rPr>
        <w:t xml:space="preserve"> </w:t>
      </w:r>
      <w:bookmarkEnd w:id="681"/>
      <w:bookmarkEnd w:id="682"/>
      <w:bookmarkStart w:id="683" w:name="_Toc169169461"/>
      <w:bookmarkStart w:id="684" w:name="_Toc31932"/>
      <w:r>
        <w:rPr>
          <w:rFonts w:hint="eastAsia" w:ascii="宋体" w:hAnsi="宋体" w:eastAsia="宋体" w:cs="宋体"/>
          <w:b/>
          <w:color w:val="auto"/>
          <w:kern w:val="0"/>
          <w:sz w:val="32"/>
          <w:szCs w:val="32"/>
          <w:highlight w:val="none"/>
          <w:lang w:bidi="ar"/>
        </w:rPr>
        <w:t>质保期及服务便利性承诺书格式</w:t>
      </w:r>
      <w:bookmarkEnd w:id="683"/>
      <w:bookmarkEnd w:id="684"/>
    </w:p>
    <w:p w14:paraId="57BF6E4A">
      <w:pPr>
        <w:autoSpaceDE w:val="0"/>
        <w:autoSpaceDN w:val="0"/>
        <w:adjustRightInd w:val="0"/>
        <w:spacing w:line="360" w:lineRule="auto"/>
        <w:jc w:val="center"/>
        <w:rPr>
          <w:rFonts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bidi="ar"/>
        </w:rPr>
        <w:t xml:space="preserve"> </w:t>
      </w:r>
    </w:p>
    <w:p w14:paraId="5F57295F">
      <w:pPr>
        <w:autoSpaceDE w:val="0"/>
        <w:autoSpaceDN w:val="0"/>
        <w:adjustRightInd w:val="0"/>
        <w:spacing w:line="360" w:lineRule="auto"/>
        <w:jc w:val="center"/>
        <w:rPr>
          <w:rFonts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bidi="ar"/>
        </w:rPr>
        <w:t>质保期及服务便利性承诺书</w:t>
      </w:r>
    </w:p>
    <w:tbl>
      <w:tblPr>
        <w:tblStyle w:val="36"/>
        <w:tblW w:w="47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8"/>
        <w:gridCol w:w="3637"/>
      </w:tblGrid>
      <w:tr w14:paraId="3A4F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3139" w:type="pct"/>
            <w:tcBorders>
              <w:top w:val="single" w:color="auto" w:sz="4" w:space="0"/>
              <w:left w:val="single" w:color="auto" w:sz="4" w:space="0"/>
              <w:bottom w:val="single" w:color="auto" w:sz="4" w:space="0"/>
              <w:right w:val="single" w:color="auto" w:sz="4" w:space="0"/>
            </w:tcBorders>
            <w:shd w:val="clear" w:color="auto" w:fill="auto"/>
            <w:vAlign w:val="center"/>
          </w:tcPr>
          <w:p w14:paraId="4F75C3B1">
            <w:pPr>
              <w:autoSpaceDE w:val="0"/>
              <w:autoSpaceDN w:val="0"/>
              <w:adjustRightInd w:val="0"/>
              <w:jc w:val="center"/>
              <w:rPr>
                <w:rFonts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lang w:bidi="ar"/>
              </w:rPr>
              <w:t>承诺事项</w:t>
            </w:r>
          </w:p>
        </w:tc>
        <w:tc>
          <w:tcPr>
            <w:tcW w:w="1860" w:type="pct"/>
            <w:tcBorders>
              <w:top w:val="single" w:color="auto" w:sz="4" w:space="0"/>
              <w:left w:val="single" w:color="auto" w:sz="4" w:space="0"/>
              <w:bottom w:val="single" w:color="auto" w:sz="4" w:space="0"/>
              <w:right w:val="single" w:color="auto" w:sz="4" w:space="0"/>
            </w:tcBorders>
            <w:shd w:val="clear" w:color="auto" w:fill="auto"/>
            <w:vAlign w:val="center"/>
          </w:tcPr>
          <w:p w14:paraId="79E2FD1E">
            <w:pPr>
              <w:autoSpaceDE w:val="0"/>
              <w:autoSpaceDN w:val="0"/>
              <w:adjustRightInd w:val="0"/>
              <w:jc w:val="center"/>
              <w:rPr>
                <w:rFonts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lang w:bidi="ar"/>
              </w:rPr>
              <w:t>承诺时间</w:t>
            </w:r>
          </w:p>
        </w:tc>
      </w:tr>
      <w:tr w14:paraId="5988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3139" w:type="pct"/>
            <w:tcBorders>
              <w:top w:val="single" w:color="auto" w:sz="4" w:space="0"/>
              <w:left w:val="single" w:color="auto" w:sz="4" w:space="0"/>
              <w:bottom w:val="single" w:color="auto" w:sz="4" w:space="0"/>
              <w:right w:val="single" w:color="auto" w:sz="4" w:space="0"/>
            </w:tcBorders>
            <w:shd w:val="clear" w:color="auto" w:fill="auto"/>
            <w:vAlign w:val="center"/>
          </w:tcPr>
          <w:p w14:paraId="1B5E235A">
            <w:pPr>
              <w:autoSpaceDE w:val="0"/>
              <w:autoSpaceDN w:val="0"/>
              <w:adjustRightInd w:val="0"/>
              <w:jc w:val="left"/>
              <w:rPr>
                <w:rFonts w:ascii="宋体" w:hAnsi="宋体" w:eastAsia="宋体" w:cs="宋体"/>
                <w:color w:val="auto"/>
                <w:szCs w:val="21"/>
                <w:highlight w:val="none"/>
                <w:shd w:val="clear" w:color="auto" w:fill="FFFFFF"/>
              </w:rPr>
            </w:pPr>
            <w:r>
              <w:rPr>
                <w:rFonts w:hint="eastAsia" w:eastAsia="宋体" w:cs="宋体"/>
                <w:color w:val="auto"/>
                <w:szCs w:val="21"/>
                <w:highlight w:val="none"/>
                <w:lang w:bidi="ar"/>
              </w:rPr>
              <w:t>主要核心部件</w:t>
            </w:r>
            <w:r>
              <w:rPr>
                <w:rFonts w:hint="eastAsia" w:ascii="宋体" w:hAnsi="宋体" w:eastAsia="宋体" w:cs="宋体"/>
                <w:color w:val="auto"/>
                <w:kern w:val="0"/>
                <w:szCs w:val="21"/>
                <w:highlight w:val="none"/>
                <w:lang w:bidi="ar"/>
              </w:rPr>
              <w:t>质保期自车辆及随车设备经招标人</w:t>
            </w:r>
            <w:r>
              <w:rPr>
                <w:rFonts w:hint="eastAsia" w:ascii="宋体" w:hAnsi="宋体" w:eastAsia="宋体" w:cs="宋体"/>
                <w:color w:val="auto"/>
                <w:kern w:val="0"/>
                <w:szCs w:val="21"/>
                <w:highlight w:val="none"/>
                <w:lang w:val="en-US" w:eastAsia="zh-CN" w:bidi="ar"/>
              </w:rPr>
              <w:t>在</w:t>
            </w:r>
            <w:r>
              <w:rPr>
                <w:rFonts w:hint="eastAsia" w:ascii="宋体" w:hAnsi="宋体" w:eastAsia="宋体" w:cs="宋体"/>
                <w:color w:val="auto"/>
                <w:kern w:val="0"/>
                <w:szCs w:val="21"/>
                <w:highlight w:val="none"/>
                <w:lang w:bidi="ar"/>
              </w:rPr>
              <w:t>验收证明上签字确认验收合格之日起</w:t>
            </w:r>
            <w:r>
              <w:rPr>
                <w:rFonts w:hint="eastAsia" w:ascii="宋体" w:hAnsi="宋体" w:eastAsia="宋体" w:cs="宋体"/>
                <w:color w:val="auto"/>
                <w:szCs w:val="21"/>
                <w:highlight w:val="none"/>
                <w:lang w:bidi="ar"/>
              </w:rPr>
              <w:t>为</w:t>
            </w:r>
          </w:p>
        </w:tc>
        <w:tc>
          <w:tcPr>
            <w:tcW w:w="1860" w:type="pct"/>
            <w:tcBorders>
              <w:top w:val="single" w:color="auto" w:sz="4" w:space="0"/>
              <w:left w:val="single" w:color="auto" w:sz="4" w:space="0"/>
              <w:bottom w:val="single" w:color="auto" w:sz="4" w:space="0"/>
              <w:right w:val="single" w:color="auto" w:sz="4" w:space="0"/>
            </w:tcBorders>
            <w:shd w:val="clear" w:color="auto" w:fill="auto"/>
            <w:vAlign w:val="center"/>
          </w:tcPr>
          <w:p w14:paraId="364C7286">
            <w:pPr>
              <w:autoSpaceDE w:val="0"/>
              <w:autoSpaceDN w:val="0"/>
              <w:adjustRightInd w:val="0"/>
              <w:jc w:val="center"/>
              <w:rPr>
                <w:rFonts w:ascii="宋体" w:hAnsi="宋体" w:eastAsia="宋体" w:cs="宋体"/>
                <w:color w:val="auto"/>
                <w:szCs w:val="21"/>
                <w:highlight w:val="none"/>
                <w:shd w:val="clear" w:color="auto" w:fill="FFFFFF"/>
              </w:rPr>
            </w:pP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年</w:t>
            </w:r>
          </w:p>
        </w:tc>
      </w:tr>
      <w:tr w14:paraId="0F1F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3139" w:type="pct"/>
            <w:tcBorders>
              <w:top w:val="single" w:color="auto" w:sz="4" w:space="0"/>
              <w:left w:val="single" w:color="auto" w:sz="4" w:space="0"/>
              <w:bottom w:val="single" w:color="auto" w:sz="4" w:space="0"/>
              <w:right w:val="single" w:color="auto" w:sz="4" w:space="0"/>
            </w:tcBorders>
            <w:shd w:val="clear" w:color="auto" w:fill="auto"/>
            <w:vAlign w:val="center"/>
          </w:tcPr>
          <w:p w14:paraId="3EEB5C1B">
            <w:pPr>
              <w:autoSpaceDE w:val="0"/>
              <w:autoSpaceDN w:val="0"/>
              <w:adjustRightInd w:val="0"/>
              <w:jc w:val="left"/>
              <w:rPr>
                <w:rFonts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lang w:bidi="ar"/>
              </w:rPr>
              <w:t>在合同规定的质保期内，在我司</w:t>
            </w:r>
            <w:r>
              <w:rPr>
                <w:rFonts w:hint="eastAsia" w:ascii="宋体" w:hAnsi="宋体" w:eastAsia="宋体" w:cs="宋体"/>
                <w:color w:val="auto"/>
                <w:szCs w:val="21"/>
                <w:highlight w:val="none"/>
                <w:lang w:bidi="ar"/>
              </w:rPr>
              <w:t>接到招标人的</w:t>
            </w:r>
            <w:r>
              <w:rPr>
                <w:rFonts w:hint="eastAsia" w:ascii="宋体" w:hAnsi="宋体" w:eastAsia="宋体" w:cs="宋体"/>
                <w:color w:val="auto"/>
                <w:kern w:val="0"/>
                <w:szCs w:val="21"/>
                <w:highlight w:val="none"/>
                <w:lang w:bidi="ar"/>
              </w:rPr>
              <w:t>维修通知</w:t>
            </w:r>
            <w:r>
              <w:rPr>
                <w:rFonts w:hint="eastAsia" w:ascii="宋体" w:hAnsi="宋体" w:eastAsia="宋体" w:cs="宋体"/>
                <w:color w:val="auto"/>
                <w:szCs w:val="21"/>
                <w:highlight w:val="none"/>
                <w:lang w:bidi="ar"/>
              </w:rPr>
              <w:t>后响应时间为</w:t>
            </w:r>
          </w:p>
        </w:tc>
        <w:tc>
          <w:tcPr>
            <w:tcW w:w="1860" w:type="pct"/>
            <w:tcBorders>
              <w:top w:val="single" w:color="auto" w:sz="4" w:space="0"/>
              <w:left w:val="single" w:color="auto" w:sz="4" w:space="0"/>
              <w:bottom w:val="single" w:color="auto" w:sz="4" w:space="0"/>
              <w:right w:val="single" w:color="auto" w:sz="4" w:space="0"/>
            </w:tcBorders>
            <w:shd w:val="clear" w:color="auto" w:fill="auto"/>
            <w:vAlign w:val="center"/>
          </w:tcPr>
          <w:p w14:paraId="47F6177F">
            <w:pPr>
              <w:autoSpaceDE w:val="0"/>
              <w:autoSpaceDN w:val="0"/>
              <w:adjustRightInd w:val="0"/>
              <w:jc w:val="center"/>
              <w:rPr>
                <w:rFonts w:ascii="宋体" w:hAnsi="宋体" w:eastAsia="宋体" w:cs="宋体"/>
                <w:color w:val="auto"/>
                <w:szCs w:val="21"/>
                <w:highlight w:val="none"/>
                <w:shd w:val="clear" w:color="auto" w:fill="FFFFFF"/>
              </w:rPr>
            </w:pP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小时内</w:t>
            </w:r>
          </w:p>
        </w:tc>
      </w:tr>
      <w:tr w14:paraId="62ED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3139" w:type="pct"/>
            <w:tcBorders>
              <w:top w:val="single" w:color="auto" w:sz="4" w:space="0"/>
              <w:left w:val="single" w:color="auto" w:sz="4" w:space="0"/>
              <w:bottom w:val="single" w:color="auto" w:sz="4" w:space="0"/>
              <w:right w:val="single" w:color="auto" w:sz="4" w:space="0"/>
            </w:tcBorders>
            <w:shd w:val="clear" w:color="auto" w:fill="auto"/>
            <w:vAlign w:val="center"/>
          </w:tcPr>
          <w:p w14:paraId="0176BBA9">
            <w:pPr>
              <w:autoSpaceDE w:val="0"/>
              <w:autoSpaceDN w:val="0"/>
              <w:adjustRightInd w:val="0"/>
              <w:jc w:val="left"/>
              <w:rPr>
                <w:rFonts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lang w:bidi="ar"/>
              </w:rPr>
              <w:t>在合同规定的质保期内，在我司</w:t>
            </w:r>
            <w:r>
              <w:rPr>
                <w:rFonts w:hint="eastAsia" w:ascii="宋体" w:hAnsi="宋体" w:eastAsia="宋体" w:cs="宋体"/>
                <w:color w:val="auto"/>
                <w:szCs w:val="21"/>
                <w:highlight w:val="none"/>
                <w:lang w:bidi="ar"/>
              </w:rPr>
              <w:t>接到招标人的</w:t>
            </w:r>
            <w:r>
              <w:rPr>
                <w:rFonts w:hint="eastAsia" w:ascii="宋体" w:hAnsi="宋体" w:eastAsia="宋体" w:cs="宋体"/>
                <w:color w:val="auto"/>
                <w:kern w:val="0"/>
                <w:szCs w:val="21"/>
                <w:highlight w:val="none"/>
                <w:lang w:bidi="ar"/>
              </w:rPr>
              <w:t>维修通知</w:t>
            </w:r>
            <w:r>
              <w:rPr>
                <w:rFonts w:hint="eastAsia" w:ascii="宋体" w:hAnsi="宋体" w:eastAsia="宋体" w:cs="宋体"/>
                <w:color w:val="auto"/>
                <w:szCs w:val="21"/>
                <w:highlight w:val="none"/>
                <w:lang w:bidi="ar"/>
              </w:rPr>
              <w:t>后到达</w:t>
            </w:r>
            <w:r>
              <w:rPr>
                <w:rFonts w:hint="eastAsia" w:ascii="宋体" w:hAnsi="宋体" w:eastAsia="宋体" w:cs="宋体"/>
                <w:color w:val="auto"/>
                <w:highlight w:val="none"/>
              </w:rPr>
              <w:t>招标人指定地点</w:t>
            </w:r>
            <w:r>
              <w:rPr>
                <w:rFonts w:hint="eastAsia" w:ascii="宋体" w:hAnsi="宋体" w:eastAsia="宋体" w:cs="宋体"/>
                <w:color w:val="auto"/>
                <w:szCs w:val="21"/>
                <w:highlight w:val="none"/>
                <w:lang w:bidi="ar"/>
              </w:rPr>
              <w:t>的时间为</w:t>
            </w:r>
          </w:p>
        </w:tc>
        <w:tc>
          <w:tcPr>
            <w:tcW w:w="1860" w:type="pct"/>
            <w:tcBorders>
              <w:top w:val="single" w:color="auto" w:sz="4" w:space="0"/>
              <w:left w:val="single" w:color="auto" w:sz="4" w:space="0"/>
              <w:bottom w:val="single" w:color="auto" w:sz="4" w:space="0"/>
              <w:right w:val="single" w:color="auto" w:sz="4" w:space="0"/>
            </w:tcBorders>
            <w:shd w:val="clear" w:color="auto" w:fill="auto"/>
            <w:vAlign w:val="center"/>
          </w:tcPr>
          <w:p w14:paraId="0294653A">
            <w:pPr>
              <w:autoSpaceDE w:val="0"/>
              <w:autoSpaceDN w:val="0"/>
              <w:adjustRightInd w:val="0"/>
              <w:jc w:val="center"/>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小时内</w:t>
            </w:r>
          </w:p>
        </w:tc>
      </w:tr>
    </w:tbl>
    <w:p w14:paraId="7019DA16">
      <w:pPr>
        <w:autoSpaceDE w:val="0"/>
        <w:autoSpaceDN w:val="0"/>
        <w:adjustRightInd w:val="0"/>
        <w:spacing w:line="360" w:lineRule="auto"/>
        <w:jc w:val="left"/>
        <w:rPr>
          <w:rFonts w:ascii="宋体" w:hAnsi="宋体" w:eastAsia="宋体" w:cs="宋体"/>
          <w:color w:val="auto"/>
          <w:szCs w:val="21"/>
          <w:highlight w:val="none"/>
        </w:rPr>
      </w:pPr>
    </w:p>
    <w:p w14:paraId="4DE575AE">
      <w:pPr>
        <w:autoSpaceDE w:val="0"/>
        <w:autoSpaceDN w:val="0"/>
        <w:adjustRightInd w:val="0"/>
        <w:spacing w:line="360" w:lineRule="auto"/>
        <w:jc w:val="left"/>
        <w:rPr>
          <w:rFonts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p w14:paraId="2436FCCF">
      <w:pPr>
        <w:autoSpaceDE w:val="0"/>
        <w:autoSpaceDN w:val="0"/>
        <w:adjustRightInd w:val="0"/>
        <w:spacing w:line="360" w:lineRule="auto"/>
        <w:jc w:val="left"/>
        <w:rPr>
          <w:rFonts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p w14:paraId="1F68E240">
      <w:pPr>
        <w:autoSpaceDE w:val="0"/>
        <w:autoSpaceDN w:val="0"/>
        <w:adjustRightInd w:val="0"/>
        <w:spacing w:line="360" w:lineRule="auto"/>
        <w:ind w:firstLine="5040"/>
        <w:rPr>
          <w:rFonts w:ascii="宋体" w:hAnsi="宋体" w:eastAsia="宋体" w:cs="宋体"/>
          <w:color w:val="auto"/>
          <w:szCs w:val="21"/>
          <w:highlight w:val="none"/>
        </w:rPr>
      </w:pPr>
      <w:r>
        <w:rPr>
          <w:rFonts w:hint="eastAsia" w:ascii="宋体" w:hAnsi="宋体" w:eastAsia="宋体" w:cs="宋体"/>
          <w:color w:val="auto"/>
          <w:szCs w:val="21"/>
          <w:highlight w:val="none"/>
          <w:lang w:bidi="ar"/>
        </w:rPr>
        <w:t>投标人：（加盖投标人法人公章）</w:t>
      </w:r>
    </w:p>
    <w:p w14:paraId="4C20E181">
      <w:pPr>
        <w:autoSpaceDE w:val="0"/>
        <w:autoSpaceDN w:val="0"/>
        <w:adjustRightInd w:val="0"/>
        <w:spacing w:line="360" w:lineRule="auto"/>
        <w:ind w:firstLine="5040"/>
        <w:rPr>
          <w:rFonts w:ascii="宋体" w:hAnsi="宋体" w:eastAsia="宋体" w:cs="宋体"/>
          <w:color w:val="auto"/>
          <w:sz w:val="24"/>
          <w:szCs w:val="24"/>
          <w:highlight w:val="none"/>
        </w:rPr>
      </w:pPr>
      <w:r>
        <w:rPr>
          <w:rFonts w:hint="eastAsia" w:ascii="宋体" w:hAnsi="宋体" w:eastAsia="宋体" w:cs="宋体"/>
          <w:color w:val="auto"/>
          <w:szCs w:val="21"/>
          <w:highlight w:val="none"/>
          <w:lang w:bidi="ar"/>
        </w:rPr>
        <w:t>日期：   年   月   日</w:t>
      </w:r>
    </w:p>
    <w:p w14:paraId="08B11398">
      <w:pPr>
        <w:pageBreakBefore/>
        <w:autoSpaceDE w:val="0"/>
        <w:autoSpaceDN w:val="0"/>
        <w:adjustRightInd w:val="0"/>
        <w:spacing w:line="360" w:lineRule="auto"/>
        <w:jc w:val="left"/>
        <w:outlineLvl w:val="2"/>
        <w:rPr>
          <w:rFonts w:ascii="宋体" w:hAnsi="宋体" w:eastAsia="宋体" w:cs="宋体"/>
          <w:b/>
          <w:color w:val="auto"/>
          <w:kern w:val="0"/>
          <w:sz w:val="30"/>
          <w:szCs w:val="30"/>
          <w:highlight w:val="none"/>
        </w:rPr>
      </w:pPr>
      <w:bookmarkStart w:id="685" w:name="_Toc2113"/>
      <w:r>
        <w:rPr>
          <w:rFonts w:hint="eastAsia" w:ascii="宋体" w:hAnsi="宋体" w:eastAsia="宋体" w:cs="宋体"/>
          <w:b/>
          <w:color w:val="auto"/>
          <w:kern w:val="0"/>
          <w:sz w:val="30"/>
          <w:szCs w:val="30"/>
          <w:highlight w:val="none"/>
          <w:lang w:val="en-US" w:eastAsia="zh-CN"/>
        </w:rPr>
        <w:t xml:space="preserve">14.8 </w:t>
      </w:r>
      <w:r>
        <w:rPr>
          <w:rFonts w:hint="eastAsia" w:ascii="宋体" w:hAnsi="宋体" w:eastAsia="宋体" w:cs="宋体"/>
          <w:b/>
          <w:color w:val="auto"/>
          <w:kern w:val="0"/>
          <w:sz w:val="30"/>
          <w:szCs w:val="30"/>
          <w:highlight w:val="none"/>
        </w:rPr>
        <w:t>投标人认为有必要提供的其它材料（不做强制要求）</w:t>
      </w:r>
      <w:bookmarkEnd w:id="667"/>
      <w:bookmarkEnd w:id="668"/>
      <w:bookmarkEnd w:id="669"/>
      <w:bookmarkEnd w:id="670"/>
      <w:bookmarkEnd w:id="671"/>
      <w:bookmarkEnd w:id="677"/>
      <w:bookmarkEnd w:id="678"/>
      <w:bookmarkEnd w:id="685"/>
    </w:p>
    <w:p w14:paraId="724CF472">
      <w:pPr>
        <w:autoSpaceDE w:val="0"/>
        <w:autoSpaceDN w:val="0"/>
        <w:adjustRightInd w:val="0"/>
        <w:jc w:val="left"/>
        <w:rPr>
          <w:rFonts w:ascii="宋体" w:hAnsi="宋体" w:eastAsia="宋体" w:cs="Times New Roman"/>
          <w:color w:val="auto"/>
          <w:kern w:val="0"/>
          <w:sz w:val="24"/>
          <w:szCs w:val="24"/>
          <w:highlight w:val="none"/>
        </w:rPr>
      </w:pPr>
    </w:p>
    <w:p w14:paraId="2DA4085D">
      <w:pPr>
        <w:autoSpaceDE w:val="0"/>
        <w:autoSpaceDN w:val="0"/>
        <w:adjustRightInd w:val="0"/>
        <w:jc w:val="left"/>
        <w:rPr>
          <w:rFonts w:ascii="宋体" w:hAnsi="宋体" w:eastAsia="宋体" w:cs="Times New Roman"/>
          <w:color w:val="auto"/>
          <w:kern w:val="0"/>
          <w:sz w:val="24"/>
          <w:szCs w:val="24"/>
          <w:highlight w:val="none"/>
        </w:rPr>
      </w:pPr>
    </w:p>
    <w:p w14:paraId="1C64E16C">
      <w:pPr>
        <w:autoSpaceDE w:val="0"/>
        <w:autoSpaceDN w:val="0"/>
        <w:adjustRightInd w:val="0"/>
        <w:jc w:val="left"/>
        <w:rPr>
          <w:rFonts w:ascii="宋体" w:hAnsi="宋体" w:eastAsia="宋体" w:cs="Times New Roman"/>
          <w:color w:val="auto"/>
          <w:kern w:val="0"/>
          <w:sz w:val="24"/>
          <w:szCs w:val="24"/>
          <w:highlight w:val="none"/>
        </w:rPr>
      </w:pPr>
    </w:p>
    <w:p w14:paraId="5A1412D5">
      <w:pPr>
        <w:autoSpaceDE w:val="0"/>
        <w:autoSpaceDN w:val="0"/>
        <w:adjustRightInd w:val="0"/>
        <w:jc w:val="left"/>
        <w:rPr>
          <w:rFonts w:ascii="宋体" w:hAnsi="宋体" w:eastAsia="宋体" w:cs="Times New Roman"/>
          <w:color w:val="auto"/>
          <w:kern w:val="0"/>
          <w:sz w:val="24"/>
          <w:szCs w:val="24"/>
          <w:highlight w:val="none"/>
        </w:rPr>
      </w:pPr>
    </w:p>
    <w:p w14:paraId="6C534F0D">
      <w:pPr>
        <w:autoSpaceDE w:val="0"/>
        <w:autoSpaceDN w:val="0"/>
        <w:adjustRightInd w:val="0"/>
        <w:jc w:val="left"/>
        <w:rPr>
          <w:rFonts w:ascii="宋体" w:hAnsi="宋体" w:eastAsia="宋体" w:cs="Times New Roman"/>
          <w:color w:val="auto"/>
          <w:kern w:val="0"/>
          <w:sz w:val="24"/>
          <w:szCs w:val="24"/>
          <w:highlight w:val="none"/>
        </w:rPr>
      </w:pPr>
    </w:p>
    <w:p w14:paraId="33810C13">
      <w:pPr>
        <w:autoSpaceDE w:val="0"/>
        <w:autoSpaceDN w:val="0"/>
        <w:adjustRightInd w:val="0"/>
        <w:jc w:val="left"/>
        <w:rPr>
          <w:rFonts w:ascii="宋体" w:hAnsi="宋体" w:eastAsia="宋体" w:cs="Times New Roman"/>
          <w:color w:val="auto"/>
          <w:kern w:val="0"/>
          <w:sz w:val="24"/>
          <w:szCs w:val="24"/>
          <w:highlight w:val="none"/>
        </w:rPr>
      </w:pPr>
    </w:p>
    <w:p w14:paraId="6120D816">
      <w:pPr>
        <w:widowControl/>
        <w:jc w:val="left"/>
        <w:rPr>
          <w:rFonts w:ascii="宋体" w:hAnsi="宋体" w:eastAsia="宋体" w:cs="Times New Roman"/>
          <w:color w:val="auto"/>
          <w:kern w:val="0"/>
          <w:sz w:val="24"/>
          <w:szCs w:val="24"/>
          <w:highlight w:val="none"/>
        </w:rPr>
      </w:pPr>
      <w:r>
        <w:rPr>
          <w:rFonts w:ascii="宋体" w:hAnsi="宋体" w:eastAsia="宋体" w:cs="Times New Roman"/>
          <w:color w:val="auto"/>
          <w:kern w:val="0"/>
          <w:sz w:val="24"/>
          <w:szCs w:val="24"/>
          <w:highlight w:val="none"/>
        </w:rPr>
        <w:br w:type="page"/>
      </w:r>
    </w:p>
    <w:p w14:paraId="0319D89A">
      <w:pPr>
        <w:autoSpaceDE w:val="0"/>
        <w:autoSpaceDN w:val="0"/>
        <w:adjustRightInd w:val="0"/>
        <w:jc w:val="left"/>
        <w:rPr>
          <w:rFonts w:ascii="宋体" w:hAnsi="宋体" w:eastAsia="宋体" w:cs="Times New Roman"/>
          <w:color w:val="auto"/>
          <w:kern w:val="0"/>
          <w:sz w:val="24"/>
          <w:szCs w:val="24"/>
          <w:highlight w:val="none"/>
        </w:rPr>
      </w:pPr>
    </w:p>
    <w:p w14:paraId="67F2055D">
      <w:pPr>
        <w:tabs>
          <w:tab w:val="left" w:pos="1080"/>
        </w:tabs>
        <w:autoSpaceDE w:val="0"/>
        <w:autoSpaceDN w:val="0"/>
        <w:adjustRightInd w:val="0"/>
        <w:spacing w:line="360" w:lineRule="auto"/>
        <w:jc w:val="left"/>
        <w:outlineLvl w:val="0"/>
        <w:rPr>
          <w:rFonts w:ascii="宋体" w:hAnsi="宋体" w:eastAsia="宋体" w:cs="宋体"/>
          <w:b/>
          <w:bCs/>
          <w:color w:val="auto"/>
          <w:kern w:val="44"/>
          <w:sz w:val="32"/>
          <w:szCs w:val="32"/>
          <w:highlight w:val="none"/>
          <w:lang w:val="zh-CN"/>
        </w:rPr>
      </w:pPr>
      <w:bookmarkStart w:id="686" w:name="_Toc25469"/>
      <w:bookmarkStart w:id="687" w:name="_Toc28845"/>
      <w:bookmarkStart w:id="688" w:name="_Toc3113"/>
      <w:bookmarkStart w:id="689" w:name="_Toc142508390"/>
      <w:bookmarkStart w:id="690" w:name="_Toc522047402"/>
      <w:bookmarkStart w:id="691" w:name="_Toc22601_WPSOffice_Level1"/>
      <w:bookmarkStart w:id="692" w:name="_Toc521918141"/>
      <w:r>
        <w:rPr>
          <w:rFonts w:hint="eastAsia" w:ascii="宋体" w:hAnsi="宋体" w:eastAsia="宋体" w:cs="宋体"/>
          <w:b/>
          <w:bCs/>
          <w:color w:val="auto"/>
          <w:kern w:val="44"/>
          <w:sz w:val="32"/>
          <w:szCs w:val="32"/>
          <w:highlight w:val="none"/>
          <w:lang w:val="zh-CN"/>
        </w:rPr>
        <w:t>附件一：评标工作大纲</w:t>
      </w:r>
      <w:bookmarkEnd w:id="686"/>
      <w:bookmarkEnd w:id="687"/>
      <w:bookmarkEnd w:id="688"/>
      <w:bookmarkEnd w:id="689"/>
    </w:p>
    <w:p w14:paraId="68809E3D">
      <w:pPr>
        <w:autoSpaceDE w:val="0"/>
        <w:autoSpaceDN w:val="0"/>
        <w:adjustRightInd w:val="0"/>
        <w:spacing w:line="400" w:lineRule="atLeast"/>
        <w:jc w:val="center"/>
        <w:rPr>
          <w:rFonts w:ascii="宋体" w:hAnsi="宋体" w:eastAsia="宋体" w:cs="宋体"/>
          <w:b/>
          <w:bCs/>
          <w:color w:val="auto"/>
          <w:szCs w:val="21"/>
          <w:highlight w:val="none"/>
        </w:rPr>
      </w:pPr>
    </w:p>
    <w:p w14:paraId="7D256C5D">
      <w:pPr>
        <w:autoSpaceDE w:val="0"/>
        <w:autoSpaceDN w:val="0"/>
        <w:adjustRightInd w:val="0"/>
        <w:spacing w:line="400" w:lineRule="atLeast"/>
        <w:jc w:val="center"/>
        <w:rPr>
          <w:rFonts w:ascii="宋体" w:hAnsi="宋体" w:eastAsia="宋体" w:cs="宋体"/>
          <w:b/>
          <w:bCs/>
          <w:color w:val="auto"/>
          <w:szCs w:val="21"/>
          <w:highlight w:val="none"/>
        </w:rPr>
      </w:pPr>
    </w:p>
    <w:p w14:paraId="5127438F">
      <w:pPr>
        <w:autoSpaceDE w:val="0"/>
        <w:autoSpaceDN w:val="0"/>
        <w:adjustRightInd w:val="0"/>
        <w:spacing w:line="400" w:lineRule="atLeast"/>
        <w:jc w:val="center"/>
        <w:rPr>
          <w:rFonts w:ascii="宋体" w:hAnsi="宋体" w:eastAsia="宋体" w:cs="宋体"/>
          <w:b/>
          <w:bCs/>
          <w:color w:val="auto"/>
          <w:szCs w:val="21"/>
          <w:highlight w:val="none"/>
        </w:rPr>
      </w:pPr>
    </w:p>
    <w:p w14:paraId="617D5EE4">
      <w:pPr>
        <w:autoSpaceDE w:val="0"/>
        <w:autoSpaceDN w:val="0"/>
        <w:adjustRightInd w:val="0"/>
        <w:spacing w:line="400" w:lineRule="atLeast"/>
        <w:jc w:val="center"/>
        <w:rPr>
          <w:rFonts w:ascii="宋体" w:hAnsi="宋体" w:eastAsia="宋体" w:cs="宋体"/>
          <w:b/>
          <w:bCs/>
          <w:color w:val="auto"/>
          <w:szCs w:val="21"/>
          <w:highlight w:val="none"/>
        </w:rPr>
      </w:pPr>
    </w:p>
    <w:p w14:paraId="5523E5A1">
      <w:pPr>
        <w:autoSpaceDE w:val="0"/>
        <w:autoSpaceDN w:val="0"/>
        <w:adjustRightInd w:val="0"/>
        <w:spacing w:line="360" w:lineRule="auto"/>
        <w:jc w:val="center"/>
        <w:rPr>
          <w:rFonts w:hint="eastAsia" w:ascii="宋体" w:hAnsi="宋体" w:eastAsia="宋体" w:cs="宋体"/>
          <w:b/>
          <w:bCs/>
          <w:color w:val="auto"/>
          <w:sz w:val="36"/>
          <w:szCs w:val="44"/>
          <w:highlight w:val="none"/>
          <w:lang w:eastAsia="zh-CN"/>
        </w:rPr>
      </w:pPr>
      <w:r>
        <w:rPr>
          <w:rFonts w:hint="eastAsia" w:ascii="宋体" w:hAnsi="宋体" w:eastAsia="宋体" w:cs="宋体"/>
          <w:b/>
          <w:bCs/>
          <w:color w:val="auto"/>
          <w:sz w:val="40"/>
          <w:szCs w:val="36"/>
          <w:highlight w:val="none"/>
          <w:lang w:eastAsia="zh-CN"/>
        </w:rPr>
        <w:t>东莞市水务环境投资控股集团管网有限公司2026年防撞缓冲车采购项目（第四次招标）</w:t>
      </w:r>
    </w:p>
    <w:p w14:paraId="09D4A59E">
      <w:pPr>
        <w:autoSpaceDE w:val="0"/>
        <w:autoSpaceDN w:val="0"/>
        <w:adjustRightInd w:val="0"/>
        <w:spacing w:line="360" w:lineRule="auto"/>
        <w:jc w:val="center"/>
        <w:rPr>
          <w:rFonts w:ascii="宋体" w:hAnsi="宋体" w:eastAsia="宋体" w:cs="宋体"/>
          <w:b/>
          <w:bCs/>
          <w:color w:val="auto"/>
          <w:sz w:val="36"/>
          <w:szCs w:val="36"/>
          <w:highlight w:val="none"/>
        </w:rPr>
      </w:pPr>
      <w:bookmarkStart w:id="693" w:name="_Toc14752_WPSOffice_Level1"/>
      <w:r>
        <w:rPr>
          <w:rFonts w:hint="eastAsia" w:ascii="宋体" w:hAnsi="宋体" w:eastAsia="宋体" w:cs="宋体"/>
          <w:b/>
          <w:bCs/>
          <w:color w:val="auto"/>
          <w:sz w:val="36"/>
          <w:szCs w:val="36"/>
          <w:highlight w:val="none"/>
          <w:lang w:val="zh-CN"/>
        </w:rPr>
        <w:t>（招标编号：</w:t>
      </w:r>
      <w:r>
        <w:rPr>
          <w:rFonts w:hint="eastAsia" w:ascii="宋体" w:hAnsi="宋体" w:eastAsia="宋体" w:cs="宋体"/>
          <w:b/>
          <w:bCs/>
          <w:color w:val="auto"/>
          <w:sz w:val="36"/>
          <w:szCs w:val="36"/>
          <w:highlight w:val="none"/>
          <w:lang w:val="en-US" w:eastAsia="zh-CN"/>
        </w:rPr>
        <w:t>TC269400L</w:t>
      </w:r>
      <w:r>
        <w:rPr>
          <w:rFonts w:hint="eastAsia" w:ascii="宋体" w:hAnsi="宋体" w:eastAsia="宋体" w:cs="宋体"/>
          <w:b/>
          <w:bCs/>
          <w:color w:val="auto"/>
          <w:sz w:val="36"/>
          <w:szCs w:val="36"/>
          <w:highlight w:val="none"/>
          <w:lang w:val="zh-CN"/>
        </w:rPr>
        <w:t>）</w:t>
      </w:r>
      <w:bookmarkEnd w:id="693"/>
    </w:p>
    <w:p w14:paraId="4FD95975">
      <w:pPr>
        <w:autoSpaceDE w:val="0"/>
        <w:autoSpaceDN w:val="0"/>
        <w:adjustRightInd w:val="0"/>
        <w:spacing w:line="400" w:lineRule="atLeast"/>
        <w:jc w:val="center"/>
        <w:rPr>
          <w:rFonts w:ascii="宋体" w:hAnsi="宋体" w:eastAsia="宋体" w:cs="宋体"/>
          <w:b/>
          <w:bCs/>
          <w:color w:val="auto"/>
          <w:sz w:val="36"/>
          <w:szCs w:val="36"/>
          <w:highlight w:val="none"/>
        </w:rPr>
      </w:pPr>
    </w:p>
    <w:p w14:paraId="5D59A6B8">
      <w:pPr>
        <w:autoSpaceDE w:val="0"/>
        <w:autoSpaceDN w:val="0"/>
        <w:adjustRightInd w:val="0"/>
        <w:spacing w:line="400" w:lineRule="atLeast"/>
        <w:jc w:val="center"/>
        <w:rPr>
          <w:rFonts w:ascii="宋体" w:hAnsi="宋体" w:eastAsia="宋体" w:cs="宋体"/>
          <w:b/>
          <w:bCs/>
          <w:color w:val="auto"/>
          <w:sz w:val="36"/>
          <w:szCs w:val="36"/>
          <w:highlight w:val="none"/>
        </w:rPr>
      </w:pPr>
    </w:p>
    <w:p w14:paraId="21E914E6">
      <w:pPr>
        <w:autoSpaceDE w:val="0"/>
        <w:autoSpaceDN w:val="0"/>
        <w:adjustRightInd w:val="0"/>
        <w:spacing w:line="400" w:lineRule="atLeast"/>
        <w:jc w:val="center"/>
        <w:rPr>
          <w:rFonts w:ascii="宋体" w:hAnsi="宋体" w:eastAsia="宋体" w:cs="宋体"/>
          <w:b/>
          <w:bCs/>
          <w:color w:val="auto"/>
          <w:sz w:val="36"/>
          <w:szCs w:val="36"/>
          <w:highlight w:val="none"/>
        </w:rPr>
      </w:pPr>
    </w:p>
    <w:p w14:paraId="4D3C638F">
      <w:pPr>
        <w:autoSpaceDE w:val="0"/>
        <w:autoSpaceDN w:val="0"/>
        <w:adjustRightInd w:val="0"/>
        <w:spacing w:line="400" w:lineRule="atLeast"/>
        <w:jc w:val="center"/>
        <w:rPr>
          <w:rFonts w:ascii="宋体" w:hAnsi="宋体" w:eastAsia="宋体" w:cs="宋体"/>
          <w:b/>
          <w:bCs/>
          <w:color w:val="auto"/>
          <w:sz w:val="36"/>
          <w:szCs w:val="36"/>
          <w:highlight w:val="none"/>
        </w:rPr>
      </w:pPr>
    </w:p>
    <w:p w14:paraId="714657CF">
      <w:pPr>
        <w:autoSpaceDE w:val="0"/>
        <w:autoSpaceDN w:val="0"/>
        <w:adjustRightInd w:val="0"/>
        <w:spacing w:line="400" w:lineRule="atLeast"/>
        <w:jc w:val="center"/>
        <w:rPr>
          <w:rFonts w:ascii="宋体" w:hAnsi="宋体" w:eastAsia="宋体" w:cs="宋体"/>
          <w:b/>
          <w:bCs/>
          <w:color w:val="auto"/>
          <w:sz w:val="72"/>
          <w:szCs w:val="72"/>
          <w:highlight w:val="none"/>
          <w:lang w:val="zh-CN"/>
        </w:rPr>
      </w:pPr>
      <w:bookmarkStart w:id="694" w:name="_Toc18947_WPSOffice_Level2"/>
      <w:r>
        <w:rPr>
          <w:rFonts w:hint="eastAsia" w:ascii="宋体" w:hAnsi="宋体" w:eastAsia="宋体" w:cs="宋体"/>
          <w:b/>
          <w:bCs/>
          <w:color w:val="auto"/>
          <w:sz w:val="72"/>
          <w:szCs w:val="72"/>
          <w:highlight w:val="none"/>
          <w:lang w:val="zh-CN"/>
        </w:rPr>
        <w:t>评标工作大纲</w:t>
      </w:r>
      <w:bookmarkEnd w:id="694"/>
    </w:p>
    <w:p w14:paraId="792651EF">
      <w:pPr>
        <w:autoSpaceDE w:val="0"/>
        <w:autoSpaceDN w:val="0"/>
        <w:adjustRightInd w:val="0"/>
        <w:spacing w:line="400" w:lineRule="atLeast"/>
        <w:jc w:val="center"/>
        <w:rPr>
          <w:rFonts w:ascii="宋体" w:hAnsi="宋体" w:eastAsia="宋体" w:cs="宋体"/>
          <w:b/>
          <w:bCs/>
          <w:color w:val="auto"/>
          <w:sz w:val="36"/>
          <w:szCs w:val="36"/>
          <w:highlight w:val="none"/>
        </w:rPr>
      </w:pPr>
    </w:p>
    <w:p w14:paraId="1FCA7F09">
      <w:pPr>
        <w:autoSpaceDE w:val="0"/>
        <w:autoSpaceDN w:val="0"/>
        <w:adjustRightInd w:val="0"/>
        <w:spacing w:line="400" w:lineRule="atLeast"/>
        <w:rPr>
          <w:rFonts w:ascii="宋体" w:hAnsi="宋体" w:eastAsia="宋体" w:cs="宋体"/>
          <w:b/>
          <w:bCs/>
          <w:color w:val="auto"/>
          <w:sz w:val="36"/>
          <w:szCs w:val="36"/>
          <w:highlight w:val="none"/>
        </w:rPr>
      </w:pPr>
    </w:p>
    <w:p w14:paraId="03B43034">
      <w:pPr>
        <w:autoSpaceDE w:val="0"/>
        <w:autoSpaceDN w:val="0"/>
        <w:adjustRightInd w:val="0"/>
        <w:spacing w:line="400" w:lineRule="atLeast"/>
        <w:jc w:val="center"/>
        <w:rPr>
          <w:rFonts w:ascii="宋体" w:hAnsi="宋体" w:eastAsia="宋体" w:cs="宋体"/>
          <w:b/>
          <w:bCs/>
          <w:color w:val="auto"/>
          <w:sz w:val="36"/>
          <w:szCs w:val="36"/>
          <w:highlight w:val="none"/>
        </w:rPr>
      </w:pPr>
    </w:p>
    <w:p w14:paraId="696D8ED8">
      <w:pPr>
        <w:autoSpaceDE w:val="0"/>
        <w:autoSpaceDN w:val="0"/>
        <w:adjustRightInd w:val="0"/>
        <w:spacing w:line="400" w:lineRule="atLeast"/>
        <w:jc w:val="center"/>
        <w:rPr>
          <w:rFonts w:ascii="宋体" w:hAnsi="宋体" w:eastAsia="宋体" w:cs="宋体"/>
          <w:b/>
          <w:bCs/>
          <w:color w:val="auto"/>
          <w:sz w:val="36"/>
          <w:szCs w:val="36"/>
          <w:highlight w:val="none"/>
        </w:rPr>
      </w:pPr>
    </w:p>
    <w:p w14:paraId="7438BD79">
      <w:pPr>
        <w:autoSpaceDE w:val="0"/>
        <w:autoSpaceDN w:val="0"/>
        <w:adjustRightInd w:val="0"/>
        <w:spacing w:line="400" w:lineRule="atLeast"/>
        <w:jc w:val="center"/>
        <w:rPr>
          <w:rFonts w:ascii="宋体" w:hAnsi="宋体" w:eastAsia="宋体" w:cs="宋体"/>
          <w:b/>
          <w:bCs/>
          <w:color w:val="auto"/>
          <w:sz w:val="36"/>
          <w:szCs w:val="36"/>
          <w:highlight w:val="none"/>
        </w:rPr>
      </w:pPr>
    </w:p>
    <w:p w14:paraId="5477CBCD">
      <w:pPr>
        <w:autoSpaceDE w:val="0"/>
        <w:autoSpaceDN w:val="0"/>
        <w:adjustRightInd w:val="0"/>
        <w:spacing w:line="400" w:lineRule="atLeast"/>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中招国际招标有限公司</w:t>
      </w:r>
    </w:p>
    <w:p w14:paraId="736657F5">
      <w:pPr>
        <w:autoSpaceDE w:val="0"/>
        <w:autoSpaceDN w:val="0"/>
        <w:adjustRightInd w:val="0"/>
        <w:spacing w:line="400" w:lineRule="atLeast"/>
        <w:jc w:val="center"/>
        <w:rPr>
          <w:rFonts w:ascii="宋体" w:hAnsi="宋体" w:eastAsia="宋体" w:cs="宋体"/>
          <w:b/>
          <w:bCs/>
          <w:color w:val="auto"/>
          <w:sz w:val="36"/>
          <w:szCs w:val="36"/>
          <w:highlight w:val="none"/>
        </w:rPr>
      </w:pPr>
    </w:p>
    <w:p w14:paraId="520C707E">
      <w:pPr>
        <w:autoSpaceDE w:val="0"/>
        <w:autoSpaceDN w:val="0"/>
        <w:adjustRightInd w:val="0"/>
        <w:spacing w:line="400" w:lineRule="atLeast"/>
        <w:jc w:val="center"/>
        <w:rPr>
          <w:rFonts w:ascii="宋体" w:hAnsi="宋体" w:eastAsia="宋体" w:cs="宋体"/>
          <w:b/>
          <w:bCs/>
          <w:color w:val="auto"/>
          <w:sz w:val="36"/>
          <w:szCs w:val="36"/>
          <w:highlight w:val="none"/>
        </w:rPr>
      </w:pPr>
      <w:r>
        <w:rPr>
          <w:rFonts w:hint="eastAsia" w:ascii="宋体" w:hAnsi="宋体" w:eastAsia="宋体" w:cs="宋体"/>
          <w:color w:val="auto"/>
          <w:sz w:val="44"/>
          <w:szCs w:val="44"/>
          <w:highlight w:val="none"/>
        </w:rPr>
        <w:br w:type="page"/>
      </w:r>
      <w:bookmarkStart w:id="695" w:name="_Toc32395_WPSOffice_Level1"/>
      <w:r>
        <w:rPr>
          <w:rFonts w:hint="eastAsia" w:ascii="宋体" w:hAnsi="宋体" w:eastAsia="宋体" w:cs="宋体"/>
          <w:b/>
          <w:bCs/>
          <w:color w:val="auto"/>
          <w:sz w:val="36"/>
          <w:szCs w:val="36"/>
          <w:highlight w:val="none"/>
          <w:lang w:val="zh-CN"/>
        </w:rPr>
        <w:t>目录</w:t>
      </w:r>
      <w:bookmarkEnd w:id="695"/>
    </w:p>
    <w:p w14:paraId="6F49D00C">
      <w:pPr>
        <w:autoSpaceDE w:val="0"/>
        <w:autoSpaceDN w:val="0"/>
        <w:adjustRightInd w:val="0"/>
        <w:spacing w:line="400" w:lineRule="atLeast"/>
        <w:jc w:val="center"/>
        <w:rPr>
          <w:rFonts w:ascii="宋体" w:hAnsi="宋体" w:eastAsia="宋体" w:cs="宋体"/>
          <w:color w:val="auto"/>
          <w:sz w:val="44"/>
          <w:szCs w:val="44"/>
          <w:highlight w:val="none"/>
        </w:rPr>
      </w:pPr>
    </w:p>
    <w:p w14:paraId="186F1A10">
      <w:pPr>
        <w:autoSpaceDE w:val="0"/>
        <w:autoSpaceDN w:val="0"/>
        <w:adjustRightInd w:val="0"/>
        <w:spacing w:line="360" w:lineRule="auto"/>
        <w:ind w:left="567" w:hanging="567"/>
        <w:rPr>
          <w:rFonts w:ascii="宋体" w:hAnsi="宋体" w:eastAsia="宋体" w:cs="宋体"/>
          <w:color w:val="auto"/>
          <w:szCs w:val="30"/>
          <w:highlight w:val="none"/>
        </w:rPr>
      </w:pPr>
      <w:bookmarkStart w:id="696" w:name="_Toc21604_WPSOffice_Level1"/>
      <w:r>
        <w:rPr>
          <w:rFonts w:hint="eastAsia" w:ascii="宋体" w:hAnsi="宋体" w:eastAsia="宋体" w:cs="宋体"/>
          <w:color w:val="auto"/>
          <w:szCs w:val="30"/>
          <w:highlight w:val="none"/>
          <w:lang w:val="zh-CN"/>
        </w:rPr>
        <w:t>一、</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总则</w:t>
      </w:r>
      <w:bookmarkEnd w:id="696"/>
    </w:p>
    <w:p w14:paraId="02C34CEF">
      <w:pPr>
        <w:autoSpaceDE w:val="0"/>
        <w:autoSpaceDN w:val="0"/>
        <w:adjustRightInd w:val="0"/>
        <w:spacing w:line="360" w:lineRule="auto"/>
        <w:ind w:left="567" w:hanging="567"/>
        <w:rPr>
          <w:rFonts w:ascii="宋体" w:hAnsi="宋体" w:eastAsia="宋体" w:cs="宋体"/>
          <w:color w:val="auto"/>
          <w:szCs w:val="30"/>
          <w:highlight w:val="none"/>
        </w:rPr>
      </w:pPr>
      <w:bookmarkStart w:id="697" w:name="_Toc1387_WPSOffice_Level1"/>
      <w:r>
        <w:rPr>
          <w:rFonts w:hint="eastAsia" w:ascii="宋体" w:hAnsi="宋体" w:eastAsia="宋体" w:cs="宋体"/>
          <w:color w:val="auto"/>
          <w:szCs w:val="30"/>
          <w:highlight w:val="none"/>
          <w:lang w:val="zh-CN"/>
        </w:rPr>
        <w:t>二、</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投标文件的初审</w:t>
      </w:r>
      <w:bookmarkEnd w:id="697"/>
    </w:p>
    <w:p w14:paraId="2A1E520B">
      <w:pPr>
        <w:autoSpaceDE w:val="0"/>
        <w:autoSpaceDN w:val="0"/>
        <w:adjustRightInd w:val="0"/>
        <w:spacing w:line="360" w:lineRule="auto"/>
        <w:ind w:left="567" w:hanging="567"/>
        <w:rPr>
          <w:rFonts w:ascii="宋体" w:hAnsi="宋体" w:eastAsia="宋体" w:cs="宋体"/>
          <w:color w:val="auto"/>
          <w:szCs w:val="30"/>
          <w:highlight w:val="none"/>
        </w:rPr>
      </w:pPr>
      <w:bookmarkStart w:id="698" w:name="_Toc30284_WPSOffice_Level1"/>
      <w:r>
        <w:rPr>
          <w:rFonts w:hint="eastAsia" w:ascii="宋体" w:hAnsi="宋体" w:eastAsia="宋体" w:cs="宋体"/>
          <w:color w:val="auto"/>
          <w:szCs w:val="30"/>
          <w:highlight w:val="none"/>
          <w:lang w:val="zh-CN"/>
        </w:rPr>
        <w:t>三、</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澄清有关问题</w:t>
      </w:r>
      <w:bookmarkEnd w:id="698"/>
    </w:p>
    <w:p w14:paraId="2EAA0EE3">
      <w:pPr>
        <w:autoSpaceDE w:val="0"/>
        <w:autoSpaceDN w:val="0"/>
        <w:adjustRightInd w:val="0"/>
        <w:spacing w:line="360" w:lineRule="auto"/>
        <w:ind w:left="567" w:hanging="567"/>
        <w:rPr>
          <w:rFonts w:ascii="宋体" w:hAnsi="宋体" w:eastAsia="宋体" w:cs="宋体"/>
          <w:color w:val="auto"/>
          <w:szCs w:val="30"/>
          <w:highlight w:val="none"/>
        </w:rPr>
      </w:pPr>
      <w:bookmarkStart w:id="699" w:name="_Toc1206_WPSOffice_Level1"/>
      <w:r>
        <w:rPr>
          <w:rFonts w:hint="eastAsia" w:ascii="宋体" w:hAnsi="宋体" w:eastAsia="宋体" w:cs="宋体"/>
          <w:color w:val="auto"/>
          <w:szCs w:val="30"/>
          <w:highlight w:val="none"/>
        </w:rPr>
        <w:t>四、 比较和评价</w:t>
      </w:r>
      <w:bookmarkEnd w:id="699"/>
    </w:p>
    <w:p w14:paraId="08483791">
      <w:pPr>
        <w:autoSpaceDE w:val="0"/>
        <w:autoSpaceDN w:val="0"/>
        <w:adjustRightInd w:val="0"/>
        <w:spacing w:line="360" w:lineRule="auto"/>
        <w:ind w:left="567" w:hanging="567"/>
        <w:rPr>
          <w:rFonts w:ascii="宋体" w:hAnsi="宋体" w:eastAsia="宋体" w:cs="宋体"/>
          <w:color w:val="auto"/>
          <w:szCs w:val="30"/>
          <w:highlight w:val="none"/>
        </w:rPr>
      </w:pPr>
      <w:bookmarkStart w:id="700" w:name="_Toc12163_WPSOffice_Level1"/>
      <w:r>
        <w:rPr>
          <w:rFonts w:hint="eastAsia" w:ascii="宋体" w:hAnsi="宋体" w:eastAsia="宋体" w:cs="宋体"/>
          <w:color w:val="auto"/>
          <w:szCs w:val="30"/>
          <w:highlight w:val="none"/>
          <w:lang w:val="zh-CN"/>
        </w:rPr>
        <w:t>五、</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推荐中标候选人名单</w:t>
      </w:r>
      <w:bookmarkEnd w:id="700"/>
    </w:p>
    <w:p w14:paraId="698A0E35">
      <w:pPr>
        <w:autoSpaceDE w:val="0"/>
        <w:autoSpaceDN w:val="0"/>
        <w:adjustRightInd w:val="0"/>
        <w:spacing w:line="360" w:lineRule="auto"/>
        <w:ind w:left="567" w:hanging="567"/>
        <w:rPr>
          <w:rFonts w:ascii="宋体" w:hAnsi="宋体" w:eastAsia="宋体" w:cs="宋体"/>
          <w:color w:val="auto"/>
          <w:szCs w:val="30"/>
          <w:highlight w:val="none"/>
        </w:rPr>
      </w:pPr>
      <w:bookmarkStart w:id="701" w:name="_Toc366_WPSOffice_Level1"/>
      <w:r>
        <w:rPr>
          <w:rFonts w:hint="eastAsia" w:ascii="宋体" w:hAnsi="宋体" w:eastAsia="宋体" w:cs="宋体"/>
          <w:color w:val="auto"/>
          <w:szCs w:val="30"/>
          <w:highlight w:val="none"/>
          <w:lang w:val="zh-CN"/>
        </w:rPr>
        <w:t>六、</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编写评标报告</w:t>
      </w:r>
      <w:bookmarkEnd w:id="701"/>
    </w:p>
    <w:p w14:paraId="2D590354">
      <w:pPr>
        <w:autoSpaceDE w:val="0"/>
        <w:autoSpaceDN w:val="0"/>
        <w:adjustRightInd w:val="0"/>
        <w:spacing w:line="360" w:lineRule="auto"/>
        <w:ind w:left="567" w:hanging="567"/>
        <w:rPr>
          <w:rFonts w:ascii="宋体" w:hAnsi="宋体" w:eastAsia="宋体" w:cs="宋体"/>
          <w:color w:val="auto"/>
          <w:szCs w:val="30"/>
          <w:highlight w:val="none"/>
        </w:rPr>
      </w:pPr>
      <w:bookmarkStart w:id="702" w:name="_Toc22378_WPSOffice_Level1"/>
      <w:r>
        <w:rPr>
          <w:rFonts w:hint="eastAsia" w:ascii="宋体" w:hAnsi="宋体" w:eastAsia="宋体" w:cs="宋体"/>
          <w:color w:val="auto"/>
          <w:szCs w:val="30"/>
          <w:highlight w:val="none"/>
          <w:lang w:val="zh-CN"/>
        </w:rPr>
        <w:t>七、</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注意事项</w:t>
      </w:r>
      <w:bookmarkEnd w:id="702"/>
    </w:p>
    <w:p w14:paraId="39CCB7AF">
      <w:pPr>
        <w:tabs>
          <w:tab w:val="right" w:pos="7320"/>
        </w:tabs>
        <w:autoSpaceDE w:val="0"/>
        <w:autoSpaceDN w:val="0"/>
        <w:adjustRightInd w:val="0"/>
        <w:spacing w:line="360" w:lineRule="auto"/>
        <w:ind w:left="720" w:hanging="720"/>
        <w:rPr>
          <w:rFonts w:ascii="宋体" w:hAnsi="宋体" w:eastAsia="宋体" w:cs="宋体"/>
          <w:color w:val="auto"/>
          <w:szCs w:val="30"/>
          <w:highlight w:val="none"/>
        </w:rPr>
      </w:pPr>
    </w:p>
    <w:p w14:paraId="21F7D522">
      <w:pPr>
        <w:tabs>
          <w:tab w:val="right" w:pos="7320"/>
        </w:tabs>
        <w:autoSpaceDE w:val="0"/>
        <w:autoSpaceDN w:val="0"/>
        <w:adjustRightInd w:val="0"/>
        <w:spacing w:line="360" w:lineRule="auto"/>
        <w:ind w:left="720" w:hanging="720"/>
        <w:rPr>
          <w:rFonts w:ascii="宋体" w:hAnsi="宋体" w:eastAsia="宋体" w:cs="宋体"/>
          <w:color w:val="auto"/>
          <w:szCs w:val="30"/>
          <w:highlight w:val="none"/>
        </w:rPr>
      </w:pPr>
    </w:p>
    <w:p w14:paraId="59868E54">
      <w:pPr>
        <w:tabs>
          <w:tab w:val="left" w:pos="1080"/>
          <w:tab w:val="right" w:pos="7320"/>
        </w:tabs>
        <w:autoSpaceDE w:val="0"/>
        <w:autoSpaceDN w:val="0"/>
        <w:adjustRightInd w:val="0"/>
        <w:spacing w:line="400" w:lineRule="atLeast"/>
        <w:ind w:left="720" w:hanging="720"/>
        <w:rPr>
          <w:rFonts w:ascii="宋体" w:hAnsi="宋体" w:eastAsia="宋体" w:cs="宋体"/>
          <w:color w:val="auto"/>
          <w:szCs w:val="30"/>
          <w:highlight w:val="none"/>
        </w:rPr>
      </w:pPr>
    </w:p>
    <w:p w14:paraId="27668639">
      <w:pPr>
        <w:tabs>
          <w:tab w:val="left" w:pos="1140"/>
        </w:tabs>
        <w:autoSpaceDE w:val="0"/>
        <w:autoSpaceDN w:val="0"/>
        <w:adjustRightInd w:val="0"/>
        <w:spacing w:line="360" w:lineRule="auto"/>
        <w:jc w:val="center"/>
        <w:rPr>
          <w:rFonts w:ascii="宋体" w:hAnsi="宋体" w:eastAsia="宋体" w:cs="宋体"/>
          <w:b/>
          <w:bCs/>
          <w:color w:val="auto"/>
          <w:sz w:val="28"/>
          <w:szCs w:val="28"/>
          <w:highlight w:val="none"/>
        </w:rPr>
      </w:pPr>
      <w:r>
        <w:rPr>
          <w:rFonts w:hint="eastAsia" w:ascii="宋体" w:hAnsi="宋体" w:eastAsia="宋体" w:cs="宋体"/>
          <w:color w:val="auto"/>
          <w:sz w:val="30"/>
          <w:szCs w:val="30"/>
          <w:highlight w:val="none"/>
        </w:rPr>
        <w:br w:type="page"/>
      </w:r>
      <w:bookmarkStart w:id="703" w:name="_Toc27181_WPSOffice_Level1"/>
      <w:r>
        <w:rPr>
          <w:rFonts w:hint="eastAsia" w:ascii="宋体" w:hAnsi="宋体" w:eastAsia="宋体" w:cs="宋体"/>
          <w:color w:val="auto"/>
          <w:sz w:val="28"/>
          <w:szCs w:val="28"/>
          <w:highlight w:val="none"/>
          <w:lang w:val="zh-CN"/>
        </w:rPr>
        <w:t>一、</w:t>
      </w:r>
      <w:r>
        <w:rPr>
          <w:rFonts w:hint="eastAsia" w:ascii="宋体" w:hAnsi="宋体" w:eastAsia="宋体" w:cs="宋体"/>
          <w:b/>
          <w:bCs/>
          <w:color w:val="auto"/>
          <w:sz w:val="28"/>
          <w:szCs w:val="28"/>
          <w:highlight w:val="none"/>
          <w:lang w:val="zh-CN"/>
        </w:rPr>
        <w:t>总则</w:t>
      </w:r>
      <w:bookmarkEnd w:id="703"/>
    </w:p>
    <w:p w14:paraId="6ADFAEEB">
      <w:pPr>
        <w:tabs>
          <w:tab w:val="left" w:pos="567"/>
          <w:tab w:val="left" w:pos="600"/>
        </w:tabs>
        <w:autoSpaceDE w:val="0"/>
        <w:autoSpaceDN w:val="0"/>
        <w:adjustRightInd w:val="0"/>
        <w:spacing w:line="360" w:lineRule="auto"/>
        <w:ind w:left="600" w:hanging="600"/>
        <w:rPr>
          <w:rFonts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1、一般规定</w:t>
      </w:r>
    </w:p>
    <w:p w14:paraId="4B199957">
      <w:pPr>
        <w:autoSpaceDE w:val="0"/>
        <w:autoSpaceDN w:val="0"/>
        <w:adjustRightInd w:val="0"/>
        <w:spacing w:line="360" w:lineRule="auto"/>
        <w:ind w:left="567" w:hanging="567"/>
        <w:rPr>
          <w:rFonts w:ascii="宋体" w:hAnsi="宋体" w:eastAsia="宋体" w:cs="宋体"/>
          <w:color w:val="auto"/>
          <w:kern w:val="0"/>
          <w:szCs w:val="32"/>
          <w:highlight w:val="none"/>
        </w:rPr>
      </w:pPr>
      <w:r>
        <w:rPr>
          <w:rFonts w:hint="eastAsia" w:ascii="宋体" w:hAnsi="宋体" w:eastAsia="宋体" w:cs="宋体"/>
          <w:color w:val="auto"/>
          <w:szCs w:val="21"/>
          <w:highlight w:val="none"/>
          <w:lang w:val="zh-CN"/>
        </w:rPr>
        <w:t>1.1</w:t>
      </w:r>
      <w:r>
        <w:rPr>
          <w:rFonts w:hint="eastAsia" w:ascii="宋体" w:hAnsi="宋体" w:eastAsia="宋体" w:cs="宋体"/>
          <w:color w:val="auto"/>
          <w:szCs w:val="21"/>
          <w:highlight w:val="none"/>
          <w:lang w:val="zh-CN"/>
        </w:rPr>
        <w:tab/>
      </w:r>
      <w:r>
        <w:rPr>
          <w:rFonts w:hint="eastAsia" w:ascii="宋体" w:hAnsi="宋体" w:eastAsia="宋体" w:cs="宋体"/>
          <w:color w:val="auto"/>
          <w:kern w:val="0"/>
          <w:szCs w:val="21"/>
          <w:highlight w:val="none"/>
          <w:lang w:eastAsia="zh-CN"/>
        </w:rPr>
        <w:t>东莞市水务环境投资控股集团管网有限公司2026年防撞缓冲车采购项目（第四次招标）</w:t>
      </w:r>
      <w:r>
        <w:rPr>
          <w:rFonts w:hint="eastAsia" w:ascii="宋体" w:hAnsi="宋体" w:eastAsia="宋体" w:cs="宋体"/>
          <w:color w:val="auto"/>
          <w:szCs w:val="21"/>
          <w:highlight w:val="none"/>
          <w:lang w:val="zh-CN"/>
        </w:rPr>
        <w:t>(招标编号：</w:t>
      </w:r>
      <w:r>
        <w:rPr>
          <w:rFonts w:hint="eastAsia" w:ascii="宋体" w:hAnsi="宋体" w:eastAsia="宋体" w:cs="宋体"/>
          <w:color w:val="auto"/>
          <w:szCs w:val="21"/>
          <w:highlight w:val="none"/>
          <w:lang w:val="en-US" w:eastAsia="zh-CN"/>
        </w:rPr>
        <w:t>TC269400L</w:t>
      </w:r>
      <w:r>
        <w:rPr>
          <w:rFonts w:hint="eastAsia" w:ascii="宋体" w:hAnsi="宋体" w:eastAsia="宋体" w:cs="宋体"/>
          <w:color w:val="auto"/>
          <w:kern w:val="0"/>
          <w:szCs w:val="32"/>
          <w:highlight w:val="none"/>
        </w:rPr>
        <w:t>)的</w:t>
      </w:r>
      <w:r>
        <w:rPr>
          <w:rFonts w:hint="eastAsia" w:ascii="宋体" w:hAnsi="宋体" w:eastAsia="宋体" w:cs="宋体"/>
          <w:color w:val="auto"/>
          <w:szCs w:val="21"/>
          <w:highlight w:val="none"/>
          <w:lang w:val="zh-CN"/>
        </w:rPr>
        <w:t>招标</w:t>
      </w:r>
      <w:r>
        <w:rPr>
          <w:rFonts w:hint="eastAsia" w:ascii="宋体" w:hAnsi="宋体" w:eastAsia="宋体" w:cs="宋体"/>
          <w:color w:val="auto"/>
          <w:kern w:val="0"/>
          <w:szCs w:val="32"/>
          <w:highlight w:val="none"/>
        </w:rPr>
        <w:t>按照《中华人民共和国招标投标法》等有关规定进行。</w:t>
      </w:r>
    </w:p>
    <w:p w14:paraId="4607E9D7">
      <w:pPr>
        <w:autoSpaceDE w:val="0"/>
        <w:autoSpaceDN w:val="0"/>
        <w:adjustRightInd w:val="0"/>
        <w:spacing w:line="360" w:lineRule="auto"/>
        <w:ind w:left="567" w:hanging="5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1.2</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评标必须遵循公平、公正、诚实信用的原则。</w:t>
      </w:r>
    </w:p>
    <w:p w14:paraId="3F1D8CB4">
      <w:pPr>
        <w:autoSpaceDE w:val="0"/>
        <w:autoSpaceDN w:val="0"/>
        <w:adjustRightInd w:val="0"/>
        <w:spacing w:line="360" w:lineRule="auto"/>
        <w:ind w:left="567" w:hanging="5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1.3</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招标代理机构</w:t>
      </w:r>
      <w:r>
        <w:rPr>
          <w:rFonts w:hint="eastAsia" w:ascii="宋体" w:hAnsi="宋体" w:eastAsia="宋体" w:cs="宋体"/>
          <w:color w:val="auto"/>
          <w:kern w:val="0"/>
          <w:szCs w:val="32"/>
          <w:highlight w:val="none"/>
        </w:rPr>
        <w:t>(</w:t>
      </w:r>
      <w:r>
        <w:rPr>
          <w:rFonts w:hint="eastAsia" w:ascii="宋体" w:hAnsi="宋体" w:eastAsia="宋体" w:cs="宋体"/>
          <w:color w:val="auto"/>
          <w:kern w:val="0"/>
          <w:szCs w:val="32"/>
          <w:highlight w:val="none"/>
          <w:lang w:val="en-US" w:eastAsia="zh-CN"/>
        </w:rPr>
        <w:t>中招国际招标有限公司</w:t>
      </w:r>
      <w:r>
        <w:rPr>
          <w:rFonts w:hint="eastAsia" w:ascii="宋体" w:hAnsi="宋体" w:eastAsia="宋体" w:cs="宋体"/>
          <w:color w:val="auto"/>
          <w:kern w:val="0"/>
          <w:szCs w:val="32"/>
          <w:highlight w:val="none"/>
        </w:rPr>
        <w:t>）组</w:t>
      </w:r>
      <w:r>
        <w:rPr>
          <w:rFonts w:hint="eastAsia" w:ascii="宋体" w:hAnsi="宋体" w:eastAsia="宋体" w:cs="宋体"/>
          <w:color w:val="auto"/>
          <w:szCs w:val="24"/>
          <w:highlight w:val="none"/>
          <w:lang w:val="zh-CN"/>
        </w:rPr>
        <w:t>织评标工作，全过程接受招标人及相关部门的监督、管理和指导。</w:t>
      </w:r>
    </w:p>
    <w:p w14:paraId="68CF9157">
      <w:pPr>
        <w:autoSpaceDE w:val="0"/>
        <w:autoSpaceDN w:val="0"/>
        <w:adjustRightInd w:val="0"/>
        <w:spacing w:line="360" w:lineRule="auto"/>
        <w:ind w:left="567" w:hanging="5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1.4</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评标按照招标文件规定的内容进行，采取综合评分</w:t>
      </w:r>
      <w:r>
        <w:rPr>
          <w:rFonts w:hint="eastAsia" w:ascii="宋体" w:hAnsi="宋体" w:eastAsia="宋体" w:cs="宋体"/>
          <w:color w:val="auto"/>
          <w:szCs w:val="21"/>
          <w:highlight w:val="none"/>
        </w:rPr>
        <w:t>法进行评审</w:t>
      </w:r>
      <w:r>
        <w:rPr>
          <w:rFonts w:hint="eastAsia" w:ascii="宋体" w:hAnsi="宋体" w:eastAsia="宋体" w:cs="宋体"/>
          <w:color w:val="auto"/>
          <w:szCs w:val="24"/>
          <w:highlight w:val="none"/>
          <w:lang w:val="zh-CN"/>
        </w:rPr>
        <w:t>。</w:t>
      </w:r>
    </w:p>
    <w:p w14:paraId="4FD241DD">
      <w:pPr>
        <w:numPr>
          <w:ilvl w:val="1"/>
          <w:numId w:val="4"/>
        </w:numPr>
        <w:autoSpaceDE w:val="0"/>
        <w:autoSpaceDN w:val="0"/>
        <w:adjustRightInd w:val="0"/>
        <w:spacing w:line="360" w:lineRule="auto"/>
        <w:ind w:left="565" w:hanging="564" w:hangingChars="269"/>
        <w:jc w:val="left"/>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lang w:val="zh-CN"/>
        </w:rPr>
        <w:t>本办法的评审对象是指投标人按照招标文件要求提供的有效投标文件，包括投标人应评标委员会要求对原投标文件作出的正式书面澄清文件。</w:t>
      </w:r>
    </w:p>
    <w:p w14:paraId="421C05B8">
      <w:pPr>
        <w:autoSpaceDE w:val="0"/>
        <w:autoSpaceDN w:val="0"/>
        <w:adjustRightInd w:val="0"/>
        <w:spacing w:line="360" w:lineRule="auto"/>
        <w:rPr>
          <w:rFonts w:ascii="宋体" w:hAnsi="宋体" w:eastAsia="宋体" w:cs="宋体"/>
          <w:color w:val="auto"/>
          <w:sz w:val="24"/>
          <w:szCs w:val="24"/>
          <w:highlight w:val="none"/>
          <w:lang w:val="zh-CN"/>
        </w:rPr>
      </w:pPr>
    </w:p>
    <w:p w14:paraId="284B2ED1">
      <w:pPr>
        <w:tabs>
          <w:tab w:val="left" w:pos="360"/>
          <w:tab w:val="left" w:pos="600"/>
        </w:tabs>
        <w:autoSpaceDE w:val="0"/>
        <w:autoSpaceDN w:val="0"/>
        <w:adjustRightInd w:val="0"/>
        <w:spacing w:line="360" w:lineRule="auto"/>
        <w:ind w:left="600" w:hanging="600"/>
        <w:rPr>
          <w:rFonts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2、</w:t>
      </w:r>
      <w:r>
        <w:rPr>
          <w:rFonts w:hint="eastAsia" w:ascii="宋体" w:hAnsi="宋体" w:eastAsia="宋体" w:cs="宋体"/>
          <w:b/>
          <w:bCs/>
          <w:color w:val="auto"/>
          <w:szCs w:val="24"/>
          <w:highlight w:val="none"/>
          <w:lang w:val="zh-CN"/>
        </w:rPr>
        <w:tab/>
      </w:r>
      <w:r>
        <w:rPr>
          <w:rFonts w:hint="eastAsia" w:ascii="宋体" w:hAnsi="宋体" w:eastAsia="宋体" w:cs="宋体"/>
          <w:b/>
          <w:bCs/>
          <w:color w:val="auto"/>
          <w:szCs w:val="24"/>
          <w:highlight w:val="none"/>
          <w:lang w:val="zh-CN"/>
        </w:rPr>
        <w:t>评标组织机构的组成</w:t>
      </w:r>
    </w:p>
    <w:p w14:paraId="77172E9D">
      <w:pPr>
        <w:tabs>
          <w:tab w:val="left" w:pos="567"/>
          <w:tab w:val="left" w:pos="1145"/>
        </w:tabs>
        <w:autoSpaceDE w:val="0"/>
        <w:autoSpaceDN w:val="0"/>
        <w:adjustRightInd w:val="0"/>
        <w:spacing w:line="360" w:lineRule="auto"/>
        <w:ind w:left="600" w:hanging="6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2.1</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评标委员会</w:t>
      </w:r>
      <w:r>
        <w:rPr>
          <w:rFonts w:hint="eastAsia" w:ascii="宋体" w:hAnsi="宋体" w:eastAsia="宋体" w:cs="宋体"/>
          <w:color w:val="auto"/>
          <w:kern w:val="0"/>
          <w:szCs w:val="24"/>
          <w:highlight w:val="none"/>
        </w:rPr>
        <w:t>由招标人和技术、经济等方面的专家组成，成员为</w:t>
      </w:r>
      <w:r>
        <w:rPr>
          <w:rFonts w:ascii="宋体" w:hAnsi="宋体" w:eastAsia="宋体" w:cs="宋体"/>
          <w:b/>
          <w:bCs/>
          <w:color w:val="auto"/>
          <w:kern w:val="0"/>
          <w:szCs w:val="24"/>
          <w:highlight w:val="none"/>
        </w:rPr>
        <w:t>5人以上（含5人）单数</w:t>
      </w:r>
      <w:r>
        <w:rPr>
          <w:rFonts w:hint="eastAsia" w:ascii="宋体" w:hAnsi="宋体" w:eastAsia="宋体" w:cs="宋体"/>
          <w:color w:val="auto"/>
          <w:kern w:val="0"/>
          <w:szCs w:val="24"/>
          <w:highlight w:val="none"/>
        </w:rPr>
        <w:t>，其中技术、经济等方面的专家不少于成员总数的三分之二。</w:t>
      </w:r>
      <w:r>
        <w:rPr>
          <w:rFonts w:hint="eastAsia" w:ascii="宋体" w:hAnsi="宋体" w:eastAsia="宋体" w:cs="宋体"/>
          <w:color w:val="auto"/>
          <w:szCs w:val="24"/>
          <w:highlight w:val="none"/>
          <w:lang w:val="zh-CN"/>
        </w:rPr>
        <w:t>专家依法从</w:t>
      </w:r>
      <w:r>
        <w:rPr>
          <w:rFonts w:hint="eastAsia" w:ascii="宋体" w:hAnsi="宋体" w:eastAsia="宋体" w:cs="宋体"/>
          <w:color w:val="auto"/>
          <w:kern w:val="0"/>
          <w:szCs w:val="24"/>
          <w:highlight w:val="none"/>
        </w:rPr>
        <w:t>专家库中随机抽取产生。</w:t>
      </w:r>
    </w:p>
    <w:p w14:paraId="447C93E3">
      <w:pPr>
        <w:tabs>
          <w:tab w:val="left" w:pos="567"/>
          <w:tab w:val="left" w:pos="1145"/>
        </w:tabs>
        <w:autoSpaceDE w:val="0"/>
        <w:autoSpaceDN w:val="0"/>
        <w:adjustRightInd w:val="0"/>
        <w:spacing w:line="360" w:lineRule="auto"/>
        <w:ind w:left="600" w:hanging="6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2.2</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评标工作组由招标人、招标代理机构及有关专家组成，由评标委员会确认，并接受其领导。</w:t>
      </w:r>
    </w:p>
    <w:p w14:paraId="377E6E52">
      <w:pPr>
        <w:autoSpaceDE w:val="0"/>
        <w:autoSpaceDN w:val="0"/>
        <w:adjustRightInd w:val="0"/>
        <w:spacing w:line="360" w:lineRule="auto"/>
        <w:ind w:left="600" w:hanging="6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2.3</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评标工作组分成评标委员会、秘书组。</w:t>
      </w:r>
    </w:p>
    <w:p w14:paraId="6271F69F">
      <w:pPr>
        <w:autoSpaceDE w:val="0"/>
        <w:autoSpaceDN w:val="0"/>
        <w:adjustRightInd w:val="0"/>
        <w:spacing w:line="360" w:lineRule="auto"/>
        <w:ind w:left="600" w:hanging="6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2.4</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评标委员会应相对独立工作，负责评审、撰写评标报告。招标代理机构秘书组负责评标过程中资料的保管、发放及回收，协调技术和评标委员会评标工作的进展和整理、汇总评标资料及复核。</w:t>
      </w:r>
    </w:p>
    <w:p w14:paraId="58386CDD">
      <w:pPr>
        <w:autoSpaceDE w:val="0"/>
        <w:autoSpaceDN w:val="0"/>
        <w:adjustRightInd w:val="0"/>
        <w:spacing w:line="360" w:lineRule="auto"/>
        <w:rPr>
          <w:rFonts w:ascii="宋体" w:hAnsi="宋体" w:eastAsia="宋体" w:cs="宋体"/>
          <w:color w:val="auto"/>
          <w:sz w:val="24"/>
          <w:szCs w:val="24"/>
          <w:highlight w:val="none"/>
          <w:lang w:val="zh-CN"/>
        </w:rPr>
      </w:pPr>
    </w:p>
    <w:p w14:paraId="304F55A1">
      <w:pPr>
        <w:autoSpaceDE w:val="0"/>
        <w:autoSpaceDN w:val="0"/>
        <w:adjustRightInd w:val="0"/>
        <w:spacing w:line="360" w:lineRule="auto"/>
        <w:rPr>
          <w:rFonts w:ascii="宋体" w:hAnsi="宋体" w:eastAsia="宋体" w:cs="宋体"/>
          <w:color w:val="auto"/>
          <w:sz w:val="24"/>
          <w:szCs w:val="24"/>
          <w:highlight w:val="none"/>
          <w:lang w:val="zh-CN"/>
        </w:rPr>
      </w:pPr>
      <w:r>
        <w:rPr>
          <w:rFonts w:hint="eastAsia" w:ascii="宋体" w:hAnsi="宋体" w:eastAsia="宋体" w:cs="宋体"/>
          <w:b/>
          <w:color w:val="auto"/>
          <w:szCs w:val="21"/>
          <w:highlight w:val="none"/>
          <w:lang w:val="zh-CN"/>
        </w:rPr>
        <w:t>3、</w:t>
      </w:r>
      <w:r>
        <w:rPr>
          <w:rFonts w:hint="eastAsia" w:ascii="宋体" w:hAnsi="宋体" w:eastAsia="宋体" w:cs="宋体"/>
          <w:b/>
          <w:bCs/>
          <w:color w:val="auto"/>
          <w:szCs w:val="21"/>
          <w:highlight w:val="none"/>
          <w:lang w:val="zh-CN"/>
        </w:rPr>
        <w:t>评标</w:t>
      </w:r>
      <w:r>
        <w:rPr>
          <w:rFonts w:hint="eastAsia" w:ascii="宋体" w:hAnsi="宋体" w:eastAsia="宋体" w:cs="宋体"/>
          <w:b/>
          <w:bCs/>
          <w:color w:val="auto"/>
          <w:szCs w:val="24"/>
          <w:highlight w:val="none"/>
          <w:lang w:val="zh-CN"/>
        </w:rPr>
        <w:t>委员会职责</w:t>
      </w:r>
    </w:p>
    <w:p w14:paraId="5AB51229">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3.1  审查投标文件是否符合招标文件要求，并作出评价；</w:t>
      </w:r>
    </w:p>
    <w:p w14:paraId="71EC045E">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3.2  要求投标人对投标文件有关事项作出解释或者澄清；</w:t>
      </w:r>
    </w:p>
    <w:p w14:paraId="3C7B1419">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3.3</w:t>
      </w:r>
      <w:r>
        <w:rPr>
          <w:rFonts w:hint="eastAsia" w:ascii="宋体" w:hAnsi="宋体" w:eastAsia="宋体" w:cs="宋体"/>
          <w:color w:val="auto"/>
          <w:kern w:val="0"/>
          <w:szCs w:val="24"/>
          <w:highlight w:val="none"/>
          <w:lang w:val="zh-CN"/>
        </w:rPr>
        <w:tab/>
      </w:r>
      <w:r>
        <w:rPr>
          <w:rFonts w:hint="eastAsia" w:ascii="宋体" w:hAnsi="宋体" w:eastAsia="宋体" w:cs="宋体"/>
          <w:color w:val="auto"/>
          <w:kern w:val="0"/>
          <w:szCs w:val="24"/>
          <w:highlight w:val="none"/>
          <w:lang w:val="zh-CN"/>
        </w:rPr>
        <w:t xml:space="preserve"> 推荐中标候选人名单及排序；</w:t>
      </w:r>
    </w:p>
    <w:p w14:paraId="5A5970EB">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3.4</w:t>
      </w:r>
      <w:r>
        <w:rPr>
          <w:rFonts w:hint="eastAsia" w:ascii="宋体" w:hAnsi="宋体" w:eastAsia="宋体" w:cs="宋体"/>
          <w:color w:val="auto"/>
          <w:kern w:val="0"/>
          <w:szCs w:val="24"/>
          <w:highlight w:val="none"/>
          <w:lang w:val="zh-CN"/>
        </w:rPr>
        <w:tab/>
      </w:r>
      <w:r>
        <w:rPr>
          <w:rFonts w:hint="eastAsia" w:ascii="宋体" w:hAnsi="宋体" w:eastAsia="宋体" w:cs="宋体"/>
          <w:color w:val="auto"/>
          <w:kern w:val="0"/>
          <w:szCs w:val="24"/>
          <w:highlight w:val="none"/>
          <w:lang w:val="zh-CN"/>
        </w:rPr>
        <w:t xml:space="preserve"> 向招标人、招标代理机构或者有关部门报告非法干预评标工作的行为。</w:t>
      </w:r>
    </w:p>
    <w:p w14:paraId="2AC56607">
      <w:pPr>
        <w:autoSpaceDE w:val="0"/>
        <w:autoSpaceDN w:val="0"/>
        <w:adjustRightInd w:val="0"/>
        <w:spacing w:line="360" w:lineRule="auto"/>
        <w:jc w:val="left"/>
        <w:rPr>
          <w:rFonts w:ascii="宋体" w:hAnsi="宋体" w:eastAsia="宋体" w:cs="宋体"/>
          <w:color w:val="auto"/>
          <w:kern w:val="0"/>
          <w:sz w:val="24"/>
          <w:szCs w:val="24"/>
          <w:highlight w:val="none"/>
          <w:lang w:val="zh-CN"/>
        </w:rPr>
      </w:pPr>
    </w:p>
    <w:p w14:paraId="36F20BEB">
      <w:pPr>
        <w:tabs>
          <w:tab w:val="left" w:pos="720"/>
        </w:tabs>
        <w:autoSpaceDE w:val="0"/>
        <w:autoSpaceDN w:val="0"/>
        <w:adjustRightInd w:val="0"/>
        <w:spacing w:line="360" w:lineRule="auto"/>
        <w:rPr>
          <w:rFonts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4、评标委员会义务</w:t>
      </w:r>
    </w:p>
    <w:p w14:paraId="0679EBE9">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4.1  遵纪守法，客观、公正、廉洁地履行职责；</w:t>
      </w:r>
    </w:p>
    <w:p w14:paraId="2F5FFE84">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4.2  按照招标文件规定的评标方法和评标标准进行评审，对评审意见承担个人责任；</w:t>
      </w:r>
    </w:p>
    <w:p w14:paraId="6B7CC6C4">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4.3  对评标过程和结果，以及投标人的商业秘密保密；</w:t>
      </w:r>
    </w:p>
    <w:p w14:paraId="08150B1E">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4.4  参与评标报告的起草；</w:t>
      </w:r>
    </w:p>
    <w:p w14:paraId="6E07B5F2">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4.5  配合有关部门的投诉处理工作；</w:t>
      </w:r>
    </w:p>
    <w:p w14:paraId="71CAD0CC">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4.6  配合招标人、招标代理机构答复投标人提出的质疑、异议。</w:t>
      </w:r>
    </w:p>
    <w:p w14:paraId="2FE28789">
      <w:pPr>
        <w:tabs>
          <w:tab w:val="left" w:pos="720"/>
        </w:tabs>
        <w:autoSpaceDE w:val="0"/>
        <w:autoSpaceDN w:val="0"/>
        <w:adjustRightInd w:val="0"/>
        <w:spacing w:line="360" w:lineRule="auto"/>
        <w:rPr>
          <w:rFonts w:ascii="宋体" w:hAnsi="宋体" w:eastAsia="宋体" w:cs="宋体"/>
          <w:color w:val="auto"/>
          <w:sz w:val="24"/>
          <w:szCs w:val="24"/>
          <w:highlight w:val="none"/>
          <w:lang w:val="zh-CN"/>
        </w:rPr>
      </w:pPr>
    </w:p>
    <w:p w14:paraId="33F360EA">
      <w:pPr>
        <w:tabs>
          <w:tab w:val="left" w:pos="1547"/>
        </w:tabs>
        <w:autoSpaceDE w:val="0"/>
        <w:autoSpaceDN w:val="0"/>
        <w:adjustRightInd w:val="0"/>
        <w:spacing w:line="360" w:lineRule="auto"/>
        <w:rPr>
          <w:rFonts w:ascii="宋体" w:hAnsi="宋体" w:eastAsia="宋体" w:cs="Times New Roman"/>
          <w:b/>
          <w:color w:val="auto"/>
          <w:szCs w:val="24"/>
          <w:highlight w:val="none"/>
          <w:lang w:val="zh-CN"/>
        </w:rPr>
      </w:pPr>
      <w:r>
        <w:rPr>
          <w:rFonts w:hint="eastAsia" w:ascii="宋体" w:hAnsi="宋体" w:eastAsia="宋体" w:cs="宋体"/>
          <w:b/>
          <w:bCs/>
          <w:color w:val="auto"/>
          <w:szCs w:val="21"/>
          <w:highlight w:val="none"/>
          <w:lang w:val="zh-CN"/>
        </w:rPr>
        <w:t>5、评审程序</w:t>
      </w:r>
    </w:p>
    <w:p w14:paraId="5D25CF7B">
      <w:pPr>
        <w:autoSpaceDE w:val="0"/>
        <w:autoSpaceDN w:val="0"/>
        <w:adjustRightInd w:val="0"/>
        <w:spacing w:line="360" w:lineRule="auto"/>
        <w:ind w:left="567" w:hanging="567"/>
        <w:rPr>
          <w:rFonts w:ascii="宋体" w:hAnsi="宋体" w:eastAsia="宋体" w:cs="Times New Roman"/>
          <w:b/>
          <w:color w:val="auto"/>
          <w:szCs w:val="24"/>
          <w:highlight w:val="none"/>
          <w:lang w:val="zh-CN"/>
        </w:rPr>
      </w:pPr>
      <w:r>
        <w:rPr>
          <w:rFonts w:hint="eastAsia" w:ascii="宋体" w:hAnsi="宋体" w:eastAsia="宋体" w:cs="Times New Roman"/>
          <w:b/>
          <w:color w:val="auto"/>
          <w:szCs w:val="24"/>
          <w:highlight w:val="none"/>
          <w:lang w:val="zh-CN"/>
        </w:rPr>
        <w:t>公开招标：</w:t>
      </w:r>
    </w:p>
    <w:p w14:paraId="163B86AD">
      <w:pPr>
        <w:autoSpaceDE w:val="0"/>
        <w:autoSpaceDN w:val="0"/>
        <w:adjustRightInd w:val="0"/>
        <w:spacing w:line="360" w:lineRule="auto"/>
        <w:ind w:left="567" w:hanging="567"/>
        <w:rPr>
          <w:rFonts w:ascii="宋体" w:hAnsi="宋体" w:eastAsia="宋体" w:cs="Times New Roman"/>
          <w:bCs/>
          <w:color w:val="auto"/>
          <w:szCs w:val="24"/>
          <w:highlight w:val="none"/>
          <w:lang w:val="zh-CN"/>
        </w:rPr>
      </w:pPr>
      <w:r>
        <w:rPr>
          <w:rFonts w:ascii="宋体" w:hAnsi="宋体" w:eastAsia="宋体" w:cs="Times New Roman"/>
          <w:color w:val="auto"/>
          <w:szCs w:val="24"/>
          <w:highlight w:val="none"/>
          <w:lang w:val="zh-CN"/>
        </w:rPr>
        <w:t>5.</w:t>
      </w:r>
      <w:r>
        <w:rPr>
          <w:rFonts w:hint="eastAsia" w:ascii="宋体" w:hAnsi="宋体" w:eastAsia="宋体" w:cs="Times New Roman"/>
          <w:color w:val="auto"/>
          <w:szCs w:val="24"/>
          <w:highlight w:val="none"/>
          <w:lang w:val="zh-CN"/>
        </w:rPr>
        <w:t>1</w:t>
      </w:r>
      <w:r>
        <w:rPr>
          <w:rFonts w:ascii="宋体" w:hAnsi="宋体" w:eastAsia="宋体" w:cs="Times New Roman"/>
          <w:color w:val="auto"/>
          <w:szCs w:val="24"/>
          <w:highlight w:val="none"/>
          <w:lang w:val="zh-CN"/>
        </w:rPr>
        <w:tab/>
      </w:r>
      <w:r>
        <w:rPr>
          <w:rFonts w:hint="eastAsia" w:ascii="宋体" w:hAnsi="宋体" w:eastAsia="宋体" w:cs="Times New Roman"/>
          <w:bCs/>
          <w:color w:val="auto"/>
          <w:szCs w:val="24"/>
          <w:highlight w:val="none"/>
          <w:lang w:val="zh-CN"/>
        </w:rPr>
        <w:t>评审首先由评标委员会对投标人的</w:t>
      </w:r>
      <w:r>
        <w:rPr>
          <w:rFonts w:hint="eastAsia" w:ascii="宋体" w:hAnsi="宋体" w:eastAsia="宋体" w:cs="Times New Roman"/>
          <w:color w:val="auto"/>
          <w:szCs w:val="24"/>
          <w:highlight w:val="none"/>
          <w:lang w:val="zh-CN"/>
        </w:rPr>
        <w:t>投标</w:t>
      </w:r>
      <w:r>
        <w:rPr>
          <w:rFonts w:hint="eastAsia" w:ascii="宋体" w:hAnsi="宋体" w:eastAsia="宋体" w:cs="Times New Roman"/>
          <w:bCs/>
          <w:color w:val="auto"/>
          <w:szCs w:val="24"/>
          <w:highlight w:val="none"/>
          <w:lang w:val="zh-CN"/>
        </w:rPr>
        <w:t>文件做初审，对未能通过初审的投标文件不再进入下一阶段评审。</w:t>
      </w:r>
    </w:p>
    <w:p w14:paraId="70B6BFC6">
      <w:pPr>
        <w:autoSpaceDE w:val="0"/>
        <w:autoSpaceDN w:val="0"/>
        <w:adjustRightInd w:val="0"/>
        <w:spacing w:line="360" w:lineRule="auto"/>
        <w:ind w:left="567" w:hanging="567"/>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5.</w:t>
      </w:r>
      <w:r>
        <w:rPr>
          <w:rFonts w:hint="eastAsia" w:ascii="宋体" w:hAnsi="宋体" w:eastAsia="宋体" w:cs="Times New Roman"/>
          <w:color w:val="auto"/>
          <w:szCs w:val="24"/>
          <w:highlight w:val="none"/>
          <w:lang w:val="zh-CN"/>
        </w:rPr>
        <w:t>2</w:t>
      </w:r>
      <w:r>
        <w:rPr>
          <w:rFonts w:ascii="宋体" w:hAnsi="宋体" w:eastAsia="宋体" w:cs="Times New Roman"/>
          <w:color w:val="auto"/>
          <w:szCs w:val="24"/>
          <w:highlight w:val="none"/>
          <w:lang w:val="zh-CN"/>
        </w:rPr>
        <w:tab/>
      </w:r>
      <w:r>
        <w:rPr>
          <w:rFonts w:hint="eastAsia" w:ascii="宋体" w:hAnsi="宋体" w:eastAsia="宋体" w:cs="Times New Roman"/>
          <w:bCs/>
          <w:color w:val="auto"/>
          <w:szCs w:val="24"/>
          <w:highlight w:val="none"/>
          <w:lang w:val="zh-CN"/>
        </w:rPr>
        <w:t>评标</w:t>
      </w:r>
      <w:r>
        <w:rPr>
          <w:rFonts w:hint="eastAsia" w:ascii="宋体" w:hAnsi="宋体" w:eastAsia="宋体" w:cs="Arial"/>
          <w:color w:val="auto"/>
          <w:szCs w:val="24"/>
          <w:highlight w:val="none"/>
          <w:lang w:val="zh-CN"/>
        </w:rPr>
        <w:t>委员会</w:t>
      </w:r>
      <w:r>
        <w:rPr>
          <w:rFonts w:hint="eastAsia" w:ascii="宋体" w:hAnsi="宋体" w:eastAsia="宋体" w:cs="Times New Roman"/>
          <w:color w:val="auto"/>
          <w:szCs w:val="24"/>
          <w:highlight w:val="none"/>
          <w:lang w:val="zh-CN"/>
        </w:rPr>
        <w:t>对</w:t>
      </w:r>
      <w:r>
        <w:rPr>
          <w:rFonts w:hint="eastAsia" w:ascii="宋体" w:hAnsi="宋体" w:eastAsia="宋体" w:cs="Arial"/>
          <w:color w:val="auto"/>
          <w:szCs w:val="24"/>
          <w:highlight w:val="none"/>
          <w:lang w:val="zh-CN"/>
        </w:rPr>
        <w:t>通过初审的</w:t>
      </w:r>
      <w:r>
        <w:rPr>
          <w:rFonts w:hint="eastAsia" w:ascii="宋体" w:hAnsi="宋体" w:eastAsia="宋体" w:cs="Times New Roman"/>
          <w:color w:val="auto"/>
          <w:szCs w:val="24"/>
          <w:highlight w:val="none"/>
          <w:lang w:val="zh-CN"/>
        </w:rPr>
        <w:t>投标人的投标文件进行详细的比较和评价。如需要，进行必要的澄清工作。</w:t>
      </w:r>
    </w:p>
    <w:p w14:paraId="263226D9">
      <w:pPr>
        <w:autoSpaceDE w:val="0"/>
        <w:autoSpaceDN w:val="0"/>
        <w:adjustRightInd w:val="0"/>
        <w:spacing w:line="360" w:lineRule="auto"/>
        <w:ind w:left="567" w:hanging="567"/>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5.</w:t>
      </w:r>
      <w:r>
        <w:rPr>
          <w:rFonts w:hint="eastAsia" w:ascii="宋体" w:hAnsi="宋体" w:eastAsia="宋体" w:cs="Times New Roman"/>
          <w:color w:val="auto"/>
          <w:szCs w:val="24"/>
          <w:highlight w:val="none"/>
          <w:lang w:val="zh-CN"/>
        </w:rPr>
        <w:t>3  依据评分标准以及各项权重，各位评标委员会成员单独就每个投标人的商务状况、技术状况进行比较和评价，分别评出其商务得分和技术得分。</w:t>
      </w:r>
    </w:p>
    <w:p w14:paraId="32EE9BA0">
      <w:pPr>
        <w:autoSpaceDE w:val="0"/>
        <w:autoSpaceDN w:val="0"/>
        <w:adjustRightInd w:val="0"/>
        <w:spacing w:line="360" w:lineRule="auto"/>
        <w:ind w:left="567" w:hanging="567"/>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5.4</w:t>
      </w:r>
      <w:r>
        <w:rPr>
          <w:rFonts w:ascii="宋体" w:hAnsi="宋体" w:eastAsia="宋体" w:cs="Times New Roman"/>
          <w:color w:val="auto"/>
          <w:szCs w:val="24"/>
          <w:highlight w:val="none"/>
          <w:lang w:val="zh-CN"/>
        </w:rPr>
        <w:tab/>
      </w:r>
      <w:r>
        <w:rPr>
          <w:rFonts w:hint="eastAsia" w:ascii="宋体" w:hAnsi="宋体" w:eastAsia="宋体" w:cs="Times New Roman"/>
          <w:color w:val="auto"/>
          <w:kern w:val="0"/>
          <w:szCs w:val="24"/>
          <w:highlight w:val="none"/>
          <w:lang w:val="zh-CN"/>
        </w:rPr>
        <w:t>对有效投标人的投标报价进行审查和价格评分。</w:t>
      </w:r>
    </w:p>
    <w:p w14:paraId="4CFC3142">
      <w:pPr>
        <w:autoSpaceDE w:val="0"/>
        <w:autoSpaceDN w:val="0"/>
        <w:adjustRightInd w:val="0"/>
        <w:spacing w:line="360" w:lineRule="auto"/>
        <w:ind w:left="567" w:hanging="567"/>
        <w:rPr>
          <w:rFonts w:ascii="宋体" w:hAnsi="宋体" w:eastAsia="宋体" w:cs="Times New Roman"/>
          <w:color w:val="auto"/>
          <w:kern w:val="0"/>
          <w:szCs w:val="24"/>
          <w:highlight w:val="none"/>
          <w:lang w:val="zh-CN"/>
        </w:rPr>
      </w:pPr>
      <w:r>
        <w:rPr>
          <w:rFonts w:hint="eastAsia" w:ascii="宋体" w:hAnsi="宋体" w:eastAsia="宋体" w:cs="Times New Roman"/>
          <w:color w:val="auto"/>
          <w:kern w:val="0"/>
          <w:szCs w:val="24"/>
          <w:highlight w:val="none"/>
          <w:lang w:val="zh-CN"/>
        </w:rPr>
        <w:t>5.5  将各</w:t>
      </w:r>
      <w:r>
        <w:rPr>
          <w:rFonts w:hint="eastAsia" w:ascii="宋体" w:hAnsi="宋体" w:eastAsia="宋体" w:cs="Times New Roman"/>
          <w:color w:val="auto"/>
          <w:szCs w:val="24"/>
          <w:highlight w:val="none"/>
          <w:lang w:val="zh-CN"/>
        </w:rPr>
        <w:t>评委对</w:t>
      </w:r>
      <w:r>
        <w:rPr>
          <w:rFonts w:hint="eastAsia" w:ascii="宋体" w:hAnsi="宋体" w:eastAsia="宋体" w:cs="Times New Roman"/>
          <w:color w:val="auto"/>
          <w:kern w:val="0"/>
          <w:szCs w:val="24"/>
          <w:highlight w:val="none"/>
          <w:lang w:val="zh-CN"/>
        </w:rPr>
        <w:t>投标人的技术打分的最终综合得分、商务打分的算术平均值和价格得分相加得出投标人的总分。</w:t>
      </w:r>
    </w:p>
    <w:p w14:paraId="26996AD6">
      <w:pPr>
        <w:autoSpaceDE w:val="0"/>
        <w:autoSpaceDN w:val="0"/>
        <w:adjustRightInd w:val="0"/>
        <w:spacing w:line="360" w:lineRule="auto"/>
        <w:ind w:left="567" w:hanging="567"/>
        <w:rPr>
          <w:rFonts w:ascii="宋体" w:hAnsi="宋体" w:eastAsia="宋体" w:cs="Times New Roman"/>
          <w:color w:val="auto"/>
          <w:kern w:val="0"/>
          <w:szCs w:val="21"/>
          <w:highlight w:val="none"/>
        </w:rPr>
      </w:pPr>
      <w:r>
        <w:rPr>
          <w:rFonts w:hint="eastAsia" w:ascii="宋体" w:hAnsi="宋体" w:eastAsia="宋体" w:cs="Times New Roman"/>
          <w:bCs/>
          <w:color w:val="auto"/>
          <w:kern w:val="0"/>
          <w:szCs w:val="24"/>
          <w:highlight w:val="none"/>
        </w:rPr>
        <w:t xml:space="preserve">5.6  </w:t>
      </w:r>
      <w:r>
        <w:rPr>
          <w:rFonts w:hint="eastAsia" w:ascii="宋体" w:hAnsi="宋体" w:eastAsia="宋体" w:cs="Times New Roman"/>
          <w:color w:val="auto"/>
          <w:kern w:val="0"/>
          <w:szCs w:val="21"/>
          <w:highlight w:val="none"/>
        </w:rPr>
        <w:t>评标委员会将向招标人推荐评标最后综合得分最高的前二名投标人为中标候选人，并标明排列顺序。</w:t>
      </w:r>
    </w:p>
    <w:p w14:paraId="693158A1">
      <w:pPr>
        <w:autoSpaceDE w:val="0"/>
        <w:autoSpaceDN w:val="0"/>
        <w:adjustRightInd w:val="0"/>
        <w:spacing w:line="360" w:lineRule="auto"/>
        <w:ind w:left="525" w:hanging="525" w:hangingChars="250"/>
        <w:jc w:val="left"/>
        <w:rPr>
          <w:rFonts w:ascii="宋体" w:hAnsi="宋体" w:eastAsia="宋体" w:cs="Times New Roman"/>
          <w:color w:val="auto"/>
          <w:szCs w:val="24"/>
          <w:highlight w:val="none"/>
          <w:lang w:val="zh-CN"/>
        </w:rPr>
      </w:pPr>
      <w:r>
        <w:rPr>
          <w:rFonts w:hint="eastAsia" w:ascii="宋体" w:hAnsi="宋体" w:eastAsia="宋体" w:cs="Times New Roman"/>
          <w:color w:val="auto"/>
          <w:kern w:val="0"/>
          <w:szCs w:val="24"/>
          <w:highlight w:val="none"/>
          <w:lang w:val="zh-CN"/>
        </w:rPr>
        <w:t>5.</w:t>
      </w:r>
      <w:r>
        <w:rPr>
          <w:rFonts w:hint="eastAsia" w:ascii="宋体" w:hAnsi="宋体" w:eastAsia="宋体" w:cs="Times New Roman"/>
          <w:color w:val="auto"/>
          <w:szCs w:val="24"/>
          <w:highlight w:val="none"/>
          <w:lang w:val="zh-CN"/>
        </w:rPr>
        <w:t>7</w:t>
      </w:r>
      <w:r>
        <w:rPr>
          <w:rFonts w:ascii="宋体" w:hAnsi="宋体" w:eastAsia="宋体" w:cs="Times New Roman"/>
          <w:color w:val="auto"/>
          <w:szCs w:val="24"/>
          <w:highlight w:val="none"/>
          <w:lang w:val="zh-CN"/>
        </w:rPr>
        <w:tab/>
      </w:r>
      <w:r>
        <w:rPr>
          <w:rFonts w:hint="eastAsia" w:ascii="宋体" w:hAnsi="宋体" w:eastAsia="宋体" w:cs="Times New Roman"/>
          <w:color w:val="auto"/>
          <w:kern w:val="0"/>
          <w:szCs w:val="24"/>
          <w:highlight w:val="none"/>
          <w:lang w:val="zh-CN"/>
        </w:rPr>
        <w:t>评标委员会</w:t>
      </w:r>
      <w:r>
        <w:rPr>
          <w:rFonts w:hint="eastAsia" w:ascii="宋体" w:hAnsi="宋体" w:eastAsia="宋体" w:cs="Times New Roman"/>
          <w:color w:val="auto"/>
          <w:szCs w:val="24"/>
          <w:highlight w:val="none"/>
          <w:lang w:val="zh-CN"/>
        </w:rPr>
        <w:t>根据评审结果编写评标报告。</w:t>
      </w:r>
    </w:p>
    <w:p w14:paraId="4A07D729">
      <w:pPr>
        <w:autoSpaceDE w:val="0"/>
        <w:autoSpaceDN w:val="0"/>
        <w:adjustRightInd w:val="0"/>
        <w:spacing w:line="360" w:lineRule="auto"/>
        <w:ind w:left="525" w:hanging="525" w:hangingChars="250"/>
        <w:jc w:val="left"/>
        <w:rPr>
          <w:rFonts w:ascii="宋体" w:hAnsi="宋体" w:eastAsia="宋体" w:cs="Times New Roman"/>
          <w:color w:val="auto"/>
          <w:szCs w:val="24"/>
          <w:highlight w:val="none"/>
          <w:lang w:val="zh-CN"/>
        </w:rPr>
      </w:pPr>
    </w:p>
    <w:p w14:paraId="368883DA">
      <w:pPr>
        <w:tabs>
          <w:tab w:val="left" w:pos="1140"/>
        </w:tabs>
        <w:autoSpaceDE w:val="0"/>
        <w:autoSpaceDN w:val="0"/>
        <w:adjustRightInd w:val="0"/>
        <w:spacing w:line="360" w:lineRule="auto"/>
        <w:jc w:val="center"/>
        <w:rPr>
          <w:rFonts w:ascii="宋体" w:hAnsi="宋体" w:eastAsia="宋体" w:cs="宋体"/>
          <w:b/>
          <w:bCs/>
          <w:color w:val="auto"/>
          <w:sz w:val="28"/>
          <w:szCs w:val="28"/>
          <w:highlight w:val="none"/>
        </w:rPr>
      </w:pPr>
      <w:bookmarkStart w:id="704" w:name="_Toc19435_WPSOffice_Level1"/>
      <w:r>
        <w:rPr>
          <w:rFonts w:hint="eastAsia" w:ascii="宋体" w:hAnsi="宋体" w:eastAsia="宋体" w:cs="宋体"/>
          <w:b/>
          <w:bCs/>
          <w:color w:val="auto"/>
          <w:sz w:val="28"/>
          <w:szCs w:val="28"/>
          <w:highlight w:val="none"/>
          <w:lang w:val="zh-CN"/>
        </w:rPr>
        <w:t>二、投标文件的初审</w:t>
      </w:r>
      <w:bookmarkEnd w:id="704"/>
    </w:p>
    <w:p w14:paraId="2A6CB590">
      <w:pPr>
        <w:autoSpaceDE w:val="0"/>
        <w:autoSpaceDN w:val="0"/>
        <w:adjustRightInd w:val="0"/>
        <w:spacing w:line="360" w:lineRule="auto"/>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6、投标文件的初审分为资格性检查和符合性检查。</w:t>
      </w:r>
    </w:p>
    <w:p w14:paraId="4C72CBE8">
      <w:pPr>
        <w:autoSpaceDE w:val="0"/>
        <w:autoSpaceDN w:val="0"/>
        <w:adjustRightInd w:val="0"/>
        <w:spacing w:line="360" w:lineRule="auto"/>
        <w:ind w:left="529" w:hanging="529" w:hangingChars="252"/>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6.1  资格性检查是指评标委员会依据法律法规和招标文件的规定，对投标文件中的资格证明、投标保证金、投标人（含其不具有独立法人资格的分支机构）信用（由招标代理机构在递交投标文件截止时间当天通过“信用中国”网站对投标人信用进行查询，招标代理机构将查询情况提交评标委员会评审）等进行审查，以确定投标人是否具备投标资格。</w:t>
      </w:r>
    </w:p>
    <w:p w14:paraId="4F204969">
      <w:pPr>
        <w:autoSpaceDE w:val="0"/>
        <w:autoSpaceDN w:val="0"/>
        <w:adjustRightInd w:val="0"/>
        <w:spacing w:line="360" w:lineRule="auto"/>
        <w:ind w:left="529" w:hanging="529" w:hangingChars="252"/>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6.2  符合性检查是指评标委员会依据招标文件规定，从投标文件的有效性、完整性和对招标文件的响应程度进行审查，以确定是否对招标文件的实质性要求作出响应。</w:t>
      </w:r>
    </w:p>
    <w:p w14:paraId="169AA45A">
      <w:pPr>
        <w:autoSpaceDE w:val="0"/>
        <w:autoSpaceDN w:val="0"/>
        <w:adjustRightInd w:val="0"/>
        <w:spacing w:line="360" w:lineRule="auto"/>
        <w:ind w:left="420" w:leftChars="200" w:firstLine="420" w:firstLine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实质性响应的投标指的是符合招标文件要求的全部“★”条款和验收标准而无任何重大偏离或保留。重大偏离或保留系指实质上影响到合同项下的</w:t>
      </w:r>
      <w:r>
        <w:rPr>
          <w:rFonts w:hint="eastAsia" w:ascii="宋体" w:hAnsi="宋体" w:eastAsia="宋体" w:cs="宋体"/>
          <w:color w:val="auto"/>
          <w:szCs w:val="24"/>
          <w:highlight w:val="none"/>
          <w:lang w:val="en-US" w:eastAsia="zh-CN"/>
        </w:rPr>
        <w:t>供货及</w:t>
      </w:r>
      <w:r>
        <w:rPr>
          <w:rFonts w:hint="eastAsia" w:ascii="宋体" w:hAnsi="宋体" w:eastAsia="宋体" w:cs="宋体"/>
          <w:color w:val="auto"/>
          <w:szCs w:val="24"/>
          <w:highlight w:val="none"/>
          <w:lang w:val="zh-CN"/>
        </w:rPr>
        <w:t>服务范围、质量</w:t>
      </w:r>
      <w:r>
        <w:rPr>
          <w:rFonts w:hint="eastAsia" w:ascii="宋体" w:hAnsi="宋体" w:eastAsia="宋体" w:cs="宋体"/>
          <w:color w:val="auto"/>
          <w:szCs w:val="24"/>
          <w:highlight w:val="none"/>
          <w:lang w:val="en-US" w:eastAsia="zh-CN"/>
        </w:rPr>
        <w:t>和性能</w:t>
      </w:r>
      <w:r>
        <w:rPr>
          <w:rFonts w:hint="eastAsia" w:ascii="宋体" w:hAnsi="宋体" w:eastAsia="宋体" w:cs="宋体"/>
          <w:color w:val="auto"/>
          <w:szCs w:val="24"/>
          <w:highlight w:val="none"/>
          <w:lang w:val="zh-CN"/>
        </w:rPr>
        <w:t>，或指与招标文件有实质不一致，限制了合同项下委托人的权利和承包人的义务, 或对该重大偏离的修改对提交实质性响应投标的其他投标人将不公平。</w:t>
      </w:r>
    </w:p>
    <w:p w14:paraId="2AEA2960">
      <w:pPr>
        <w:autoSpaceDE w:val="0"/>
        <w:autoSpaceDN w:val="0"/>
        <w:adjustRightInd w:val="0"/>
        <w:spacing w:line="360" w:lineRule="auto"/>
        <w:ind w:firstLine="840" w:firstLineChars="4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评标委员会决定投标文件的响应性是基于投标文件的内容本身而不靠外部的证据。</w:t>
      </w:r>
    </w:p>
    <w:p w14:paraId="4F0A1896">
      <w:pPr>
        <w:autoSpaceDE w:val="0"/>
        <w:autoSpaceDN w:val="0"/>
        <w:adjustRightInd w:val="0"/>
        <w:spacing w:line="360" w:lineRule="auto"/>
        <w:ind w:left="420" w:leftChars="200" w:firstLine="422" w:firstLineChars="200"/>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对是否符合实质性响应招标文件有争议的投标文件,评标委员会成员将以记名方式表决,根据少数服</w:t>
      </w:r>
      <w:r>
        <w:rPr>
          <w:rFonts w:hint="eastAsia" w:ascii="宋体" w:hAnsi="宋体" w:eastAsia="宋体" w:cs="宋体"/>
          <w:b/>
          <w:color w:val="auto"/>
          <w:szCs w:val="24"/>
          <w:highlight w:val="none"/>
          <w:lang w:val="en-US" w:eastAsia="zh-CN"/>
        </w:rPr>
        <w:t>从</w:t>
      </w:r>
      <w:r>
        <w:rPr>
          <w:rFonts w:hint="eastAsia" w:ascii="宋体" w:hAnsi="宋体" w:eastAsia="宋体" w:cs="宋体"/>
          <w:b/>
          <w:color w:val="auto"/>
          <w:szCs w:val="24"/>
          <w:highlight w:val="none"/>
          <w:lang w:val="zh-CN"/>
        </w:rPr>
        <w:t>多数的原则，获多数表决通过的投标人才有资格进入下一阶段的评审,否则将被认定为无效投标文件。</w:t>
      </w:r>
    </w:p>
    <w:p w14:paraId="13293535">
      <w:pPr>
        <w:autoSpaceDE w:val="0"/>
        <w:autoSpaceDN w:val="0"/>
        <w:adjustRightInd w:val="0"/>
        <w:spacing w:line="360" w:lineRule="auto"/>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7、投标文件出现下列情况之一的，被认定为无效投标：</w:t>
      </w:r>
    </w:p>
    <w:p w14:paraId="6DE661CA">
      <w:pPr>
        <w:autoSpaceDE w:val="0"/>
        <w:autoSpaceDN w:val="0"/>
        <w:adjustRightInd w:val="0"/>
        <w:spacing w:line="360" w:lineRule="auto"/>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7</w:t>
      </w:r>
      <w:r>
        <w:rPr>
          <w:rFonts w:ascii="宋体" w:hAnsi="宋体" w:eastAsia="宋体" w:cs="宋体"/>
          <w:b/>
          <w:color w:val="auto"/>
          <w:szCs w:val="21"/>
          <w:highlight w:val="none"/>
          <w:lang w:val="zh-CN"/>
        </w:rPr>
        <w:t xml:space="preserve">.1  </w:t>
      </w:r>
      <w:r>
        <w:rPr>
          <w:rFonts w:hint="eastAsia" w:ascii="宋体" w:hAnsi="宋体" w:eastAsia="宋体" w:cs="宋体"/>
          <w:b/>
          <w:bCs/>
          <w:color w:val="auto"/>
          <w:kern w:val="0"/>
          <w:szCs w:val="21"/>
          <w:highlight w:val="none"/>
        </w:rPr>
        <w:t>投标人未按招标文件要求交纳投标保证金的；</w:t>
      </w:r>
    </w:p>
    <w:p w14:paraId="5C81E390">
      <w:pPr>
        <w:tabs>
          <w:tab w:val="left" w:pos="567"/>
        </w:tabs>
        <w:spacing w:line="360" w:lineRule="auto"/>
        <w:ind w:left="632" w:hanging="632" w:hangingChars="300"/>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 xml:space="preserve">7.2  </w:t>
      </w:r>
      <w:r>
        <w:rPr>
          <w:rFonts w:hint="eastAsia" w:ascii="宋体" w:hAnsi="宋体" w:eastAsia="宋体" w:cs="宋体"/>
          <w:b/>
          <w:color w:val="auto"/>
          <w:szCs w:val="21"/>
          <w:highlight w:val="none"/>
          <w:lang w:val="zh-CN"/>
        </w:rPr>
        <w:t>投标人</w:t>
      </w:r>
      <w:r>
        <w:rPr>
          <w:rFonts w:hint="eastAsia" w:ascii="宋体" w:hAnsi="宋体" w:eastAsia="宋体" w:cs="Times New Roman"/>
          <w:b/>
          <w:bCs/>
          <w:color w:val="auto"/>
          <w:kern w:val="0"/>
          <w:szCs w:val="24"/>
          <w:highlight w:val="none"/>
        </w:rPr>
        <w:t>的综合单价或投标总报价高于本项目采购限价的</w:t>
      </w:r>
      <w:r>
        <w:rPr>
          <w:rFonts w:hint="eastAsia" w:ascii="宋体" w:hAnsi="宋体" w:eastAsia="宋体" w:cs="宋体"/>
          <w:b/>
          <w:bCs/>
          <w:color w:val="auto"/>
          <w:kern w:val="0"/>
          <w:szCs w:val="21"/>
          <w:highlight w:val="none"/>
        </w:rPr>
        <w:t>；</w:t>
      </w:r>
    </w:p>
    <w:p w14:paraId="08DCA9D9">
      <w:pPr>
        <w:tabs>
          <w:tab w:val="left" w:pos="567"/>
        </w:tabs>
        <w:spacing w:line="360" w:lineRule="auto"/>
        <w:ind w:left="632" w:hanging="632" w:hangingChars="300"/>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7.3  投标人以低于企业成本价报价，且投标人不能合理说明或不能提供相关证明材料；</w:t>
      </w:r>
    </w:p>
    <w:p w14:paraId="4BD07E8D">
      <w:pPr>
        <w:tabs>
          <w:tab w:val="left" w:pos="567"/>
        </w:tabs>
        <w:spacing w:line="360" w:lineRule="auto"/>
        <w:ind w:left="632" w:hanging="632" w:hangingChars="300"/>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7.4  投标人递交两份或多份内容不同的投标文件，或在一份投标文件中报有两个或多个报价，且未书面声明哪一个有效；</w:t>
      </w:r>
    </w:p>
    <w:p w14:paraId="07FA9059">
      <w:pPr>
        <w:tabs>
          <w:tab w:val="left" w:pos="567"/>
        </w:tabs>
        <w:spacing w:line="360" w:lineRule="auto"/>
        <w:ind w:left="632" w:hanging="632" w:hangingChars="300"/>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 xml:space="preserve">7.5  </w:t>
      </w:r>
      <w:r>
        <w:rPr>
          <w:rFonts w:hint="eastAsia" w:ascii="宋体" w:hAnsi="宋体" w:eastAsia="宋体" w:cs="宋体"/>
          <w:b/>
          <w:color w:val="auto"/>
          <w:kern w:val="0"/>
          <w:szCs w:val="21"/>
          <w:highlight w:val="none"/>
        </w:rPr>
        <w:t>投标人不符合合格投标人的基本条件[含未提供资格证明文件，或投标人（含其不具有独立法人资格的分支机构）被列入“信用中国”网站（www.creditchina.gov.cn）失信被执行人、重大税收违法失信主体、</w:t>
      </w:r>
      <w:r>
        <w:rPr>
          <w:rFonts w:hint="eastAsia" w:ascii="宋体" w:hAnsi="宋体" w:eastAsia="宋体" w:cs="宋体"/>
          <w:b/>
          <w:color w:val="auto"/>
          <w:kern w:val="0"/>
          <w:szCs w:val="21"/>
          <w:highlight w:val="none"/>
          <w:lang w:val="en-US" w:eastAsia="zh-CN"/>
        </w:rPr>
        <w:t>政府采购</w:t>
      </w:r>
      <w:r>
        <w:rPr>
          <w:rFonts w:hint="eastAsia" w:ascii="宋体" w:hAnsi="宋体" w:eastAsia="宋体" w:cs="宋体"/>
          <w:b/>
          <w:color w:val="auto"/>
          <w:kern w:val="0"/>
          <w:szCs w:val="21"/>
          <w:highlight w:val="none"/>
        </w:rPr>
        <w:t>严重违法失信行为记录名单（处罚期限届满的除外）]；</w:t>
      </w:r>
    </w:p>
    <w:p w14:paraId="19D4B3B5">
      <w:pPr>
        <w:spacing w:line="360" w:lineRule="auto"/>
        <w:ind w:left="527" w:hanging="527" w:hangingChars="250"/>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lang w:val="en-US" w:eastAsia="zh-CN"/>
        </w:rPr>
        <w:t xml:space="preserve">7.6  </w:t>
      </w:r>
      <w:r>
        <w:rPr>
          <w:rFonts w:hint="eastAsia" w:ascii="宋体" w:hAnsi="宋体" w:eastAsia="宋体" w:cs="宋体"/>
          <w:b/>
          <w:bCs/>
          <w:color w:val="auto"/>
          <w:kern w:val="0"/>
          <w:szCs w:val="21"/>
          <w:highlight w:val="none"/>
        </w:rPr>
        <w:t xml:space="preserve">投标文件未按照招标文件规定要求密封；投标文件无法定代表人或其授权代表签字（或盖私章），或签字人无法定代表人有效授权的；签字盖章不符合招标文件要求的； </w:t>
      </w:r>
    </w:p>
    <w:p w14:paraId="345859EA">
      <w:pPr>
        <w:spacing w:line="360" w:lineRule="auto"/>
        <w:ind w:left="527" w:hanging="527" w:hangingChars="250"/>
        <w:rPr>
          <w:rFonts w:ascii="宋体" w:hAnsi="宋体" w:eastAsia="宋体" w:cs="宋体"/>
          <w:b/>
          <w:bCs/>
          <w:color w:val="auto"/>
          <w:kern w:val="0"/>
          <w:szCs w:val="21"/>
          <w:highlight w:val="none"/>
        </w:rPr>
      </w:pPr>
      <w:r>
        <w:rPr>
          <w:rFonts w:ascii="宋体" w:hAnsi="宋体" w:eastAsia="宋体" w:cs="宋体"/>
          <w:b/>
          <w:bCs/>
          <w:color w:val="auto"/>
          <w:kern w:val="0"/>
          <w:szCs w:val="21"/>
          <w:highlight w:val="none"/>
        </w:rPr>
        <w:t>7.</w:t>
      </w:r>
      <w:r>
        <w:rPr>
          <w:rFonts w:hint="eastAsia" w:ascii="宋体" w:hAnsi="宋体" w:eastAsia="宋体" w:cs="宋体"/>
          <w:b/>
          <w:bCs/>
          <w:color w:val="auto"/>
          <w:kern w:val="0"/>
          <w:szCs w:val="21"/>
          <w:highlight w:val="none"/>
          <w:lang w:val="en-US" w:eastAsia="zh-CN"/>
        </w:rPr>
        <w:t>7</w:t>
      </w:r>
      <w:r>
        <w:rPr>
          <w:rFonts w:ascii="宋体" w:hAnsi="宋体" w:eastAsia="宋体" w:cs="宋体"/>
          <w:b/>
          <w:bCs/>
          <w:color w:val="auto"/>
          <w:kern w:val="0"/>
          <w:szCs w:val="21"/>
          <w:highlight w:val="none"/>
        </w:rPr>
        <w:t xml:space="preserve">  </w:t>
      </w:r>
      <w:r>
        <w:rPr>
          <w:rFonts w:hint="eastAsia" w:ascii="宋体" w:hAnsi="宋体" w:eastAsia="宋体" w:cs="宋体"/>
          <w:b/>
          <w:bCs/>
          <w:color w:val="auto"/>
          <w:kern w:val="0"/>
          <w:szCs w:val="21"/>
          <w:highlight w:val="none"/>
        </w:rPr>
        <w:t>投标有效期限不符合要求；</w:t>
      </w:r>
    </w:p>
    <w:p w14:paraId="5569DCB4">
      <w:pPr>
        <w:spacing w:line="360" w:lineRule="auto"/>
        <w:ind w:left="527" w:hanging="527" w:hangingChars="250"/>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7.</w:t>
      </w:r>
      <w:r>
        <w:rPr>
          <w:rFonts w:hint="eastAsia" w:ascii="宋体" w:hAnsi="宋体" w:eastAsia="宋体" w:cs="宋体"/>
          <w:b/>
          <w:bCs/>
          <w:color w:val="auto"/>
          <w:kern w:val="0"/>
          <w:szCs w:val="21"/>
          <w:highlight w:val="none"/>
          <w:lang w:val="en-US" w:eastAsia="zh-CN"/>
        </w:rPr>
        <w:t>8</w:t>
      </w:r>
      <w:r>
        <w:rPr>
          <w:rFonts w:hint="eastAsia" w:ascii="宋体" w:hAnsi="宋体" w:eastAsia="宋体" w:cs="宋体"/>
          <w:b/>
          <w:bCs/>
          <w:color w:val="auto"/>
          <w:kern w:val="0"/>
          <w:szCs w:val="21"/>
          <w:highlight w:val="none"/>
        </w:rPr>
        <w:t xml:space="preserve">  投标文件未对招标范围内的全部内容进行投标报价</w:t>
      </w:r>
      <w:r>
        <w:rPr>
          <w:rFonts w:hint="eastAsia" w:ascii="宋体" w:hAnsi="宋体" w:eastAsia="宋体" w:cs="Times New Roman"/>
          <w:b/>
          <w:color w:val="auto"/>
          <w:kern w:val="0"/>
          <w:szCs w:val="21"/>
          <w:highlight w:val="none"/>
        </w:rPr>
        <w:t>或投标方案不是唯一</w:t>
      </w:r>
      <w:r>
        <w:rPr>
          <w:rFonts w:hint="eastAsia" w:ascii="宋体" w:hAnsi="宋体" w:eastAsia="宋体" w:cs="宋体"/>
          <w:b/>
          <w:bCs/>
          <w:color w:val="auto"/>
          <w:kern w:val="0"/>
          <w:szCs w:val="21"/>
          <w:highlight w:val="none"/>
        </w:rPr>
        <w:t>；</w:t>
      </w:r>
    </w:p>
    <w:p w14:paraId="66B04E51">
      <w:pPr>
        <w:spacing w:line="360" w:lineRule="auto"/>
        <w:ind w:left="413" w:hanging="413" w:hangingChars="196"/>
        <w:rPr>
          <w:rFonts w:ascii="宋体" w:hAnsi="宋体" w:eastAsia="宋体" w:cs="Times New Roman"/>
          <w:b/>
          <w:color w:val="auto"/>
          <w:kern w:val="0"/>
          <w:szCs w:val="21"/>
          <w:highlight w:val="none"/>
        </w:rPr>
      </w:pPr>
      <w:r>
        <w:rPr>
          <w:rFonts w:ascii="宋体" w:hAnsi="宋体" w:eastAsia="宋体" w:cs="Times New Roman"/>
          <w:b/>
          <w:color w:val="auto"/>
          <w:kern w:val="0"/>
          <w:szCs w:val="21"/>
          <w:highlight w:val="none"/>
        </w:rPr>
        <w:t>7.</w:t>
      </w:r>
      <w:r>
        <w:rPr>
          <w:rFonts w:hint="eastAsia" w:ascii="宋体" w:hAnsi="宋体" w:eastAsia="宋体" w:cs="Times New Roman"/>
          <w:b/>
          <w:color w:val="auto"/>
          <w:kern w:val="0"/>
          <w:szCs w:val="21"/>
          <w:highlight w:val="none"/>
          <w:lang w:val="en-US" w:eastAsia="zh-CN"/>
        </w:rPr>
        <w:t>9</w:t>
      </w:r>
      <w:r>
        <w:rPr>
          <w:rFonts w:ascii="宋体" w:hAnsi="宋体" w:eastAsia="宋体" w:cs="Times New Roman"/>
          <w:b/>
          <w:color w:val="auto"/>
          <w:kern w:val="0"/>
          <w:szCs w:val="21"/>
          <w:highlight w:val="none"/>
        </w:rPr>
        <w:t xml:space="preserve">  未提供或虚假填写《合同条款偏离表》，或对《合同条款偏离表》有负偏离的；</w:t>
      </w:r>
    </w:p>
    <w:p w14:paraId="4CF384EE">
      <w:pPr>
        <w:spacing w:line="360" w:lineRule="auto"/>
        <w:ind w:left="413" w:hanging="413" w:hangingChars="196"/>
        <w:rPr>
          <w:rFonts w:ascii="宋体" w:hAnsi="宋体" w:eastAsia="宋体" w:cs="Times New Roman"/>
          <w:b/>
          <w:color w:val="auto"/>
          <w:kern w:val="0"/>
          <w:szCs w:val="21"/>
          <w:highlight w:val="none"/>
        </w:rPr>
      </w:pPr>
      <w:r>
        <w:rPr>
          <w:rFonts w:ascii="宋体" w:hAnsi="宋体" w:eastAsia="宋体" w:cs="Times New Roman"/>
          <w:b/>
          <w:color w:val="auto"/>
          <w:kern w:val="0"/>
          <w:szCs w:val="21"/>
          <w:highlight w:val="none"/>
        </w:rPr>
        <w:t>7.</w:t>
      </w:r>
      <w:r>
        <w:rPr>
          <w:rFonts w:hint="eastAsia" w:ascii="宋体" w:hAnsi="宋体" w:eastAsia="宋体" w:cs="Times New Roman"/>
          <w:b/>
          <w:color w:val="auto"/>
          <w:kern w:val="0"/>
          <w:szCs w:val="21"/>
          <w:highlight w:val="none"/>
        </w:rPr>
        <w:t>1</w:t>
      </w:r>
      <w:r>
        <w:rPr>
          <w:rFonts w:hint="eastAsia" w:ascii="宋体" w:hAnsi="宋体" w:eastAsia="宋体" w:cs="Times New Roman"/>
          <w:b/>
          <w:color w:val="auto"/>
          <w:kern w:val="0"/>
          <w:szCs w:val="21"/>
          <w:highlight w:val="none"/>
          <w:lang w:val="en-US" w:eastAsia="zh-CN"/>
        </w:rPr>
        <w:t>0</w:t>
      </w:r>
      <w:r>
        <w:rPr>
          <w:rFonts w:ascii="宋体" w:hAnsi="宋体" w:eastAsia="宋体" w:cs="Times New Roman"/>
          <w:b/>
          <w:color w:val="auto"/>
          <w:kern w:val="0"/>
          <w:szCs w:val="21"/>
          <w:highlight w:val="none"/>
        </w:rPr>
        <w:t xml:space="preserve">  未填写或虚假填写《用户需求偏离表》的；</w:t>
      </w:r>
    </w:p>
    <w:p w14:paraId="4CF98615">
      <w:pPr>
        <w:spacing w:line="360" w:lineRule="auto"/>
        <w:ind w:left="413" w:hanging="413" w:hangingChars="196"/>
        <w:rPr>
          <w:rFonts w:ascii="宋体" w:hAnsi="宋体" w:eastAsia="宋体" w:cs="Times New Roman"/>
          <w:b/>
          <w:color w:val="auto"/>
          <w:kern w:val="0"/>
          <w:szCs w:val="21"/>
          <w:highlight w:val="none"/>
        </w:rPr>
      </w:pPr>
      <w:r>
        <w:rPr>
          <w:rFonts w:ascii="宋体" w:hAnsi="宋体" w:eastAsia="宋体" w:cs="Times New Roman"/>
          <w:b/>
          <w:color w:val="auto"/>
          <w:kern w:val="0"/>
          <w:szCs w:val="21"/>
          <w:highlight w:val="none"/>
        </w:rPr>
        <w:t>7.</w:t>
      </w:r>
      <w:r>
        <w:rPr>
          <w:rFonts w:hint="eastAsia" w:ascii="宋体" w:hAnsi="宋体" w:eastAsia="宋体" w:cs="Times New Roman"/>
          <w:b/>
          <w:color w:val="auto"/>
          <w:kern w:val="0"/>
          <w:szCs w:val="21"/>
          <w:highlight w:val="none"/>
        </w:rPr>
        <w:t>1</w:t>
      </w:r>
      <w:r>
        <w:rPr>
          <w:rFonts w:hint="eastAsia" w:ascii="宋体" w:hAnsi="宋体" w:eastAsia="宋体" w:cs="Times New Roman"/>
          <w:b/>
          <w:color w:val="auto"/>
          <w:kern w:val="0"/>
          <w:szCs w:val="21"/>
          <w:highlight w:val="none"/>
          <w:lang w:val="en-US" w:eastAsia="zh-CN"/>
        </w:rPr>
        <w:t>1</w:t>
      </w:r>
      <w:r>
        <w:rPr>
          <w:rFonts w:ascii="宋体" w:hAnsi="宋体" w:eastAsia="宋体" w:cs="Times New Roman"/>
          <w:b/>
          <w:color w:val="auto"/>
          <w:kern w:val="0"/>
          <w:szCs w:val="21"/>
          <w:highlight w:val="none"/>
        </w:rPr>
        <w:t xml:space="preserve"> </w:t>
      </w:r>
      <w:r>
        <w:rPr>
          <w:rFonts w:hint="eastAsia" w:ascii="宋体" w:hAnsi="宋体" w:eastAsia="宋体" w:cs="Times New Roman"/>
          <w:b/>
          <w:color w:val="auto"/>
          <w:kern w:val="0"/>
          <w:szCs w:val="21"/>
          <w:highlight w:val="none"/>
          <w:lang w:val="en-US" w:eastAsia="zh-CN"/>
        </w:rPr>
        <w:t xml:space="preserve"> </w:t>
      </w:r>
      <w:r>
        <w:rPr>
          <w:rFonts w:ascii="宋体" w:hAnsi="宋体" w:eastAsia="宋体" w:cs="Times New Roman"/>
          <w:b/>
          <w:color w:val="auto"/>
          <w:kern w:val="0"/>
          <w:szCs w:val="21"/>
          <w:highlight w:val="none"/>
        </w:rPr>
        <w:t>未</w:t>
      </w:r>
      <w:r>
        <w:rPr>
          <w:rFonts w:hint="eastAsia" w:ascii="宋体" w:hAnsi="宋体" w:eastAsia="宋体" w:cs="Times New Roman"/>
          <w:b/>
          <w:color w:val="auto"/>
          <w:kern w:val="0"/>
          <w:szCs w:val="21"/>
          <w:highlight w:val="none"/>
        </w:rPr>
        <w:t>响应</w:t>
      </w:r>
      <w:r>
        <w:rPr>
          <w:rFonts w:ascii="宋体" w:hAnsi="宋体" w:eastAsia="宋体" w:cs="Times New Roman"/>
          <w:b/>
          <w:color w:val="auto"/>
          <w:kern w:val="0"/>
          <w:szCs w:val="21"/>
          <w:highlight w:val="none"/>
        </w:rPr>
        <w:t>招标文件提出的实质性要求和条件（标注★的条款）</w:t>
      </w:r>
      <w:r>
        <w:rPr>
          <w:rFonts w:hint="eastAsia" w:ascii="宋体" w:hAnsi="宋体" w:eastAsia="宋体" w:cs="Times New Roman"/>
          <w:b/>
          <w:color w:val="auto"/>
          <w:kern w:val="0"/>
          <w:szCs w:val="21"/>
          <w:highlight w:val="none"/>
        </w:rPr>
        <w:t>。</w:t>
      </w:r>
    </w:p>
    <w:p w14:paraId="5B7ACE8D">
      <w:pPr>
        <w:autoSpaceDE w:val="0"/>
        <w:autoSpaceDN w:val="0"/>
        <w:adjustRightInd w:val="0"/>
        <w:spacing w:line="360" w:lineRule="auto"/>
        <w:ind w:left="315" w:hanging="315" w:hangingChars="150"/>
        <w:rPr>
          <w:rFonts w:ascii="宋体" w:hAnsi="宋体" w:eastAsia="宋体" w:cs="宋体"/>
          <w:color w:val="auto"/>
          <w:kern w:val="0"/>
          <w:szCs w:val="24"/>
          <w:highlight w:val="none"/>
          <w:lang w:val="zh-CN"/>
        </w:rPr>
      </w:pPr>
      <w:r>
        <w:rPr>
          <w:rFonts w:hint="eastAsia" w:ascii="宋体" w:hAnsi="宋体" w:eastAsia="宋体" w:cs="宋体"/>
          <w:bCs/>
          <w:color w:val="auto"/>
          <w:kern w:val="0"/>
          <w:szCs w:val="24"/>
          <w:highlight w:val="none"/>
          <w:lang w:val="zh-CN"/>
        </w:rPr>
        <w:t>8、</w:t>
      </w:r>
      <w:r>
        <w:rPr>
          <w:rFonts w:hint="eastAsia" w:ascii="宋体" w:hAnsi="宋体" w:eastAsia="宋体" w:cs="宋体"/>
          <w:color w:val="auto"/>
          <w:kern w:val="0"/>
          <w:szCs w:val="24"/>
          <w:highlight w:val="none"/>
          <w:lang w:val="zh-CN"/>
        </w:rPr>
        <w:t>评标委员会应当书面要求存在细微偏差的投标人在开标评审结束前予以补正。细微偏差是指投标文件在实质上响应招标文件要求，但在个别地方存在漏项或者提供了不完整的技术方案信息和数据等情况，并且补正这些遗漏或者不完整不会对其他投标人造成不公平的结果。细微偏差不影响投标文件的有效性。</w:t>
      </w:r>
    </w:p>
    <w:p w14:paraId="7702E886">
      <w:pPr>
        <w:spacing w:line="360" w:lineRule="auto"/>
        <w:ind w:left="480"/>
        <w:rPr>
          <w:rFonts w:ascii="宋体" w:hAnsi="宋体" w:eastAsia="宋体" w:cs="宋体"/>
          <w:b/>
          <w:color w:val="auto"/>
          <w:kern w:val="0"/>
          <w:szCs w:val="21"/>
          <w:highlight w:val="none"/>
        </w:rPr>
      </w:pPr>
    </w:p>
    <w:p w14:paraId="71AD49DF">
      <w:pPr>
        <w:tabs>
          <w:tab w:val="left" w:pos="1140"/>
        </w:tabs>
        <w:autoSpaceDE w:val="0"/>
        <w:autoSpaceDN w:val="0"/>
        <w:adjustRightInd w:val="0"/>
        <w:spacing w:line="360" w:lineRule="auto"/>
        <w:ind w:firstLine="3528" w:firstLineChars="1255"/>
        <w:jc w:val="left"/>
        <w:rPr>
          <w:rFonts w:ascii="宋体" w:hAnsi="宋体" w:eastAsia="宋体" w:cs="宋体"/>
          <w:b/>
          <w:bCs/>
          <w:color w:val="auto"/>
          <w:sz w:val="28"/>
          <w:szCs w:val="28"/>
          <w:highlight w:val="none"/>
        </w:rPr>
      </w:pPr>
      <w:bookmarkStart w:id="705" w:name="_Toc4109_WPSOffice_Level1"/>
      <w:r>
        <w:rPr>
          <w:rFonts w:hint="eastAsia" w:ascii="宋体" w:hAnsi="宋体" w:eastAsia="宋体" w:cs="宋体"/>
          <w:b/>
          <w:bCs/>
          <w:color w:val="auto"/>
          <w:sz w:val="28"/>
          <w:szCs w:val="28"/>
          <w:highlight w:val="none"/>
          <w:lang w:val="zh-CN"/>
        </w:rPr>
        <w:t>三、澄清有关问题</w:t>
      </w:r>
      <w:bookmarkEnd w:id="705"/>
    </w:p>
    <w:p w14:paraId="1C00C3DB">
      <w:pPr>
        <w:autoSpaceDE w:val="0"/>
        <w:autoSpaceDN w:val="0"/>
        <w:adjustRightInd w:val="0"/>
        <w:spacing w:line="360" w:lineRule="auto"/>
        <w:ind w:left="315" w:hanging="315" w:hangingChars="150"/>
        <w:rPr>
          <w:rFonts w:ascii="宋体" w:hAnsi="宋体" w:eastAsia="宋体" w:cs="宋体"/>
          <w:color w:val="auto"/>
          <w:szCs w:val="24"/>
          <w:highlight w:val="none"/>
          <w:lang w:val="zh-CN"/>
        </w:rPr>
      </w:pPr>
      <w:r>
        <w:rPr>
          <w:rFonts w:hint="eastAsia" w:ascii="宋体" w:hAnsi="宋体" w:eastAsia="宋体" w:cs="宋体"/>
          <w:bCs/>
          <w:color w:val="auto"/>
          <w:szCs w:val="24"/>
          <w:highlight w:val="none"/>
          <w:lang w:val="zh-CN"/>
        </w:rPr>
        <w:t>9、</w:t>
      </w:r>
      <w:r>
        <w:rPr>
          <w:rFonts w:hint="eastAsia" w:ascii="宋体" w:hAnsi="宋体" w:eastAsia="宋体" w:cs="宋体"/>
          <w:color w:val="auto"/>
          <w:szCs w:val="24"/>
          <w:highlight w:val="none"/>
          <w:lang w:val="zh-CN"/>
        </w:rPr>
        <w:t>在</w:t>
      </w:r>
      <w:r>
        <w:rPr>
          <w:rFonts w:hint="eastAsia" w:ascii="宋体" w:hAnsi="宋体" w:eastAsia="宋体" w:cs="宋体"/>
          <w:color w:val="auto"/>
          <w:kern w:val="0"/>
          <w:szCs w:val="24"/>
          <w:highlight w:val="none"/>
          <w:lang w:val="zh-CN"/>
        </w:rPr>
        <w:t>投标文件</w:t>
      </w:r>
      <w:r>
        <w:rPr>
          <w:rFonts w:hint="eastAsia" w:ascii="宋体" w:hAnsi="宋体" w:eastAsia="宋体" w:cs="宋体"/>
          <w:color w:val="auto"/>
          <w:szCs w:val="24"/>
          <w:highlight w:val="none"/>
          <w:lang w:val="zh-CN"/>
        </w:rPr>
        <w:t>的商务、技术资格性检查及符合性检查过程中，</w:t>
      </w:r>
      <w:r>
        <w:rPr>
          <w:rFonts w:hint="eastAsia" w:ascii="宋体" w:hAnsi="宋体" w:eastAsia="宋体" w:cs="宋体"/>
          <w:color w:val="auto"/>
          <w:kern w:val="0"/>
          <w:szCs w:val="24"/>
          <w:highlight w:val="none"/>
          <w:lang w:val="zh-CN"/>
        </w:rPr>
        <w:t>投标人</w:t>
      </w:r>
      <w:r>
        <w:rPr>
          <w:rFonts w:hint="eastAsia" w:ascii="宋体" w:hAnsi="宋体" w:eastAsia="宋体" w:cs="宋体"/>
          <w:color w:val="auto"/>
          <w:szCs w:val="24"/>
          <w:highlight w:val="none"/>
          <w:lang w:val="zh-CN"/>
        </w:rPr>
        <w:t>可应评标委员会要求对</w:t>
      </w:r>
      <w:r>
        <w:rPr>
          <w:rFonts w:hint="eastAsia" w:ascii="宋体" w:hAnsi="宋体" w:eastAsia="宋体" w:cs="宋体"/>
          <w:color w:val="auto"/>
          <w:kern w:val="0"/>
          <w:szCs w:val="24"/>
          <w:highlight w:val="none"/>
          <w:lang w:val="zh-CN"/>
        </w:rPr>
        <w:t>投标文件</w:t>
      </w:r>
      <w:r>
        <w:rPr>
          <w:rFonts w:hint="eastAsia" w:ascii="宋体" w:hAnsi="宋体" w:eastAsia="宋体" w:cs="宋体"/>
          <w:color w:val="auto"/>
          <w:szCs w:val="24"/>
          <w:highlight w:val="none"/>
          <w:lang w:val="zh-CN"/>
        </w:rPr>
        <w:t>中有关问题进行书面澄清。该书面澄清作为其</w:t>
      </w:r>
      <w:r>
        <w:rPr>
          <w:rFonts w:hint="eastAsia" w:ascii="宋体" w:hAnsi="宋体" w:eastAsia="宋体" w:cs="宋体"/>
          <w:color w:val="auto"/>
          <w:kern w:val="0"/>
          <w:szCs w:val="24"/>
          <w:highlight w:val="none"/>
          <w:lang w:val="zh-CN"/>
        </w:rPr>
        <w:t>投标文件</w:t>
      </w:r>
      <w:r>
        <w:rPr>
          <w:rFonts w:hint="eastAsia" w:ascii="宋体" w:hAnsi="宋体" w:eastAsia="宋体" w:cs="宋体"/>
          <w:color w:val="auto"/>
          <w:szCs w:val="24"/>
          <w:highlight w:val="none"/>
          <w:lang w:val="zh-CN"/>
        </w:rPr>
        <w:t>的一部分。</w:t>
      </w:r>
    </w:p>
    <w:p w14:paraId="5A24D3EA">
      <w:pPr>
        <w:autoSpaceDE w:val="0"/>
        <w:autoSpaceDN w:val="0"/>
        <w:adjustRightInd w:val="0"/>
        <w:spacing w:line="360" w:lineRule="auto"/>
        <w:ind w:left="529" w:hanging="529" w:hangingChars="252"/>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9.1  对</w:t>
      </w:r>
      <w:r>
        <w:rPr>
          <w:rFonts w:hint="eastAsia" w:ascii="宋体" w:hAnsi="宋体" w:eastAsia="宋体" w:cs="宋体"/>
          <w:color w:val="auto"/>
          <w:kern w:val="0"/>
          <w:szCs w:val="24"/>
          <w:highlight w:val="none"/>
          <w:lang w:val="zh-CN"/>
        </w:rPr>
        <w:t>投标文件</w:t>
      </w:r>
      <w:r>
        <w:rPr>
          <w:rFonts w:hint="eastAsia" w:ascii="宋体" w:hAnsi="宋体" w:eastAsia="宋体" w:cs="宋体"/>
          <w:color w:val="auto"/>
          <w:szCs w:val="24"/>
          <w:highlight w:val="none"/>
          <w:lang w:val="zh-CN"/>
        </w:rPr>
        <w:t>中含义不明确、同类问题表述不一致或者有明显文字和计算错误的内容，评标委员会可以书面形式（由评标委员会专家签字）要求投标人作出必要的澄清、说明或者纠正。</w:t>
      </w:r>
    </w:p>
    <w:p w14:paraId="2D34D05F">
      <w:pPr>
        <w:autoSpaceDE w:val="0"/>
        <w:autoSpaceDN w:val="0"/>
        <w:adjustRightInd w:val="0"/>
        <w:spacing w:line="360" w:lineRule="auto"/>
        <w:ind w:left="529" w:hanging="529" w:hangingChars="252"/>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9.2  投标人的澄清、说明或者纠正应当采用书面形式，经加盖其公章或其合法代表人（法定代表人或法定代表人授权书列明的被授权人）签署方有效，并不得超出投标文件的范围或者改变投标文件的实质性内容。</w:t>
      </w:r>
    </w:p>
    <w:p w14:paraId="52E67806">
      <w:pPr>
        <w:autoSpaceDE w:val="0"/>
        <w:autoSpaceDN w:val="0"/>
        <w:adjustRightInd w:val="0"/>
        <w:spacing w:line="360" w:lineRule="auto"/>
        <w:ind w:left="529" w:right="18" w:hanging="529" w:hangingChars="252"/>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9.3  经过澄清后仍不符合要求，则该项目在下一步评审进行评分调整；若重大（实质性）偏差仍存在，且不可接受，投标人则被认为是“不响应招标文件要求的投标人”，不再进入下一步评审。</w:t>
      </w:r>
    </w:p>
    <w:p w14:paraId="7F880402">
      <w:pPr>
        <w:spacing w:line="360" w:lineRule="auto"/>
        <w:ind w:left="424" w:hanging="424" w:hangingChars="202"/>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9.4  投标文件报价计算错误的修正</w:t>
      </w:r>
    </w:p>
    <w:p w14:paraId="543CC67C">
      <w:pPr>
        <w:autoSpaceDE/>
        <w:autoSpaceDN/>
        <w:adjustRightInd/>
        <w:spacing w:line="360" w:lineRule="auto"/>
        <w:ind w:left="567"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（1）评标委员会将对确定为实质上响应招标文件要求的投标文件进行校核，看其是否有计算或表达上的错误，修正错误的原则为：</w:t>
      </w:r>
    </w:p>
    <w:p w14:paraId="6DE59B48">
      <w:pPr>
        <w:autoSpaceDE/>
        <w:autoSpaceDN/>
        <w:adjustRightInd/>
        <w:spacing w:line="360" w:lineRule="auto"/>
        <w:ind w:left="0" w:firstLine="420" w:firstLineChars="200"/>
        <w:jc w:val="left"/>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eastAsia="zh-CN"/>
        </w:rPr>
        <w:t>A</w:t>
      </w:r>
      <w:r>
        <w:rPr>
          <w:rFonts w:hint="eastAsia" w:ascii="宋体" w:hAnsi="宋体" w:eastAsia="宋体" w:cs="宋体"/>
          <w:color w:val="auto"/>
          <w:kern w:val="0"/>
          <w:szCs w:val="21"/>
          <w:highlight w:val="none"/>
          <w:lang w:val="zh-CN"/>
        </w:rPr>
        <w:t>）当以数字表示的金额与以文字表示的金额不一致时，以文字表示的金额为准；</w:t>
      </w:r>
    </w:p>
    <w:p w14:paraId="2822D1A7">
      <w:pPr>
        <w:autoSpaceDE/>
        <w:autoSpaceDN/>
        <w:adjustRightInd/>
        <w:spacing w:line="360" w:lineRule="auto"/>
        <w:ind w:left="420" w:leftChars="200" w:firstLine="0" w:firstLineChars="0"/>
        <w:jc w:val="left"/>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eastAsia="zh-CN"/>
        </w:rPr>
        <w:t>B</w:t>
      </w:r>
      <w:r>
        <w:rPr>
          <w:rFonts w:hint="eastAsia" w:ascii="宋体" w:hAnsi="宋体" w:eastAsia="宋体" w:cs="宋体"/>
          <w:color w:val="auto"/>
          <w:kern w:val="0"/>
          <w:szCs w:val="21"/>
          <w:highlight w:val="none"/>
          <w:lang w:val="zh-CN"/>
        </w:rPr>
        <w:t>）投标报价表内投标总报价金额与按综合单价计算的总金额不一致的，以综合单价计算结果为准，综合单价金额小数点有明显错位的，应以总价为准，并修正综合单价；</w:t>
      </w:r>
    </w:p>
    <w:p w14:paraId="085757E3">
      <w:pPr>
        <w:autoSpaceDE/>
        <w:autoSpaceDN/>
        <w:adjustRightInd/>
        <w:spacing w:line="360" w:lineRule="auto"/>
        <w:ind w:left="420" w:leftChars="200" w:firstLine="0" w:firstLineChars="0"/>
        <w:jc w:val="left"/>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eastAsia="zh-CN"/>
        </w:rPr>
        <w:t>C</w:t>
      </w:r>
      <w:r>
        <w:rPr>
          <w:rFonts w:hint="eastAsia" w:ascii="宋体" w:hAnsi="宋体" w:eastAsia="宋体" w:cs="宋体"/>
          <w:color w:val="auto"/>
          <w:kern w:val="0"/>
          <w:szCs w:val="21"/>
          <w:highlight w:val="none"/>
          <w:lang w:val="zh-CN"/>
        </w:rPr>
        <w:t>）综合单价明细表内的合计金额与投标报价表内综合单价金额不一致的，以投标报价表内综合单价为准，并同比例修正综合单价明细表内单价；</w:t>
      </w:r>
    </w:p>
    <w:p w14:paraId="22EA2640">
      <w:pPr>
        <w:autoSpaceDE/>
        <w:autoSpaceDN/>
        <w:adjustRightInd/>
        <w:spacing w:line="360" w:lineRule="auto"/>
        <w:ind w:left="0" w:firstLine="420" w:firstLineChars="200"/>
        <w:jc w:val="left"/>
        <w:rPr>
          <w:rFonts w:ascii="宋体" w:hAnsi="宋体" w:eastAsia="宋体" w:cs="Times New Roman"/>
          <w:color w:val="auto"/>
          <w:kern w:val="0"/>
          <w:sz w:val="24"/>
          <w:szCs w:val="24"/>
          <w:highlight w:val="none"/>
        </w:rPr>
      </w:pP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eastAsia="zh-CN"/>
        </w:rPr>
        <w:t>D</w:t>
      </w:r>
      <w:r>
        <w:rPr>
          <w:rFonts w:hint="eastAsia" w:ascii="宋体" w:hAnsi="宋体" w:eastAsia="宋体" w:cs="宋体"/>
          <w:color w:val="auto"/>
          <w:kern w:val="0"/>
          <w:szCs w:val="21"/>
          <w:highlight w:val="none"/>
          <w:lang w:val="zh-CN"/>
        </w:rPr>
        <w:t>）按前述修正原则排序依次进行修正至唯一值后的报价表经双方确认后，作为合同文件的组成部分。</w:t>
      </w:r>
    </w:p>
    <w:p w14:paraId="0476D144">
      <w:pPr>
        <w:spacing w:line="360" w:lineRule="auto"/>
        <w:ind w:left="567" w:hanging="567" w:hangingChars="270"/>
        <w:rPr>
          <w:rFonts w:ascii="宋体" w:hAnsi="宋体" w:eastAsia="宋体" w:cs="宋体"/>
          <w:b/>
          <w:color w:val="auto"/>
          <w:kern w:val="0"/>
          <w:szCs w:val="21"/>
          <w:highlight w:val="none"/>
          <w:lang w:val="zh-CN"/>
        </w:rPr>
      </w:pPr>
      <w:r>
        <w:rPr>
          <w:rFonts w:hint="eastAsia" w:ascii="宋体" w:hAnsi="宋体" w:eastAsia="宋体" w:cs="宋体"/>
          <w:color w:val="auto"/>
          <w:kern w:val="0"/>
          <w:szCs w:val="21"/>
          <w:highlight w:val="none"/>
          <w:lang w:val="zh-CN"/>
        </w:rPr>
        <w:t>（2）</w:t>
      </w:r>
      <w:r>
        <w:rPr>
          <w:rFonts w:hint="eastAsia" w:ascii="宋体" w:hAnsi="宋体" w:eastAsia="宋体" w:cs="宋体"/>
          <w:b/>
          <w:color w:val="auto"/>
          <w:kern w:val="0"/>
          <w:szCs w:val="21"/>
          <w:highlight w:val="none"/>
          <w:u w:val="single"/>
          <w:lang w:val="zh-CN"/>
        </w:rPr>
        <w:t>按上述修正</w:t>
      </w:r>
      <w:r>
        <w:rPr>
          <w:rFonts w:hint="eastAsia" w:ascii="宋体" w:hAnsi="宋体" w:eastAsia="宋体" w:cs="宋体"/>
          <w:b/>
          <w:color w:val="auto"/>
          <w:kern w:val="0"/>
          <w:szCs w:val="21"/>
          <w:highlight w:val="none"/>
          <w:u w:val="single"/>
        </w:rPr>
        <w:t>错误</w:t>
      </w:r>
      <w:r>
        <w:rPr>
          <w:rFonts w:hint="eastAsia" w:ascii="宋体" w:hAnsi="宋体" w:eastAsia="宋体" w:cs="宋体"/>
          <w:b/>
          <w:color w:val="auto"/>
          <w:kern w:val="0"/>
          <w:szCs w:val="21"/>
          <w:highlight w:val="none"/>
          <w:u w:val="single"/>
          <w:lang w:val="zh-CN"/>
        </w:rPr>
        <w:t>的原则及方法调整或修正投标文件的投标报价，调整后的投标报价对投标人起约束作用。如果投标人不接受修正后的报价，则其投标将被拒绝，作为无效投标处理</w:t>
      </w:r>
      <w:r>
        <w:rPr>
          <w:rFonts w:hint="eastAsia" w:ascii="宋体" w:hAnsi="宋体" w:eastAsia="宋体" w:cs="宋体"/>
          <w:b/>
          <w:color w:val="auto"/>
          <w:kern w:val="0"/>
          <w:szCs w:val="21"/>
          <w:highlight w:val="none"/>
          <w:lang w:val="zh-CN"/>
        </w:rPr>
        <w:t>。</w:t>
      </w:r>
    </w:p>
    <w:p w14:paraId="426FE70A">
      <w:pPr>
        <w:spacing w:line="360" w:lineRule="auto"/>
        <w:ind w:left="567" w:hanging="567" w:hangingChars="270"/>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9.5  若投标人出现超低报价，有可能影响服务质量和不能诚信履约的，</w:t>
      </w:r>
      <w:r>
        <w:rPr>
          <w:rFonts w:hint="eastAsia" w:ascii="宋体" w:hAnsi="宋体" w:eastAsia="宋体" w:cs="宋体"/>
          <w:b w:val="0"/>
          <w:bCs/>
          <w:color w:val="auto"/>
          <w:szCs w:val="21"/>
          <w:highlight w:val="none"/>
          <w:lang w:val="zh-CN"/>
        </w:rPr>
        <w:t>评标委员会将要求该投标人作出书面说明并提供相关证明材料，以确定投标人是否以低于企业成本价报价。</w:t>
      </w:r>
      <w:r>
        <w:rPr>
          <w:rFonts w:hint="eastAsia" w:ascii="宋体" w:hAnsi="宋体" w:eastAsia="宋体" w:cs="宋体"/>
          <w:b/>
          <w:color w:val="auto"/>
          <w:szCs w:val="21"/>
          <w:highlight w:val="none"/>
          <w:lang w:val="zh-CN"/>
        </w:rPr>
        <w:t>若投标人不能合理说明或不能提供相关证明材料的，评标委员会将认定其投标报价低于成本，同时否决其投标。</w:t>
      </w:r>
    </w:p>
    <w:p w14:paraId="76B7796F">
      <w:pPr>
        <w:autoSpaceDE w:val="0"/>
        <w:autoSpaceDN w:val="0"/>
        <w:adjustRightInd w:val="0"/>
        <w:spacing w:line="360" w:lineRule="auto"/>
        <w:jc w:val="center"/>
        <w:rPr>
          <w:rFonts w:ascii="宋体" w:hAnsi="宋体" w:eastAsia="宋体" w:cs="宋体"/>
          <w:b/>
          <w:bCs/>
          <w:color w:val="auto"/>
          <w:sz w:val="28"/>
          <w:szCs w:val="28"/>
          <w:highlight w:val="none"/>
          <w:lang w:val="zh-CN"/>
        </w:rPr>
      </w:pPr>
      <w:bookmarkStart w:id="706" w:name="_Toc8518_WPSOffice_Level1"/>
    </w:p>
    <w:p w14:paraId="0F2ABE4E">
      <w:pPr>
        <w:autoSpaceDE w:val="0"/>
        <w:autoSpaceDN w:val="0"/>
        <w:adjustRightInd w:val="0"/>
        <w:spacing w:line="360" w:lineRule="auto"/>
        <w:jc w:val="center"/>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zh-CN"/>
        </w:rPr>
        <w:t>四、比较和评价</w:t>
      </w:r>
      <w:bookmarkEnd w:id="706"/>
    </w:p>
    <w:p w14:paraId="7A1B701F">
      <w:pPr>
        <w:autoSpaceDE w:val="0"/>
        <w:autoSpaceDN w:val="0"/>
        <w:adjustRightInd w:val="0"/>
        <w:spacing w:line="360" w:lineRule="auto"/>
        <w:ind w:left="422" w:leftChars="1" w:hanging="420" w:hangingChars="200"/>
        <w:rPr>
          <w:rFonts w:ascii="宋体" w:hAnsi="宋体" w:eastAsia="宋体" w:cs="宋体"/>
          <w:color w:val="auto"/>
          <w:szCs w:val="24"/>
          <w:highlight w:val="none"/>
          <w:lang w:val="zh-CN"/>
        </w:rPr>
      </w:pPr>
      <w:r>
        <w:rPr>
          <w:rFonts w:hint="eastAsia" w:ascii="宋体" w:hAnsi="宋体" w:eastAsia="宋体" w:cs="宋体"/>
          <w:bCs/>
          <w:color w:val="auto"/>
          <w:szCs w:val="24"/>
          <w:highlight w:val="none"/>
          <w:lang w:val="zh-CN"/>
        </w:rPr>
        <w:t>10、</w:t>
      </w:r>
      <w:r>
        <w:rPr>
          <w:rFonts w:hint="eastAsia" w:ascii="宋体" w:hAnsi="宋体" w:eastAsia="宋体" w:cs="宋体"/>
          <w:color w:val="auto"/>
          <w:szCs w:val="24"/>
          <w:highlight w:val="none"/>
          <w:lang w:val="zh-CN"/>
        </w:rPr>
        <w:t>评标委员会按招标文件中规定的评审方法和标准，对资格性检查和符合性检查合格的投标文件进行商务和技术评审、综合比较与评价；评标委员会根据商务和技术评审的结果，采用综合评分法，分别对投标文件的商务、技术、价格等内容进行打分。</w:t>
      </w:r>
    </w:p>
    <w:p w14:paraId="316C5906">
      <w:pPr>
        <w:autoSpaceDE w:val="0"/>
        <w:autoSpaceDN w:val="0"/>
        <w:adjustRightInd w:val="0"/>
        <w:spacing w:line="360" w:lineRule="auto"/>
        <w:ind w:left="422" w:leftChars="1" w:hanging="420" w:hangingChars="200"/>
        <w:rPr>
          <w:rFonts w:ascii="宋体" w:hAnsi="宋体" w:eastAsia="宋体" w:cs="宋体"/>
          <w:color w:val="auto"/>
          <w:szCs w:val="24"/>
          <w:highlight w:val="none"/>
          <w:lang w:val="zh-CN"/>
        </w:rPr>
      </w:pPr>
    </w:p>
    <w:p w14:paraId="7AF7B730">
      <w:pPr>
        <w:tabs>
          <w:tab w:val="left" w:pos="1701"/>
        </w:tabs>
        <w:autoSpaceDE w:val="0"/>
        <w:autoSpaceDN w:val="0"/>
        <w:adjustRightInd w:val="0"/>
        <w:spacing w:line="360" w:lineRule="auto"/>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11、评委打分办法</w:t>
      </w:r>
    </w:p>
    <w:p w14:paraId="21CD0996">
      <w:pPr>
        <w:autoSpaceDE w:val="0"/>
        <w:autoSpaceDN w:val="0"/>
        <w:adjustRightInd w:val="0"/>
        <w:spacing w:line="360" w:lineRule="auto"/>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.1 参加评分的评委应尽力体现客观、实事求是，避免学派偏见和个人偏好。</w:t>
      </w:r>
    </w:p>
    <w:p w14:paraId="65FD000F">
      <w:pPr>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.2 衡量、对比的依据，应以招标文件、投标文件、提供的正式试验数据、开标澄清中的文字为准，口头回答和收集的资料只作为参考。</w:t>
      </w:r>
    </w:p>
    <w:p w14:paraId="3A7B66A1">
      <w:pPr>
        <w:autoSpaceDE w:val="0"/>
        <w:autoSpaceDN w:val="0"/>
        <w:adjustRightInd w:val="0"/>
        <w:spacing w:line="360" w:lineRule="auto"/>
        <w:ind w:left="565" w:leftChars="-1" w:hanging="567" w:hangingChars="270"/>
        <w:rPr>
          <w:rFonts w:hint="eastAsia" w:ascii="宋体" w:hAnsi="宋体" w:eastAsia="宋体" w:cs="宋体"/>
          <w:color w:val="auto"/>
          <w:kern w:val="0"/>
          <w:szCs w:val="21"/>
          <w:highlight w:val="none"/>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.3 评分主要是为比较各投标人的商务、技术</w:t>
      </w:r>
      <w:r>
        <w:rPr>
          <w:rFonts w:hint="eastAsia" w:ascii="宋体" w:hAnsi="宋体" w:eastAsia="宋体" w:cs="Times New Roman"/>
          <w:color w:val="auto"/>
          <w:szCs w:val="24"/>
          <w:highlight w:val="none"/>
          <w:lang w:val="en-US" w:eastAsia="zh-CN"/>
        </w:rPr>
        <w:t>和</w:t>
      </w:r>
      <w:r>
        <w:rPr>
          <w:rFonts w:hint="eastAsia" w:ascii="宋体" w:hAnsi="宋体" w:eastAsia="宋体" w:cs="Times New Roman"/>
          <w:color w:val="auto"/>
          <w:szCs w:val="24"/>
          <w:highlight w:val="none"/>
          <w:lang w:val="zh-CN"/>
        </w:rPr>
        <w:t>价格综合排序。</w:t>
      </w:r>
      <w:r>
        <w:rPr>
          <w:rFonts w:hint="eastAsia" w:ascii="宋体" w:hAnsi="宋体" w:eastAsia="宋体" w:cs="宋体"/>
          <w:color w:val="auto"/>
          <w:kern w:val="0"/>
          <w:szCs w:val="21"/>
          <w:highlight w:val="none"/>
        </w:rPr>
        <w:t>评标委员会专家组的每一位评委根据招标文件评分标准对投标文件分别评审，对有效投标人投标文件的商务、技术、报价分别评分。</w:t>
      </w:r>
    </w:p>
    <w:p w14:paraId="3DC7277B">
      <w:pPr>
        <w:autoSpaceDE w:val="0"/>
        <w:autoSpaceDN w:val="0"/>
        <w:adjustRightInd w:val="0"/>
        <w:spacing w:line="360" w:lineRule="auto"/>
        <w:ind w:left="565" w:leftChars="-1" w:hanging="567" w:hangingChars="27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评标委员会首先对商务标进行评审，按评标标准打分后，取所有评委评分的平均值得出该投标人的商务评分；</w:t>
      </w:r>
    </w:p>
    <w:p w14:paraId="5BED7E8B">
      <w:pPr>
        <w:autoSpaceDE w:val="0"/>
        <w:autoSpaceDN w:val="0"/>
        <w:adjustRightInd w:val="0"/>
        <w:spacing w:line="360" w:lineRule="auto"/>
        <w:ind w:left="565" w:leftChars="-1" w:hanging="567" w:hangingChars="270"/>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然后评标委员会对技术标进行评审，按评标标准打分后</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 w:val="21"/>
          <w:szCs w:val="21"/>
          <w:highlight w:val="none"/>
        </w:rPr>
        <w:t>当评标委员会为五人时，在所有评委对同一份投标文件技术标评审的总评分中，去掉一个最高分和一个最低分，计算剩余总评分的算术平均值即为该投标人技术部分的</w:t>
      </w:r>
      <w:r>
        <w:rPr>
          <w:rFonts w:hint="eastAsia" w:ascii="宋体" w:hAnsi="宋体" w:eastAsia="宋体" w:cs="宋体"/>
          <w:color w:val="auto"/>
          <w:sz w:val="21"/>
          <w:szCs w:val="21"/>
          <w:highlight w:val="none"/>
          <w:lang w:val="en-US" w:eastAsia="zh-CN"/>
        </w:rPr>
        <w:t>最终综合得分</w:t>
      </w:r>
      <w:r>
        <w:rPr>
          <w:rFonts w:hint="eastAsia" w:ascii="宋体" w:hAnsi="宋体" w:eastAsia="宋体" w:cs="宋体"/>
          <w:color w:val="auto"/>
          <w:sz w:val="21"/>
          <w:szCs w:val="21"/>
          <w:highlight w:val="none"/>
        </w:rPr>
        <w:t>；当评标委员会为七人及以上单数时，在各评委的打分中，同一评委的最高评分减去最低评分，去掉分差最大评委的所有打分（出现分差相同时，按最高评分减去次最低评分进行比较，如此类推），在所有剩余评委对同一份投标文件技术部分评审的总评分中，去掉一个最高分和一个最低分，计算剩余总评分的算术平均值即为该投标人技术部分的最终综合得分；若评标委员会成员对某一项按“优、良、中、差”区间评审</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评分因素的评分低于权重分值60%的，应在评标报告中作出说明。</w:t>
      </w:r>
    </w:p>
    <w:p w14:paraId="669B1EBF">
      <w:pPr>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最后评标委员会对报价进行评审，按评标标准计算得出该投标人的报价评分。</w:t>
      </w:r>
    </w:p>
    <w:p w14:paraId="17672C0A">
      <w:pPr>
        <w:tabs>
          <w:tab w:val="left" w:pos="600"/>
        </w:tabs>
        <w:autoSpaceDE w:val="0"/>
        <w:autoSpaceDN w:val="0"/>
        <w:adjustRightInd w:val="0"/>
        <w:spacing w:line="360" w:lineRule="auto"/>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.4 评标委员会打分采取记名形式。</w:t>
      </w:r>
    </w:p>
    <w:p w14:paraId="107BD092">
      <w:pPr>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.5 各评委根据秘书组提供的打分表严格按照评标大纲内的评分标准独立自主打分，任何人不得要求评委统一打分或统一确定等次顺序。</w:t>
      </w:r>
    </w:p>
    <w:p w14:paraId="76AEB0C4">
      <w:pPr>
        <w:autoSpaceDE w:val="0"/>
        <w:autoSpaceDN w:val="0"/>
        <w:adjustRightInd w:val="0"/>
        <w:spacing w:line="360" w:lineRule="auto"/>
        <w:ind w:left="426" w:hanging="426"/>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.6 对打分表中的每项条款，各评委应根据投标文件、澄清材料、招标文件要求，按满足的程度给投标人打分。</w:t>
      </w:r>
    </w:p>
    <w:p w14:paraId="2D0552BB">
      <w:pPr>
        <w:tabs>
          <w:tab w:val="left" w:pos="600"/>
        </w:tabs>
        <w:autoSpaceDE w:val="0"/>
        <w:autoSpaceDN w:val="0"/>
        <w:adjustRightInd w:val="0"/>
        <w:spacing w:line="360" w:lineRule="auto"/>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.7 评分程序</w:t>
      </w:r>
    </w:p>
    <w:p w14:paraId="6D8086F7">
      <w:pPr>
        <w:tabs>
          <w:tab w:val="left" w:pos="1134"/>
        </w:tabs>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ascii="宋体" w:hAnsi="宋体" w:eastAsia="宋体" w:cs="Times New Roman"/>
          <w:color w:val="auto"/>
          <w:szCs w:val="24"/>
          <w:highlight w:val="none"/>
          <w:lang w:val="zh-CN"/>
        </w:rPr>
        <w:t>1</w:t>
      </w:r>
      <w:r>
        <w:rPr>
          <w:rFonts w:hint="eastAsia" w:ascii="宋体" w:hAnsi="宋体" w:eastAsia="宋体" w:cs="Times New Roman"/>
          <w:color w:val="auto"/>
          <w:szCs w:val="24"/>
          <w:highlight w:val="none"/>
          <w:lang w:val="zh-CN"/>
        </w:rPr>
        <w:t>）就投标人的投标文件对照整理出商务、技术评标因素对比表、偏差表，并在经过校核的基础上逐项打分。</w:t>
      </w:r>
    </w:p>
    <w:p w14:paraId="2CA18B23">
      <w:pPr>
        <w:tabs>
          <w:tab w:val="left" w:pos="1134"/>
        </w:tabs>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ascii="宋体" w:hAnsi="宋体" w:eastAsia="宋体" w:cs="Times New Roman"/>
          <w:color w:val="auto"/>
          <w:szCs w:val="24"/>
          <w:highlight w:val="none"/>
          <w:lang w:val="zh-CN"/>
        </w:rPr>
        <w:t>2</w:t>
      </w:r>
      <w:r>
        <w:rPr>
          <w:rFonts w:hint="eastAsia" w:ascii="宋体" w:hAnsi="宋体" w:eastAsia="宋体" w:cs="Times New Roman"/>
          <w:color w:val="auto"/>
          <w:szCs w:val="24"/>
          <w:highlight w:val="none"/>
          <w:lang w:val="zh-CN"/>
        </w:rPr>
        <w:t>）各评委独立完成打分后，将统计好的评分表交给招标代理机构秘书组复核。</w:t>
      </w:r>
    </w:p>
    <w:p w14:paraId="0A1227D0">
      <w:pPr>
        <w:tabs>
          <w:tab w:val="left" w:pos="1134"/>
        </w:tabs>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ascii="宋体" w:hAnsi="宋体" w:eastAsia="宋体" w:cs="Times New Roman"/>
          <w:color w:val="auto"/>
          <w:szCs w:val="24"/>
          <w:highlight w:val="none"/>
          <w:lang w:val="zh-CN"/>
        </w:rPr>
        <w:t>3</w:t>
      </w:r>
      <w:r>
        <w:rPr>
          <w:rFonts w:hint="eastAsia" w:ascii="宋体" w:hAnsi="宋体" w:eastAsia="宋体" w:cs="Times New Roman"/>
          <w:color w:val="auto"/>
          <w:szCs w:val="24"/>
          <w:highlight w:val="none"/>
          <w:lang w:val="zh-CN"/>
        </w:rPr>
        <w:t>）评分统计表中各投标人技术得分应为最终综合得分，商务和价格得分应为评委打分的算术平均值。</w:t>
      </w:r>
    </w:p>
    <w:p w14:paraId="61C7BACD">
      <w:pPr>
        <w:autoSpaceDE w:val="0"/>
        <w:autoSpaceDN w:val="0"/>
        <w:adjustRightInd w:val="0"/>
        <w:spacing w:line="360" w:lineRule="auto"/>
        <w:rPr>
          <w:rFonts w:ascii="宋体" w:hAnsi="宋体" w:eastAsia="宋体" w:cs="宋体"/>
          <w:color w:val="auto"/>
          <w:szCs w:val="24"/>
          <w:highlight w:val="none"/>
          <w:lang w:val="zh-CN"/>
        </w:rPr>
      </w:pPr>
    </w:p>
    <w:p w14:paraId="472B1893">
      <w:pPr>
        <w:tabs>
          <w:tab w:val="left" w:pos="1701"/>
        </w:tabs>
        <w:autoSpaceDE w:val="0"/>
        <w:autoSpaceDN w:val="0"/>
        <w:adjustRightInd w:val="0"/>
        <w:spacing w:line="360" w:lineRule="auto"/>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12、评分因素及分值</w:t>
      </w:r>
    </w:p>
    <w:tbl>
      <w:tblPr>
        <w:tblStyle w:val="36"/>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197"/>
        <w:gridCol w:w="5173"/>
      </w:tblGrid>
      <w:tr w14:paraId="4D9D5D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62CFD50C">
            <w:pPr>
              <w:spacing w:line="400" w:lineRule="exact"/>
              <w:jc w:val="center"/>
              <w:rPr>
                <w:rFonts w:ascii="宋体" w:hAnsi="宋体" w:eastAsia="宋体" w:cs="宋体"/>
                <w:b/>
                <w:color w:val="auto"/>
                <w:kern w:val="0"/>
                <w:sz w:val="22"/>
                <w:highlight w:val="none"/>
                <w:lang w:val="zh-CN"/>
              </w:rPr>
            </w:pPr>
            <w:r>
              <w:rPr>
                <w:rFonts w:hint="eastAsia" w:ascii="宋体" w:hAnsi="宋体" w:eastAsia="宋体" w:cs="宋体"/>
                <w:b/>
                <w:color w:val="auto"/>
                <w:kern w:val="0"/>
                <w:sz w:val="22"/>
                <w:highlight w:val="none"/>
                <w:lang w:val="zh-CN"/>
              </w:rPr>
              <w:t>评分因素</w:t>
            </w:r>
          </w:p>
        </w:tc>
        <w:tc>
          <w:tcPr>
            <w:tcW w:w="2494" w:type="pct"/>
            <w:tcBorders>
              <w:top w:val="single" w:color="auto" w:sz="4" w:space="0"/>
              <w:left w:val="single" w:color="auto" w:sz="4" w:space="0"/>
              <w:bottom w:val="single" w:color="auto" w:sz="4" w:space="0"/>
              <w:right w:val="single" w:color="auto" w:sz="4" w:space="0"/>
            </w:tcBorders>
            <w:vAlign w:val="center"/>
          </w:tcPr>
          <w:p w14:paraId="5D87C748">
            <w:pPr>
              <w:spacing w:line="400" w:lineRule="exact"/>
              <w:jc w:val="center"/>
              <w:rPr>
                <w:rFonts w:ascii="宋体" w:hAnsi="宋体" w:eastAsia="宋体" w:cs="宋体"/>
                <w:b/>
                <w:color w:val="auto"/>
                <w:kern w:val="0"/>
                <w:sz w:val="22"/>
                <w:highlight w:val="none"/>
                <w:lang w:val="zh-CN"/>
              </w:rPr>
            </w:pPr>
            <w:r>
              <w:rPr>
                <w:rFonts w:hint="eastAsia" w:ascii="宋体" w:hAnsi="宋体" w:eastAsia="宋体" w:cs="宋体"/>
                <w:b/>
                <w:color w:val="auto"/>
                <w:kern w:val="0"/>
                <w:sz w:val="22"/>
                <w:highlight w:val="none"/>
                <w:lang w:val="zh-CN"/>
              </w:rPr>
              <w:t>分值</w:t>
            </w:r>
          </w:p>
        </w:tc>
      </w:tr>
      <w:tr w14:paraId="151C15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7C4C995D">
            <w:pPr>
              <w:spacing w:line="400" w:lineRule="exact"/>
              <w:jc w:val="center"/>
              <w:rPr>
                <w:rFonts w:ascii="宋体" w:hAnsi="宋体" w:eastAsia="宋体" w:cs="宋体"/>
                <w:bCs/>
                <w:color w:val="auto"/>
                <w:kern w:val="0"/>
                <w:sz w:val="21"/>
                <w:szCs w:val="21"/>
                <w:highlight w:val="none"/>
                <w:lang w:val="zh-CN"/>
              </w:rPr>
            </w:pPr>
            <w:r>
              <w:rPr>
                <w:rFonts w:hint="eastAsia" w:ascii="宋体" w:hAnsi="宋体" w:eastAsia="宋体" w:cs="宋体"/>
                <w:bCs/>
                <w:color w:val="auto"/>
                <w:kern w:val="0"/>
                <w:sz w:val="21"/>
                <w:szCs w:val="21"/>
                <w:highlight w:val="none"/>
                <w:lang w:val="zh-CN"/>
              </w:rPr>
              <w:t>1、商务</w:t>
            </w:r>
          </w:p>
        </w:tc>
        <w:tc>
          <w:tcPr>
            <w:tcW w:w="5173" w:type="dxa"/>
            <w:tcBorders>
              <w:top w:val="single" w:color="auto" w:sz="4" w:space="0"/>
              <w:left w:val="single" w:color="auto" w:sz="4" w:space="0"/>
              <w:bottom w:val="single" w:color="auto" w:sz="4" w:space="0"/>
              <w:right w:val="single" w:color="auto" w:sz="4" w:space="0"/>
            </w:tcBorders>
            <w:vAlign w:val="center"/>
          </w:tcPr>
          <w:p w14:paraId="76037656">
            <w:pPr>
              <w:autoSpaceDE w:val="0"/>
              <w:autoSpaceDN w:val="0"/>
              <w:adjustRightInd w:val="0"/>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 w:val="0"/>
                <w:bCs/>
                <w:color w:val="auto"/>
                <w:szCs w:val="21"/>
                <w:highlight w:val="none"/>
                <w:lang w:val="en-US" w:eastAsia="zh-CN" w:bidi="ar"/>
              </w:rPr>
              <w:t>25</w:t>
            </w:r>
            <w:r>
              <w:rPr>
                <w:rFonts w:hint="eastAsia" w:ascii="宋体" w:hAnsi="宋体" w:eastAsia="宋体" w:cs="宋体"/>
                <w:b w:val="0"/>
                <w:bCs/>
                <w:color w:val="auto"/>
                <w:szCs w:val="21"/>
                <w:highlight w:val="none"/>
                <w:lang w:bidi="ar"/>
              </w:rPr>
              <w:t>分</w:t>
            </w:r>
          </w:p>
        </w:tc>
      </w:tr>
      <w:tr w14:paraId="5DB73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6F8B43AC">
            <w:pPr>
              <w:spacing w:line="400" w:lineRule="exact"/>
              <w:jc w:val="center"/>
              <w:rPr>
                <w:rFonts w:ascii="宋体" w:hAnsi="宋体" w:eastAsia="宋体" w:cs="宋体"/>
                <w:bCs/>
                <w:color w:val="auto"/>
                <w:kern w:val="0"/>
                <w:sz w:val="21"/>
                <w:szCs w:val="21"/>
                <w:highlight w:val="none"/>
                <w:lang w:val="zh-CN"/>
              </w:rPr>
            </w:pPr>
            <w:r>
              <w:rPr>
                <w:rFonts w:hint="eastAsia" w:ascii="宋体" w:hAnsi="宋体" w:eastAsia="宋体" w:cs="宋体"/>
                <w:bCs/>
                <w:color w:val="auto"/>
                <w:kern w:val="0"/>
                <w:sz w:val="21"/>
                <w:szCs w:val="21"/>
                <w:highlight w:val="none"/>
                <w:lang w:val="zh-CN"/>
              </w:rPr>
              <w:t>2、技术</w:t>
            </w:r>
          </w:p>
        </w:tc>
        <w:tc>
          <w:tcPr>
            <w:tcW w:w="5173" w:type="dxa"/>
            <w:tcBorders>
              <w:top w:val="single" w:color="auto" w:sz="4" w:space="0"/>
              <w:left w:val="single" w:color="auto" w:sz="4" w:space="0"/>
              <w:bottom w:val="single" w:color="auto" w:sz="4" w:space="0"/>
              <w:right w:val="single" w:color="auto" w:sz="4" w:space="0"/>
            </w:tcBorders>
            <w:vAlign w:val="center"/>
          </w:tcPr>
          <w:p w14:paraId="0AA49AA0">
            <w:pPr>
              <w:autoSpaceDE w:val="0"/>
              <w:autoSpaceDN w:val="0"/>
              <w:adjustRightInd w:val="0"/>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 w:val="0"/>
                <w:bCs/>
                <w:color w:val="auto"/>
                <w:szCs w:val="21"/>
                <w:highlight w:val="none"/>
                <w:lang w:val="en-US" w:eastAsia="zh-CN" w:bidi="ar"/>
              </w:rPr>
              <w:t>45</w:t>
            </w:r>
            <w:r>
              <w:rPr>
                <w:rFonts w:hint="eastAsia" w:ascii="宋体" w:hAnsi="宋体" w:eastAsia="宋体" w:cs="宋体"/>
                <w:b w:val="0"/>
                <w:bCs/>
                <w:color w:val="auto"/>
                <w:szCs w:val="21"/>
                <w:highlight w:val="none"/>
                <w:lang w:bidi="ar"/>
              </w:rPr>
              <w:t>分</w:t>
            </w:r>
          </w:p>
        </w:tc>
      </w:tr>
      <w:tr w14:paraId="427EB6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65F786AD">
            <w:pPr>
              <w:spacing w:line="400" w:lineRule="exact"/>
              <w:jc w:val="center"/>
              <w:rPr>
                <w:rFonts w:ascii="宋体" w:hAnsi="宋体" w:eastAsia="宋体" w:cs="宋体"/>
                <w:bCs/>
                <w:color w:val="auto"/>
                <w:kern w:val="0"/>
                <w:sz w:val="21"/>
                <w:szCs w:val="21"/>
                <w:highlight w:val="none"/>
                <w:lang w:val="zh-CN"/>
              </w:rPr>
            </w:pPr>
            <w:r>
              <w:rPr>
                <w:rFonts w:hint="eastAsia" w:ascii="宋体" w:hAnsi="宋体" w:eastAsia="宋体" w:cs="宋体"/>
                <w:bCs/>
                <w:color w:val="auto"/>
                <w:kern w:val="0"/>
                <w:sz w:val="21"/>
                <w:szCs w:val="21"/>
                <w:highlight w:val="none"/>
                <w:lang w:val="zh-CN"/>
              </w:rPr>
              <w:t>3、价格</w:t>
            </w:r>
          </w:p>
        </w:tc>
        <w:tc>
          <w:tcPr>
            <w:tcW w:w="5173" w:type="dxa"/>
            <w:tcBorders>
              <w:top w:val="single" w:color="auto" w:sz="4" w:space="0"/>
              <w:left w:val="single" w:color="auto" w:sz="4" w:space="0"/>
              <w:bottom w:val="single" w:color="auto" w:sz="4" w:space="0"/>
              <w:right w:val="single" w:color="auto" w:sz="4" w:space="0"/>
            </w:tcBorders>
            <w:vAlign w:val="center"/>
          </w:tcPr>
          <w:p w14:paraId="4347B9BF">
            <w:pPr>
              <w:autoSpaceDE w:val="0"/>
              <w:autoSpaceDN w:val="0"/>
              <w:adjustRightInd w:val="0"/>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 w:val="0"/>
                <w:bCs/>
                <w:color w:val="auto"/>
                <w:szCs w:val="21"/>
                <w:highlight w:val="none"/>
                <w:lang w:val="en-US" w:eastAsia="zh-CN" w:bidi="ar"/>
              </w:rPr>
              <w:t>30</w:t>
            </w:r>
            <w:r>
              <w:rPr>
                <w:rFonts w:hint="eastAsia" w:ascii="宋体" w:hAnsi="宋体" w:eastAsia="宋体" w:cs="宋体"/>
                <w:b w:val="0"/>
                <w:bCs/>
                <w:color w:val="auto"/>
                <w:szCs w:val="21"/>
                <w:highlight w:val="none"/>
                <w:lang w:bidi="ar"/>
              </w:rPr>
              <w:t>分</w:t>
            </w:r>
          </w:p>
        </w:tc>
      </w:tr>
    </w:tbl>
    <w:p w14:paraId="7808D75B">
      <w:pPr>
        <w:tabs>
          <w:tab w:val="left" w:pos="585"/>
        </w:tabs>
        <w:autoSpaceDE w:val="0"/>
        <w:autoSpaceDN w:val="0"/>
        <w:adjustRightInd w:val="0"/>
        <w:spacing w:line="360" w:lineRule="auto"/>
        <w:rPr>
          <w:rFonts w:ascii="宋体" w:hAnsi="宋体" w:eastAsia="宋体" w:cs="宋体"/>
          <w:b/>
          <w:color w:val="auto"/>
          <w:szCs w:val="21"/>
          <w:highlight w:val="none"/>
        </w:rPr>
      </w:pPr>
      <w:bookmarkStart w:id="707" w:name="_Toc18349_WPSOffice_Level2"/>
    </w:p>
    <w:p w14:paraId="784D80E1">
      <w:pPr>
        <w:tabs>
          <w:tab w:val="left" w:pos="585"/>
        </w:tabs>
        <w:autoSpaceDE w:val="0"/>
        <w:autoSpaceDN w:val="0"/>
        <w:adjustRightInd w:val="0"/>
        <w:spacing w:line="360" w:lineRule="auto"/>
        <w:rPr>
          <w:rFonts w:ascii="宋体" w:hAnsi="宋体" w:eastAsia="宋体" w:cs="宋体"/>
          <w:b/>
          <w:color w:val="auto"/>
          <w:szCs w:val="21"/>
          <w:highlight w:val="none"/>
          <w:lang w:val="zh-CN"/>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zh-CN"/>
        </w:rPr>
        <w:t>商务：</w:t>
      </w:r>
      <w:bookmarkEnd w:id="707"/>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7655"/>
        <w:gridCol w:w="907"/>
      </w:tblGrid>
      <w:tr w14:paraId="69B7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325" w:type="pct"/>
            <w:tcBorders>
              <w:top w:val="single" w:color="auto" w:sz="4" w:space="0"/>
              <w:left w:val="single" w:color="auto" w:sz="4" w:space="0"/>
              <w:bottom w:val="single" w:color="auto" w:sz="4" w:space="0"/>
              <w:right w:val="single" w:color="auto" w:sz="4" w:space="0"/>
            </w:tcBorders>
            <w:vAlign w:val="bottom"/>
          </w:tcPr>
          <w:p w14:paraId="7094EDD2">
            <w:pPr>
              <w:autoSpaceDE w:val="0"/>
              <w:autoSpaceDN w:val="0"/>
              <w:adjustRightInd w:val="0"/>
              <w:spacing w:line="400" w:lineRule="exact"/>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547" w:type="pct"/>
            <w:tcBorders>
              <w:top w:val="single" w:color="auto" w:sz="4" w:space="0"/>
              <w:left w:val="single" w:color="auto" w:sz="4" w:space="0"/>
              <w:bottom w:val="single" w:color="auto" w:sz="4" w:space="0"/>
              <w:right w:val="single" w:color="auto" w:sz="4" w:space="0"/>
            </w:tcBorders>
            <w:vAlign w:val="bottom"/>
          </w:tcPr>
          <w:p w14:paraId="5A1CFE37">
            <w:pPr>
              <w:autoSpaceDE w:val="0"/>
              <w:autoSpaceDN w:val="0"/>
              <w:adjustRightInd w:val="0"/>
              <w:spacing w:line="400" w:lineRule="exact"/>
              <w:jc w:val="center"/>
              <w:rPr>
                <w:rFonts w:ascii="宋体" w:hAnsi="宋体" w:eastAsia="宋体" w:cs="宋体"/>
                <w:b/>
                <w:color w:val="auto"/>
                <w:kern w:val="0"/>
                <w:szCs w:val="21"/>
                <w:highlight w:val="none"/>
              </w:rPr>
            </w:pPr>
            <w:r>
              <w:rPr>
                <w:rFonts w:hint="eastAsia" w:ascii="宋体" w:hAnsi="宋体" w:eastAsia="宋体" w:cs="宋体"/>
                <w:b/>
                <w:color w:val="auto"/>
                <w:szCs w:val="21"/>
                <w:highlight w:val="none"/>
                <w:lang w:val="zh-CN"/>
              </w:rPr>
              <w:t>评审内容</w:t>
            </w:r>
          </w:p>
        </w:tc>
        <w:tc>
          <w:tcPr>
            <w:tcW w:w="3691" w:type="pct"/>
            <w:tcBorders>
              <w:top w:val="single" w:color="auto" w:sz="4" w:space="0"/>
              <w:left w:val="single" w:color="auto" w:sz="4" w:space="0"/>
              <w:bottom w:val="single" w:color="auto" w:sz="4" w:space="0"/>
              <w:right w:val="single" w:color="auto" w:sz="4" w:space="0"/>
            </w:tcBorders>
            <w:vAlign w:val="bottom"/>
          </w:tcPr>
          <w:p w14:paraId="5FFF0285">
            <w:pPr>
              <w:autoSpaceDE w:val="0"/>
              <w:autoSpaceDN w:val="0"/>
              <w:adjustRightInd w:val="0"/>
              <w:spacing w:line="400" w:lineRule="exact"/>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评审细则</w:t>
            </w:r>
          </w:p>
        </w:tc>
        <w:tc>
          <w:tcPr>
            <w:tcW w:w="437" w:type="pct"/>
            <w:tcBorders>
              <w:top w:val="single" w:color="auto" w:sz="4" w:space="0"/>
              <w:left w:val="single" w:color="auto" w:sz="4" w:space="0"/>
              <w:bottom w:val="single" w:color="auto" w:sz="4" w:space="0"/>
              <w:right w:val="single" w:color="auto" w:sz="4" w:space="0"/>
            </w:tcBorders>
            <w:vAlign w:val="bottom"/>
          </w:tcPr>
          <w:p w14:paraId="57F5A771">
            <w:pPr>
              <w:autoSpaceDE w:val="0"/>
              <w:autoSpaceDN w:val="0"/>
              <w:adjustRightInd w:val="0"/>
              <w:spacing w:line="400" w:lineRule="exact"/>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满分值</w:t>
            </w:r>
          </w:p>
        </w:tc>
      </w:tr>
      <w:tr w14:paraId="0D54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729C54FE">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w:t>
            </w:r>
          </w:p>
        </w:tc>
        <w:tc>
          <w:tcPr>
            <w:tcW w:w="547" w:type="pct"/>
            <w:tcBorders>
              <w:top w:val="single" w:color="auto" w:sz="4" w:space="0"/>
              <w:left w:val="single" w:color="auto" w:sz="4" w:space="0"/>
              <w:bottom w:val="single" w:color="auto" w:sz="4" w:space="0"/>
              <w:right w:val="single" w:color="auto" w:sz="4" w:space="0"/>
            </w:tcBorders>
            <w:vAlign w:val="center"/>
          </w:tcPr>
          <w:p w14:paraId="621D3A2A">
            <w:pPr>
              <w:autoSpaceDE w:val="0"/>
              <w:autoSpaceDN w:val="0"/>
              <w:spacing w:line="400" w:lineRule="exact"/>
              <w:jc w:val="center"/>
              <w:rPr>
                <w:rFonts w:ascii="宋体" w:hAnsi="宋体" w:eastAsia="宋体" w:cs="Times New Roman"/>
                <w:bCs/>
                <w:color w:val="auto"/>
                <w:kern w:val="0"/>
                <w:sz w:val="24"/>
                <w:szCs w:val="21"/>
                <w:highlight w:val="none"/>
              </w:rPr>
            </w:pPr>
            <w:r>
              <w:rPr>
                <w:rFonts w:hint="eastAsia" w:ascii="宋体" w:hAnsi="宋体" w:eastAsia="宋体" w:cs="宋体"/>
                <w:color w:val="auto"/>
                <w:sz w:val="21"/>
                <w:szCs w:val="21"/>
                <w:highlight w:val="none"/>
                <w:lang w:val="zh-CN"/>
              </w:rPr>
              <w:t>财务状况</w:t>
            </w:r>
          </w:p>
        </w:tc>
        <w:tc>
          <w:tcPr>
            <w:tcW w:w="3691" w:type="pct"/>
            <w:tcBorders>
              <w:top w:val="single" w:color="auto" w:sz="4" w:space="0"/>
              <w:left w:val="single" w:color="auto" w:sz="4" w:space="0"/>
              <w:bottom w:val="single" w:color="auto" w:sz="4" w:space="0"/>
              <w:right w:val="single" w:color="auto" w:sz="4" w:space="0"/>
            </w:tcBorders>
            <w:vAlign w:val="center"/>
          </w:tcPr>
          <w:p w14:paraId="14E7A03E">
            <w:pPr>
              <w:autoSpaceDE w:val="0"/>
              <w:autoSpaceDN w:val="0"/>
              <w:spacing w:line="400" w:lineRule="exact"/>
              <w:jc w:val="left"/>
              <w:rPr>
                <w:rFonts w:hint="eastAsia" w:ascii="宋体" w:hAnsi="宋体" w:eastAsia="宋体" w:cs="Times New Roman"/>
                <w:b w:val="0"/>
                <w:bCs/>
                <w:color w:val="auto"/>
                <w:kern w:val="0"/>
                <w:szCs w:val="21"/>
                <w:highlight w:val="none"/>
                <w:lang w:val="zh-CN"/>
              </w:rPr>
            </w:pPr>
            <w:r>
              <w:rPr>
                <w:rFonts w:hint="eastAsia" w:ascii="宋体" w:hAnsi="宋体" w:eastAsia="宋体" w:cs="Times New Roman"/>
                <w:b w:val="0"/>
                <w:bCs/>
                <w:color w:val="auto"/>
                <w:kern w:val="0"/>
                <w:szCs w:val="21"/>
                <w:highlight w:val="none"/>
                <w:lang w:val="zh-CN"/>
              </w:rPr>
              <w:t>投标人202</w:t>
            </w:r>
            <w:r>
              <w:rPr>
                <w:rFonts w:hint="eastAsia" w:ascii="宋体" w:hAnsi="宋体" w:eastAsia="宋体" w:cs="Times New Roman"/>
                <w:b w:val="0"/>
                <w:bCs/>
                <w:color w:val="auto"/>
                <w:kern w:val="0"/>
                <w:szCs w:val="21"/>
                <w:highlight w:val="none"/>
                <w:lang w:val="en-US" w:eastAsia="zh-CN"/>
              </w:rPr>
              <w:t>2</w:t>
            </w:r>
            <w:r>
              <w:rPr>
                <w:rFonts w:hint="eastAsia" w:ascii="宋体" w:hAnsi="宋体" w:eastAsia="宋体" w:cs="Times New Roman"/>
                <w:b w:val="0"/>
                <w:bCs/>
                <w:color w:val="auto"/>
                <w:kern w:val="0"/>
                <w:szCs w:val="21"/>
                <w:highlight w:val="none"/>
                <w:lang w:val="zh-CN"/>
              </w:rPr>
              <w:t>年-202</w:t>
            </w:r>
            <w:r>
              <w:rPr>
                <w:rFonts w:hint="eastAsia" w:ascii="宋体" w:hAnsi="宋体" w:eastAsia="宋体" w:cs="Times New Roman"/>
                <w:b w:val="0"/>
                <w:bCs/>
                <w:color w:val="auto"/>
                <w:kern w:val="0"/>
                <w:szCs w:val="21"/>
                <w:highlight w:val="none"/>
                <w:lang w:val="en-US" w:eastAsia="zh-CN"/>
              </w:rPr>
              <w:t>4</w:t>
            </w:r>
            <w:r>
              <w:rPr>
                <w:rFonts w:hint="eastAsia" w:ascii="宋体" w:hAnsi="宋体" w:eastAsia="宋体" w:cs="Times New Roman"/>
                <w:b w:val="0"/>
                <w:bCs/>
                <w:color w:val="auto"/>
                <w:kern w:val="0"/>
                <w:szCs w:val="21"/>
                <w:highlight w:val="none"/>
                <w:lang w:val="zh-CN"/>
              </w:rPr>
              <w:t>年三个年度，每具有1个年度盈利的得1分，满分3分。</w:t>
            </w:r>
          </w:p>
          <w:p w14:paraId="6926B4DD">
            <w:pPr>
              <w:autoSpaceDE w:val="0"/>
              <w:autoSpaceDN w:val="0"/>
              <w:spacing w:line="400" w:lineRule="exact"/>
              <w:jc w:val="left"/>
              <w:rPr>
                <w:rFonts w:ascii="宋体" w:hAnsi="宋体" w:eastAsia="宋体" w:cs="Times New Roman"/>
                <w:b/>
                <w:color w:val="auto"/>
                <w:kern w:val="0"/>
                <w:szCs w:val="21"/>
                <w:highlight w:val="none"/>
                <w:lang w:val="zh-CN"/>
              </w:rPr>
            </w:pPr>
            <w:r>
              <w:rPr>
                <w:rFonts w:hint="eastAsia" w:ascii="宋体" w:hAnsi="宋体" w:eastAsia="宋体" w:cs="Times New Roman"/>
                <w:b/>
                <w:color w:val="auto"/>
                <w:kern w:val="0"/>
                <w:szCs w:val="21"/>
                <w:highlight w:val="none"/>
                <w:lang w:val="en-US" w:eastAsia="zh-CN"/>
              </w:rPr>
              <w:t>备</w:t>
            </w:r>
            <w:r>
              <w:rPr>
                <w:rFonts w:hint="eastAsia" w:ascii="宋体" w:hAnsi="宋体" w:eastAsia="宋体" w:cs="Times New Roman"/>
                <w:b/>
                <w:color w:val="auto"/>
                <w:kern w:val="0"/>
                <w:szCs w:val="21"/>
                <w:highlight w:val="none"/>
                <w:lang w:val="zh-CN"/>
              </w:rPr>
              <w:t>注：盈利指净利润为正数（非零、非负数），投标人应提供202</w:t>
            </w:r>
            <w:r>
              <w:rPr>
                <w:rFonts w:hint="eastAsia" w:ascii="宋体" w:hAnsi="宋体" w:eastAsia="宋体" w:cs="Times New Roman"/>
                <w:b/>
                <w:color w:val="auto"/>
                <w:kern w:val="0"/>
                <w:szCs w:val="21"/>
                <w:highlight w:val="none"/>
                <w:lang w:val="en-US" w:eastAsia="zh-CN"/>
              </w:rPr>
              <w:t>2</w:t>
            </w:r>
            <w:r>
              <w:rPr>
                <w:rFonts w:hint="eastAsia" w:ascii="宋体" w:hAnsi="宋体" w:eastAsia="宋体" w:cs="Times New Roman"/>
                <w:b/>
                <w:color w:val="auto"/>
                <w:kern w:val="0"/>
                <w:szCs w:val="21"/>
                <w:highlight w:val="none"/>
                <w:lang w:val="zh-CN"/>
              </w:rPr>
              <w:t>年、202</w:t>
            </w:r>
            <w:r>
              <w:rPr>
                <w:rFonts w:hint="eastAsia" w:ascii="宋体" w:hAnsi="宋体" w:eastAsia="宋体" w:cs="Times New Roman"/>
                <w:b/>
                <w:color w:val="auto"/>
                <w:kern w:val="0"/>
                <w:szCs w:val="21"/>
                <w:highlight w:val="none"/>
                <w:lang w:val="en-US" w:eastAsia="zh-CN"/>
              </w:rPr>
              <w:t>3</w:t>
            </w:r>
            <w:r>
              <w:rPr>
                <w:rFonts w:hint="eastAsia" w:ascii="宋体" w:hAnsi="宋体" w:eastAsia="宋体" w:cs="Times New Roman"/>
                <w:b/>
                <w:color w:val="auto"/>
                <w:kern w:val="0"/>
                <w:szCs w:val="21"/>
                <w:highlight w:val="none"/>
                <w:lang w:val="zh-CN"/>
              </w:rPr>
              <w:t>年、202</w:t>
            </w:r>
            <w:r>
              <w:rPr>
                <w:rFonts w:hint="eastAsia" w:ascii="宋体" w:hAnsi="宋体" w:eastAsia="宋体" w:cs="Times New Roman"/>
                <w:b/>
                <w:color w:val="auto"/>
                <w:kern w:val="0"/>
                <w:szCs w:val="21"/>
                <w:highlight w:val="none"/>
                <w:lang w:val="en-US" w:eastAsia="zh-CN"/>
              </w:rPr>
              <w:t>4</w:t>
            </w:r>
            <w:r>
              <w:rPr>
                <w:rFonts w:hint="eastAsia" w:ascii="宋体" w:hAnsi="宋体" w:eastAsia="宋体" w:cs="Times New Roman"/>
                <w:b/>
                <w:color w:val="auto"/>
                <w:kern w:val="0"/>
                <w:szCs w:val="21"/>
                <w:highlight w:val="none"/>
                <w:lang w:val="zh-CN"/>
              </w:rPr>
              <w:t>年三个年度的财务报表，净利润以对应年度经审计的财务报表为准，应提供经独立会计师事务所审计过的有效的财务报表复印件；未提供前述财务报表或财务报表未能反映净利润的，不得分。</w:t>
            </w:r>
          </w:p>
        </w:tc>
        <w:tc>
          <w:tcPr>
            <w:tcW w:w="437" w:type="pct"/>
            <w:tcBorders>
              <w:top w:val="single" w:color="auto" w:sz="4" w:space="0"/>
              <w:left w:val="single" w:color="auto" w:sz="4" w:space="0"/>
              <w:bottom w:val="single" w:color="auto" w:sz="4" w:space="0"/>
              <w:right w:val="single" w:color="auto" w:sz="4" w:space="0"/>
            </w:tcBorders>
            <w:vAlign w:val="center"/>
          </w:tcPr>
          <w:p w14:paraId="54A3809E">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Times New Roman"/>
                <w:b w:val="0"/>
                <w:bCs/>
                <w:color w:val="auto"/>
                <w:kern w:val="0"/>
                <w:szCs w:val="21"/>
                <w:highlight w:val="none"/>
                <w:lang w:val="zh-CN"/>
              </w:rPr>
              <w:t>3分</w:t>
            </w:r>
          </w:p>
        </w:tc>
      </w:tr>
      <w:tr w14:paraId="5B15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25" w:type="pct"/>
            <w:tcBorders>
              <w:top w:val="single" w:color="auto" w:sz="4" w:space="0"/>
              <w:left w:val="single" w:color="auto" w:sz="4" w:space="0"/>
              <w:bottom w:val="single" w:color="auto" w:sz="4" w:space="0"/>
              <w:right w:val="single" w:color="auto" w:sz="4" w:space="0"/>
            </w:tcBorders>
            <w:vAlign w:val="center"/>
          </w:tcPr>
          <w:p w14:paraId="3AB09CC0">
            <w:pPr>
              <w:autoSpaceDE w:val="0"/>
              <w:autoSpaceDN w:val="0"/>
              <w:adjustRightInd w:val="0"/>
              <w:spacing w:line="40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w:t>
            </w:r>
          </w:p>
        </w:tc>
        <w:tc>
          <w:tcPr>
            <w:tcW w:w="547" w:type="pct"/>
            <w:tcBorders>
              <w:top w:val="single" w:color="auto" w:sz="4" w:space="0"/>
              <w:left w:val="single" w:color="auto" w:sz="4" w:space="0"/>
              <w:bottom w:val="single" w:color="auto" w:sz="4" w:space="0"/>
              <w:right w:val="single" w:color="auto" w:sz="4" w:space="0"/>
            </w:tcBorders>
            <w:vAlign w:val="center"/>
          </w:tcPr>
          <w:p w14:paraId="70B43229">
            <w:pPr>
              <w:autoSpaceDE w:val="0"/>
              <w:autoSpaceDN w:val="0"/>
              <w:spacing w:line="400" w:lineRule="exact"/>
              <w:jc w:val="center"/>
              <w:rPr>
                <w:rFonts w:ascii="宋体" w:hAnsi="宋体" w:eastAsia="宋体" w:cs="宋体"/>
                <w:color w:val="auto"/>
                <w:kern w:val="0"/>
                <w:szCs w:val="21"/>
                <w:highlight w:val="none"/>
                <w:lang w:val="zh-CN"/>
              </w:rPr>
            </w:pPr>
            <w:r>
              <w:rPr>
                <w:rFonts w:hint="eastAsia" w:ascii="宋体" w:hAnsi="宋体" w:eastAsia="宋体" w:cs="宋体"/>
                <w:color w:val="auto"/>
                <w:sz w:val="21"/>
                <w:szCs w:val="21"/>
                <w:highlight w:val="none"/>
              </w:rPr>
              <w:t>标准化程度</w:t>
            </w:r>
          </w:p>
        </w:tc>
        <w:tc>
          <w:tcPr>
            <w:tcW w:w="3691" w:type="pct"/>
            <w:tcBorders>
              <w:top w:val="single" w:color="auto" w:sz="4" w:space="0"/>
              <w:left w:val="single" w:color="auto" w:sz="4" w:space="0"/>
              <w:bottom w:val="single" w:color="auto" w:sz="4" w:space="0"/>
              <w:right w:val="single" w:color="auto" w:sz="4" w:space="0"/>
            </w:tcBorders>
            <w:vAlign w:val="center"/>
          </w:tcPr>
          <w:p w14:paraId="6B0C99E7">
            <w:pPr>
              <w:keepNext w:val="0"/>
              <w:keepLines w:val="0"/>
              <w:suppressLineNumbers w:val="0"/>
              <w:tabs>
                <w:tab w:val="left" w:pos="134"/>
              </w:tabs>
              <w:snapToGrid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Cs w:val="21"/>
                <w:highlight w:val="none"/>
                <w:lang w:bidi="ar"/>
              </w:rPr>
              <w:t>投标产品的制造商</w:t>
            </w:r>
            <w:r>
              <w:rPr>
                <w:rFonts w:hint="eastAsia" w:ascii="宋体" w:hAnsi="宋体" w:eastAsia="宋体" w:cs="宋体"/>
                <w:color w:val="auto"/>
                <w:sz w:val="21"/>
                <w:szCs w:val="21"/>
                <w:highlight w:val="none"/>
              </w:rPr>
              <w:t>具有有效期内的ISO9001质量管理体系认证证书得1分；</w:t>
            </w:r>
          </w:p>
          <w:p w14:paraId="711FDFF2">
            <w:pPr>
              <w:keepNext w:val="0"/>
              <w:keepLines w:val="0"/>
              <w:suppressLineNumbers w:val="0"/>
              <w:tabs>
                <w:tab w:val="left" w:pos="134"/>
              </w:tabs>
              <w:snapToGrid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Cs w:val="21"/>
                <w:highlight w:val="none"/>
                <w:lang w:bidi="ar"/>
              </w:rPr>
              <w:t>投标产品的制造商</w:t>
            </w:r>
            <w:r>
              <w:rPr>
                <w:rFonts w:hint="eastAsia" w:ascii="宋体" w:hAnsi="宋体" w:eastAsia="宋体" w:cs="宋体"/>
                <w:color w:val="auto"/>
                <w:sz w:val="21"/>
                <w:szCs w:val="21"/>
                <w:highlight w:val="none"/>
              </w:rPr>
              <w:t>具有有效期内的ISO14001环境管理体系认证证书得1分；</w:t>
            </w:r>
          </w:p>
          <w:p w14:paraId="7906A93F">
            <w:pPr>
              <w:keepNext w:val="0"/>
              <w:keepLines w:val="0"/>
              <w:suppressLineNumbers w:val="0"/>
              <w:tabs>
                <w:tab w:val="left" w:pos="134"/>
              </w:tabs>
              <w:snapToGrid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Cs w:val="21"/>
                <w:highlight w:val="none"/>
                <w:lang w:bidi="ar"/>
              </w:rPr>
              <w:t>投标产品的制造商</w:t>
            </w:r>
            <w:r>
              <w:rPr>
                <w:rFonts w:hint="eastAsia" w:ascii="宋体" w:hAnsi="宋体" w:eastAsia="宋体" w:cs="宋体"/>
                <w:color w:val="auto"/>
                <w:sz w:val="21"/>
                <w:szCs w:val="21"/>
                <w:highlight w:val="none"/>
              </w:rPr>
              <w:t>具有有效期内的OHSAS18001（或GB/T45001-2020，或ISO45001）职业健康安全管理体系认证证书得1分。</w:t>
            </w:r>
          </w:p>
          <w:p w14:paraId="72074810">
            <w:pPr>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p w14:paraId="4C61812F">
            <w:pPr>
              <w:autoSpaceDE w:val="0"/>
              <w:autoSpaceDN w:val="0"/>
              <w:adjustRightInd w:val="0"/>
              <w:snapToGrid w:val="0"/>
              <w:spacing w:line="360" w:lineRule="auto"/>
              <w:jc w:val="left"/>
              <w:rPr>
                <w:rFonts w:ascii="宋体" w:hAnsi="宋体" w:eastAsia="宋体" w:cs="Times New Roman"/>
                <w:b/>
                <w:color w:val="auto"/>
                <w:kern w:val="0"/>
                <w:sz w:val="24"/>
                <w:szCs w:val="24"/>
                <w:highlight w:val="none"/>
              </w:rPr>
            </w:pPr>
            <w:r>
              <w:rPr>
                <w:rFonts w:hint="eastAsia" w:ascii="宋体" w:hAnsi="宋体" w:eastAsia="宋体" w:cs="宋体"/>
                <w:b/>
                <w:color w:val="auto"/>
                <w:sz w:val="21"/>
                <w:szCs w:val="21"/>
                <w:highlight w:val="none"/>
              </w:rPr>
              <w:t>投标人应提供上述有效证书复印件及能显示证书有效状态的全国认证认可信息公共服务平台（http://cx.cnca.cn/）查询结果凭证{凭证界面需显示有“全国认证认可信息公共服务平台”或“认证证书（需显示网址cx.cnca.cn）”}，否则不得分。</w:t>
            </w:r>
          </w:p>
        </w:tc>
        <w:tc>
          <w:tcPr>
            <w:tcW w:w="437" w:type="pct"/>
            <w:tcBorders>
              <w:top w:val="single" w:color="auto" w:sz="4" w:space="0"/>
              <w:left w:val="single" w:color="auto" w:sz="4" w:space="0"/>
              <w:bottom w:val="single" w:color="auto" w:sz="4" w:space="0"/>
              <w:right w:val="single" w:color="auto" w:sz="4" w:space="0"/>
            </w:tcBorders>
            <w:vAlign w:val="center"/>
          </w:tcPr>
          <w:p w14:paraId="62134712">
            <w:pPr>
              <w:autoSpaceDE w:val="0"/>
              <w:autoSpaceDN w:val="0"/>
              <w:adjustRightInd w:val="0"/>
              <w:spacing w:line="400" w:lineRule="exact"/>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3分</w:t>
            </w:r>
          </w:p>
        </w:tc>
      </w:tr>
      <w:tr w14:paraId="0DF3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6F074588">
            <w:pPr>
              <w:autoSpaceDE w:val="0"/>
              <w:autoSpaceDN w:val="0"/>
              <w:adjustRightInd w:val="0"/>
              <w:snapToGrid w:val="0"/>
              <w:spacing w:line="360" w:lineRule="auto"/>
              <w:jc w:val="center"/>
              <w:rPr>
                <w:rFonts w:ascii="宋体" w:hAnsi="宋体" w:eastAsia="宋体" w:cs="宋体"/>
                <w:color w:val="auto"/>
                <w:kern w:val="0"/>
                <w:szCs w:val="21"/>
                <w:highlight w:val="none"/>
              </w:rPr>
            </w:pPr>
            <w:bookmarkStart w:id="708" w:name="_Hlk104987354"/>
            <w:r>
              <w:rPr>
                <w:rFonts w:hint="eastAsia" w:ascii="宋体" w:hAnsi="宋体" w:eastAsia="宋体" w:cs="宋体"/>
                <w:color w:val="auto"/>
                <w:szCs w:val="21"/>
                <w:highlight w:val="none"/>
                <w:lang w:bidi="ar"/>
              </w:rPr>
              <w:t>3</w:t>
            </w:r>
          </w:p>
        </w:tc>
        <w:tc>
          <w:tcPr>
            <w:tcW w:w="1134" w:type="dxa"/>
            <w:tcBorders>
              <w:top w:val="single" w:color="auto" w:sz="4" w:space="0"/>
              <w:left w:val="single" w:color="auto" w:sz="4" w:space="0"/>
              <w:bottom w:val="single" w:color="auto" w:sz="4" w:space="0"/>
              <w:right w:val="single" w:color="auto" w:sz="4" w:space="0"/>
            </w:tcBorders>
            <w:vAlign w:val="center"/>
          </w:tcPr>
          <w:p w14:paraId="3C5B0399">
            <w:pPr>
              <w:autoSpaceDE w:val="0"/>
              <w:adjustRightInd w:val="0"/>
              <w:snapToGri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bidi="ar"/>
              </w:rPr>
              <w:t>业绩</w:t>
            </w:r>
          </w:p>
        </w:tc>
        <w:tc>
          <w:tcPr>
            <w:tcW w:w="7655" w:type="dxa"/>
            <w:tcBorders>
              <w:top w:val="single" w:color="auto" w:sz="4" w:space="0"/>
              <w:left w:val="single" w:color="auto" w:sz="4" w:space="0"/>
              <w:bottom w:val="single" w:color="auto" w:sz="4" w:space="0"/>
              <w:right w:val="single" w:color="auto" w:sz="4" w:space="0"/>
            </w:tcBorders>
            <w:vAlign w:val="center"/>
          </w:tcPr>
          <w:p w14:paraId="47E8FC9A">
            <w:pPr>
              <w:pStyle w:val="32"/>
              <w:widowControl w:val="0"/>
              <w:autoSpaceDE w:val="0"/>
              <w:snapToGrid w:val="0"/>
              <w:spacing w:before="0" w:beforeAutospacing="0" w:after="0" w:afterAutospacing="0" w:line="360" w:lineRule="auto"/>
              <w:jc w:val="both"/>
              <w:rPr>
                <w:rFonts w:hint="eastAsia" w:eastAsia="宋体" w:cs="宋体"/>
                <w:color w:val="auto"/>
                <w:sz w:val="21"/>
                <w:szCs w:val="21"/>
                <w:highlight w:val="none"/>
                <w:lang w:bidi="ar"/>
              </w:rPr>
            </w:pPr>
            <w:r>
              <w:rPr>
                <w:rFonts w:hint="eastAsia" w:eastAsia="宋体" w:cs="宋体"/>
                <w:color w:val="auto"/>
                <w:sz w:val="21"/>
                <w:szCs w:val="21"/>
                <w:highlight w:val="none"/>
                <w:lang w:val="en-US" w:eastAsia="zh-CN" w:bidi="ar"/>
              </w:rPr>
              <w:t>提供</w:t>
            </w:r>
            <w:r>
              <w:rPr>
                <w:rFonts w:hint="eastAsia" w:eastAsia="宋体" w:cs="宋体"/>
                <w:color w:val="auto"/>
                <w:sz w:val="21"/>
                <w:szCs w:val="21"/>
                <w:highlight w:val="none"/>
                <w:lang w:bidi="ar"/>
              </w:rPr>
              <w:t>2023年以来(签订合同的时间要求为2023年1月1日或以后)具有所投车型销售业绩的，至少提供本项目需求数量(</w:t>
            </w:r>
            <w:r>
              <w:rPr>
                <w:rFonts w:hint="eastAsia" w:eastAsia="宋体" w:cs="宋体"/>
                <w:color w:val="auto"/>
                <w:sz w:val="21"/>
                <w:szCs w:val="21"/>
                <w:highlight w:val="none"/>
                <w:lang w:val="en-US" w:eastAsia="zh-CN" w:bidi="ar"/>
              </w:rPr>
              <w:t>9</w:t>
            </w:r>
            <w:r>
              <w:rPr>
                <w:rFonts w:hint="eastAsia" w:eastAsia="宋体" w:cs="宋体"/>
                <w:color w:val="auto"/>
                <w:sz w:val="21"/>
                <w:szCs w:val="21"/>
                <w:highlight w:val="none"/>
                <w:lang w:bidi="ar"/>
              </w:rPr>
              <w:t>辆)</w:t>
            </w:r>
            <w:r>
              <w:rPr>
                <w:rFonts w:hint="eastAsia" w:eastAsia="宋体" w:cs="宋体"/>
                <w:color w:val="auto"/>
                <w:sz w:val="21"/>
                <w:szCs w:val="21"/>
                <w:highlight w:val="none"/>
                <w:lang w:val="en-US" w:eastAsia="zh-CN" w:bidi="ar"/>
              </w:rPr>
              <w:t>的得基础分3分</w:t>
            </w:r>
            <w:r>
              <w:rPr>
                <w:rFonts w:hint="eastAsia" w:eastAsia="宋体" w:cs="宋体"/>
                <w:color w:val="auto"/>
                <w:sz w:val="21"/>
                <w:szCs w:val="21"/>
                <w:highlight w:val="none"/>
                <w:lang w:bidi="ar"/>
              </w:rPr>
              <w:t>，在满足需求数量上每增加一辆的，</w:t>
            </w:r>
            <w:r>
              <w:rPr>
                <w:rFonts w:hint="eastAsia" w:eastAsia="宋体" w:cs="宋体"/>
                <w:color w:val="auto"/>
                <w:sz w:val="21"/>
                <w:szCs w:val="21"/>
                <w:highlight w:val="none"/>
                <w:lang w:val="en-US" w:eastAsia="zh-CN" w:bidi="ar"/>
              </w:rPr>
              <w:t>另</w:t>
            </w:r>
            <w:r>
              <w:rPr>
                <w:rFonts w:hint="eastAsia" w:eastAsia="宋体" w:cs="宋体"/>
                <w:color w:val="auto"/>
                <w:sz w:val="21"/>
                <w:szCs w:val="21"/>
                <w:highlight w:val="none"/>
                <w:lang w:bidi="ar"/>
              </w:rPr>
              <w:t>得</w:t>
            </w:r>
            <w:r>
              <w:rPr>
                <w:rFonts w:hint="default" w:eastAsia="宋体" w:cs="宋体"/>
                <w:color w:val="auto"/>
                <w:sz w:val="21"/>
                <w:szCs w:val="21"/>
                <w:highlight w:val="none"/>
                <w:lang w:val="en-US" w:bidi="ar"/>
              </w:rPr>
              <w:t>2</w:t>
            </w:r>
            <w:r>
              <w:rPr>
                <w:rFonts w:hint="eastAsia" w:eastAsia="宋体" w:cs="宋体"/>
                <w:color w:val="auto"/>
                <w:sz w:val="21"/>
                <w:szCs w:val="21"/>
                <w:highlight w:val="none"/>
                <w:lang w:bidi="ar"/>
              </w:rPr>
              <w:t>分，本项满分</w:t>
            </w:r>
            <w:r>
              <w:rPr>
                <w:rFonts w:hint="eastAsia" w:eastAsia="宋体" w:cs="宋体"/>
                <w:color w:val="auto"/>
                <w:sz w:val="21"/>
                <w:szCs w:val="21"/>
                <w:highlight w:val="none"/>
                <w:lang w:val="en-US" w:eastAsia="zh-CN" w:bidi="ar"/>
              </w:rPr>
              <w:t>19</w:t>
            </w:r>
            <w:r>
              <w:rPr>
                <w:rFonts w:hint="eastAsia" w:eastAsia="宋体" w:cs="宋体"/>
                <w:color w:val="auto"/>
                <w:sz w:val="21"/>
                <w:szCs w:val="21"/>
                <w:highlight w:val="none"/>
                <w:lang w:bidi="ar"/>
              </w:rPr>
              <w:t>分。</w:t>
            </w:r>
          </w:p>
          <w:p w14:paraId="11D1F13C">
            <w:pPr>
              <w:pStyle w:val="32"/>
              <w:widowControl w:val="0"/>
              <w:autoSpaceDE w:val="0"/>
              <w:snapToGrid w:val="0"/>
              <w:spacing w:before="0" w:beforeAutospacing="0" w:after="0" w:afterAutospacing="0" w:line="360" w:lineRule="auto"/>
              <w:jc w:val="both"/>
              <w:rPr>
                <w:rFonts w:eastAsia="宋体" w:cs="宋体"/>
                <w:b/>
                <w:color w:val="auto"/>
                <w:sz w:val="21"/>
                <w:szCs w:val="21"/>
                <w:highlight w:val="none"/>
              </w:rPr>
            </w:pPr>
            <w:r>
              <w:rPr>
                <w:rFonts w:hint="eastAsia" w:eastAsia="宋体" w:cs="宋体"/>
                <w:b/>
                <w:color w:val="auto"/>
                <w:sz w:val="21"/>
                <w:szCs w:val="21"/>
                <w:highlight w:val="none"/>
                <w:lang w:bidi="ar"/>
              </w:rPr>
              <w:t>备注：</w:t>
            </w:r>
          </w:p>
          <w:p w14:paraId="30CD7BE9">
            <w:pPr>
              <w:pStyle w:val="32"/>
              <w:widowControl w:val="0"/>
              <w:autoSpaceDE w:val="0"/>
              <w:snapToGrid w:val="0"/>
              <w:spacing w:before="0" w:beforeAutospacing="0" w:after="0" w:afterAutospacing="0" w:line="360" w:lineRule="auto"/>
              <w:jc w:val="both"/>
              <w:rPr>
                <w:rFonts w:eastAsia="宋体" w:cs="宋体"/>
                <w:b/>
                <w:bCs/>
                <w:color w:val="auto"/>
                <w:sz w:val="21"/>
                <w:szCs w:val="21"/>
                <w:highlight w:val="none"/>
              </w:rPr>
            </w:pPr>
            <w:r>
              <w:rPr>
                <w:rFonts w:hint="eastAsia" w:eastAsia="宋体" w:cs="宋体"/>
                <w:b/>
                <w:bCs/>
                <w:color w:val="auto"/>
                <w:kern w:val="0"/>
                <w:sz w:val="21"/>
                <w:szCs w:val="21"/>
                <w:highlight w:val="none"/>
                <w:lang w:bidi="ar"/>
              </w:rPr>
              <w:t>1）</w:t>
            </w:r>
            <w:r>
              <w:rPr>
                <w:rFonts w:hint="eastAsia" w:eastAsia="宋体" w:cs="宋体"/>
                <w:b/>
                <w:bCs/>
                <w:color w:val="auto"/>
                <w:sz w:val="21"/>
                <w:szCs w:val="21"/>
                <w:highlight w:val="none"/>
                <w:lang w:bidi="ar"/>
              </w:rPr>
              <w:t>业绩须附买方的合同复印件及销售发票复印件（</w:t>
            </w:r>
            <w:r>
              <w:rPr>
                <w:rFonts w:hint="eastAsia" w:ascii="宋体" w:hAnsi="宋体" w:eastAsia="宋体" w:cs="宋体"/>
                <w:b/>
                <w:bCs/>
                <w:color w:val="auto"/>
                <w:sz w:val="21"/>
                <w:szCs w:val="21"/>
                <w:highlight w:val="none"/>
                <w:lang w:val="zh-CN" w:bidi="ar"/>
              </w:rPr>
              <w:t>业绩的销售方须为投标人</w:t>
            </w:r>
            <w:r>
              <w:rPr>
                <w:rFonts w:hint="eastAsia" w:ascii="宋体" w:hAnsi="宋体" w:eastAsia="宋体" w:cs="宋体"/>
                <w:b/>
                <w:bCs/>
                <w:color w:val="auto"/>
                <w:sz w:val="21"/>
                <w:szCs w:val="21"/>
                <w:highlight w:val="none"/>
                <w:lang w:val="en-US" w:eastAsia="zh-CN" w:bidi="ar"/>
              </w:rPr>
              <w:t>或整车生产企业</w:t>
            </w:r>
            <w:r>
              <w:rPr>
                <w:rFonts w:hint="eastAsia" w:eastAsia="宋体" w:cs="宋体"/>
                <w:b/>
                <w:bCs/>
                <w:color w:val="auto"/>
                <w:sz w:val="21"/>
                <w:szCs w:val="21"/>
                <w:highlight w:val="none"/>
                <w:lang w:bidi="ar"/>
              </w:rPr>
              <w:t>），否则不得分；</w:t>
            </w:r>
          </w:p>
          <w:p w14:paraId="003C9C04">
            <w:pPr>
              <w:pStyle w:val="32"/>
              <w:widowControl w:val="0"/>
              <w:autoSpaceDE w:val="0"/>
              <w:snapToGrid w:val="0"/>
              <w:spacing w:before="0" w:beforeAutospacing="0" w:after="0" w:afterAutospacing="0" w:line="360" w:lineRule="auto"/>
              <w:jc w:val="both"/>
              <w:rPr>
                <w:rFonts w:eastAsia="宋体" w:cs="宋体"/>
                <w:b/>
                <w:color w:val="auto"/>
                <w:sz w:val="21"/>
                <w:szCs w:val="21"/>
                <w:highlight w:val="none"/>
              </w:rPr>
            </w:pPr>
            <w:r>
              <w:rPr>
                <w:rFonts w:hint="eastAsia" w:eastAsia="宋体" w:cs="宋体"/>
                <w:b/>
                <w:bCs/>
                <w:color w:val="auto"/>
                <w:kern w:val="0"/>
                <w:sz w:val="21"/>
                <w:szCs w:val="21"/>
                <w:highlight w:val="none"/>
                <w:lang w:bidi="ar"/>
              </w:rPr>
              <w:t>2）</w:t>
            </w:r>
            <w:r>
              <w:rPr>
                <w:rFonts w:hint="eastAsia" w:eastAsia="宋体" w:cs="宋体"/>
                <w:b/>
                <w:color w:val="auto"/>
                <w:sz w:val="21"/>
                <w:szCs w:val="21"/>
                <w:highlight w:val="none"/>
                <w:lang w:bidi="ar"/>
              </w:rPr>
              <w:t>合同等业绩证明材料必须能反映评分条件</w:t>
            </w:r>
            <w:r>
              <w:rPr>
                <w:rFonts w:hint="eastAsia" w:eastAsia="宋体" w:cs="宋体"/>
                <w:b/>
                <w:color w:val="auto"/>
                <w:sz w:val="21"/>
                <w:szCs w:val="21"/>
                <w:highlight w:val="none"/>
                <w:lang w:eastAsia="zh-CN" w:bidi="ar"/>
              </w:rPr>
              <w:t>（</w:t>
            </w:r>
            <w:r>
              <w:rPr>
                <w:rFonts w:hint="eastAsia" w:eastAsia="宋体" w:cs="宋体"/>
                <w:b/>
                <w:color w:val="auto"/>
                <w:sz w:val="21"/>
                <w:szCs w:val="21"/>
                <w:highlight w:val="none"/>
                <w:lang w:bidi="ar"/>
              </w:rPr>
              <w:t>合同签订日期为202</w:t>
            </w:r>
            <w:r>
              <w:rPr>
                <w:rFonts w:hint="eastAsia" w:eastAsia="宋体" w:cs="宋体"/>
                <w:b/>
                <w:color w:val="auto"/>
                <w:sz w:val="21"/>
                <w:szCs w:val="21"/>
                <w:highlight w:val="none"/>
                <w:lang w:val="en-US" w:eastAsia="zh-CN" w:bidi="ar"/>
              </w:rPr>
              <w:t>3</w:t>
            </w:r>
            <w:r>
              <w:rPr>
                <w:rFonts w:hint="eastAsia" w:eastAsia="宋体" w:cs="宋体"/>
                <w:b/>
                <w:color w:val="auto"/>
                <w:sz w:val="21"/>
                <w:szCs w:val="21"/>
                <w:highlight w:val="none"/>
                <w:lang w:bidi="ar"/>
              </w:rPr>
              <w:t>年1月1日或以后，合同标的必须为</w:t>
            </w:r>
            <w:r>
              <w:rPr>
                <w:rFonts w:hint="eastAsia" w:eastAsia="宋体" w:cs="宋体"/>
                <w:b/>
                <w:color w:val="auto"/>
                <w:sz w:val="21"/>
                <w:szCs w:val="21"/>
                <w:highlight w:val="none"/>
                <w:lang w:val="en-US" w:eastAsia="zh-CN" w:bidi="ar"/>
              </w:rPr>
              <w:t>所投投标的车型</w:t>
            </w:r>
            <w:r>
              <w:rPr>
                <w:rFonts w:hint="eastAsia" w:eastAsia="宋体" w:cs="宋体"/>
                <w:b/>
                <w:color w:val="auto"/>
                <w:sz w:val="21"/>
                <w:szCs w:val="21"/>
                <w:highlight w:val="none"/>
                <w:lang w:bidi="ar"/>
              </w:rPr>
              <w:t>及销售数量</w:t>
            </w:r>
            <w:r>
              <w:rPr>
                <w:rFonts w:hint="eastAsia" w:eastAsia="宋体" w:cs="宋体"/>
                <w:b/>
                <w:color w:val="auto"/>
                <w:sz w:val="21"/>
                <w:szCs w:val="21"/>
                <w:highlight w:val="none"/>
                <w:lang w:eastAsia="zh-CN" w:bidi="ar"/>
              </w:rPr>
              <w:t>）</w:t>
            </w:r>
            <w:r>
              <w:rPr>
                <w:rFonts w:hint="eastAsia" w:eastAsia="宋体" w:cs="宋体"/>
                <w:b/>
                <w:color w:val="auto"/>
                <w:sz w:val="21"/>
                <w:szCs w:val="21"/>
                <w:highlight w:val="none"/>
                <w:lang w:bidi="ar"/>
              </w:rPr>
              <w:t>，否则，需同时提供购买方出具的书面补充说明文件复印件作为辅助证明（补充说明文件复印件能显示购买方公章）；</w:t>
            </w:r>
          </w:p>
          <w:p w14:paraId="3C4F7BA3">
            <w:pPr>
              <w:pStyle w:val="32"/>
              <w:widowControl w:val="0"/>
              <w:autoSpaceDE w:val="0"/>
              <w:snapToGrid w:val="0"/>
              <w:spacing w:before="0" w:beforeAutospacing="0" w:after="0" w:afterAutospacing="0" w:line="360" w:lineRule="auto"/>
              <w:jc w:val="both"/>
              <w:rPr>
                <w:rFonts w:hAnsi="Courier New" w:eastAsia="宋体" w:cs="宋体"/>
                <w:color w:val="auto"/>
                <w:kern w:val="0"/>
                <w:sz w:val="21"/>
                <w:szCs w:val="21"/>
                <w:highlight w:val="none"/>
              </w:rPr>
            </w:pPr>
            <w:r>
              <w:rPr>
                <w:rFonts w:hint="eastAsia" w:eastAsia="宋体" w:cs="宋体"/>
                <w:b/>
                <w:color w:val="auto"/>
                <w:sz w:val="21"/>
                <w:szCs w:val="21"/>
                <w:highlight w:val="none"/>
                <w:lang w:bidi="ar"/>
              </w:rPr>
              <w:t>3）上述的单项合同销售数量为所投车型销售数量，若为一个合同中包括不限于所投车型的多个产品的，只计算所投车型所占的销售数量，若合同中不能体现所投车型销售数量的，需同时提供购买方出具的书面补充说明文件复印件作为辅助证明</w:t>
            </w:r>
            <w:r>
              <w:rPr>
                <w:rFonts w:hint="eastAsia" w:eastAsia="宋体" w:cs="宋体"/>
                <w:b/>
                <w:color w:val="auto"/>
                <w:sz w:val="21"/>
                <w:szCs w:val="21"/>
                <w:highlight w:val="none"/>
                <w:lang w:eastAsia="zh-CN" w:bidi="ar"/>
              </w:rPr>
              <w:t>（</w:t>
            </w:r>
            <w:r>
              <w:rPr>
                <w:rFonts w:hint="eastAsia" w:eastAsia="宋体" w:cs="宋体"/>
                <w:b/>
                <w:color w:val="auto"/>
                <w:sz w:val="21"/>
                <w:szCs w:val="21"/>
                <w:highlight w:val="none"/>
                <w:lang w:bidi="ar"/>
              </w:rPr>
              <w:t>补充说明文件复印件能显示购买方公章</w:t>
            </w:r>
            <w:r>
              <w:rPr>
                <w:rFonts w:hint="eastAsia" w:eastAsia="宋体" w:cs="宋体"/>
                <w:b/>
                <w:color w:val="auto"/>
                <w:sz w:val="21"/>
                <w:szCs w:val="21"/>
                <w:highlight w:val="none"/>
                <w:lang w:eastAsia="zh-CN" w:bidi="ar"/>
              </w:rPr>
              <w:t>）</w:t>
            </w:r>
            <w:r>
              <w:rPr>
                <w:rFonts w:hint="eastAsia" w:eastAsia="宋体" w:cs="宋体"/>
                <w:b/>
                <w:color w:val="auto"/>
                <w:sz w:val="21"/>
                <w:szCs w:val="21"/>
                <w:highlight w:val="none"/>
                <w:lang w:bidi="ar"/>
              </w:rPr>
              <w:t>；</w:t>
            </w:r>
          </w:p>
          <w:p w14:paraId="0FA2BD69">
            <w:pPr>
              <w:pStyle w:val="32"/>
              <w:widowControl w:val="0"/>
              <w:autoSpaceDE w:val="0"/>
              <w:snapToGrid w:val="0"/>
              <w:spacing w:before="0" w:beforeAutospacing="0" w:after="0" w:afterAutospacing="0" w:line="360" w:lineRule="auto"/>
              <w:jc w:val="both"/>
              <w:rPr>
                <w:rFonts w:hint="eastAsia" w:eastAsia="宋体" w:cs="宋体"/>
                <w:b/>
                <w:color w:val="auto"/>
                <w:sz w:val="21"/>
                <w:szCs w:val="21"/>
                <w:highlight w:val="none"/>
                <w:lang w:eastAsia="zh-CN" w:bidi="ar"/>
              </w:rPr>
            </w:pPr>
            <w:r>
              <w:rPr>
                <w:rFonts w:hint="eastAsia" w:eastAsia="宋体" w:cs="宋体"/>
                <w:b/>
                <w:color w:val="auto"/>
                <w:sz w:val="21"/>
                <w:szCs w:val="21"/>
                <w:highlight w:val="none"/>
                <w:lang w:bidi="ar"/>
              </w:rPr>
              <w:t>4）未按上述要求提供证明材料的业绩，或所附材料无法证明填报项目符合本项评分要求的业绩，在评标时将不予考虑</w:t>
            </w:r>
            <w:r>
              <w:rPr>
                <w:rFonts w:hint="eastAsia" w:eastAsia="宋体" w:cs="宋体"/>
                <w:b/>
                <w:color w:val="auto"/>
                <w:sz w:val="21"/>
                <w:szCs w:val="21"/>
                <w:highlight w:val="none"/>
                <w:lang w:val="en-US" w:eastAsia="zh-CN" w:bidi="ar"/>
              </w:rPr>
              <w:t>；</w:t>
            </w:r>
          </w:p>
          <w:p w14:paraId="43579C75">
            <w:pPr>
              <w:pStyle w:val="32"/>
              <w:widowControl w:val="0"/>
              <w:autoSpaceDE w:val="0"/>
              <w:snapToGrid w:val="0"/>
              <w:spacing w:before="0" w:beforeAutospacing="0" w:after="0" w:afterAutospacing="0" w:line="360" w:lineRule="auto"/>
              <w:jc w:val="both"/>
              <w:rPr>
                <w:rFonts w:hint="eastAsia" w:eastAsia="宋体" w:cs="宋体"/>
                <w:b/>
                <w:color w:val="auto"/>
                <w:sz w:val="21"/>
                <w:szCs w:val="21"/>
                <w:highlight w:val="none"/>
                <w:lang w:bidi="ar"/>
              </w:rPr>
            </w:pPr>
            <w:r>
              <w:rPr>
                <w:rFonts w:hint="eastAsia" w:eastAsia="宋体" w:cs="宋体"/>
                <w:b/>
                <w:color w:val="auto"/>
                <w:sz w:val="21"/>
                <w:szCs w:val="21"/>
                <w:highlight w:val="none"/>
                <w:lang w:bidi="ar"/>
              </w:rPr>
              <w:t>5）分数出现小数点，保留小数点后2位，从小数点后第3位四舍五入。</w:t>
            </w:r>
          </w:p>
        </w:tc>
        <w:tc>
          <w:tcPr>
            <w:tcW w:w="907" w:type="dxa"/>
            <w:tcBorders>
              <w:top w:val="single" w:color="auto" w:sz="4" w:space="0"/>
              <w:left w:val="single" w:color="auto" w:sz="4" w:space="0"/>
              <w:bottom w:val="single" w:color="auto" w:sz="4" w:space="0"/>
              <w:right w:val="single" w:color="auto" w:sz="4" w:space="0"/>
            </w:tcBorders>
            <w:vAlign w:val="center"/>
          </w:tcPr>
          <w:p w14:paraId="5EDA9499">
            <w:pPr>
              <w:autoSpaceDE w:val="0"/>
              <w:autoSpaceDN w:val="0"/>
              <w:adjustRightInd w:val="0"/>
              <w:snapToGrid w:val="0"/>
              <w:spacing w:line="360" w:lineRule="auto"/>
              <w:jc w:val="center"/>
              <w:rPr>
                <w:rFonts w:ascii="宋体" w:hAnsi="宋体" w:eastAsia="宋体" w:cs="宋体"/>
                <w:color w:val="auto"/>
                <w:szCs w:val="24"/>
                <w:highlight w:val="none"/>
              </w:rPr>
            </w:pPr>
            <w:r>
              <w:rPr>
                <w:rFonts w:hint="eastAsia" w:ascii="宋体" w:hAnsi="宋体" w:eastAsia="宋体" w:cs="宋体"/>
                <w:color w:val="auto"/>
                <w:szCs w:val="21"/>
                <w:highlight w:val="none"/>
                <w:lang w:bidi="ar"/>
              </w:rPr>
              <w:t>1</w:t>
            </w:r>
            <w:r>
              <w:rPr>
                <w:rFonts w:hint="eastAsia" w:ascii="宋体" w:hAnsi="宋体" w:eastAsia="宋体" w:cs="宋体"/>
                <w:color w:val="auto"/>
                <w:szCs w:val="21"/>
                <w:highlight w:val="none"/>
                <w:lang w:val="en-US" w:eastAsia="zh-CN" w:bidi="ar"/>
              </w:rPr>
              <w:t>9</w:t>
            </w:r>
            <w:r>
              <w:rPr>
                <w:rFonts w:hint="eastAsia" w:ascii="宋体" w:hAnsi="宋体" w:eastAsia="宋体" w:cs="宋体"/>
                <w:color w:val="auto"/>
                <w:szCs w:val="21"/>
                <w:highlight w:val="none"/>
                <w:lang w:bidi="ar"/>
              </w:rPr>
              <w:t>分</w:t>
            </w:r>
          </w:p>
        </w:tc>
      </w:tr>
      <w:bookmarkEnd w:id="708"/>
    </w:tbl>
    <w:p w14:paraId="07C639CB">
      <w:pPr>
        <w:autoSpaceDE w:val="0"/>
        <w:autoSpaceDN w:val="0"/>
        <w:adjustRightInd w:val="0"/>
        <w:ind w:right="-26" w:firstLine="480"/>
        <w:jc w:val="center"/>
        <w:rPr>
          <w:rFonts w:ascii="宋体" w:hAnsi="宋体" w:eastAsia="宋体" w:cs="Times New Roman"/>
          <w:b/>
          <w:bCs/>
          <w:color w:val="auto"/>
          <w:kern w:val="0"/>
          <w:sz w:val="24"/>
          <w:szCs w:val="24"/>
          <w:highlight w:val="none"/>
        </w:rPr>
      </w:pPr>
      <w:bookmarkStart w:id="709" w:name="_Toc11639_WPSOffice_Level2"/>
    </w:p>
    <w:p w14:paraId="5C59F7F6">
      <w:pPr>
        <w:tabs>
          <w:tab w:val="left" w:pos="585"/>
        </w:tabs>
        <w:autoSpaceDE w:val="0"/>
        <w:autoSpaceDN w:val="0"/>
        <w:adjustRightInd w:val="0"/>
        <w:spacing w:line="360" w:lineRule="auto"/>
        <w:rPr>
          <w:rFonts w:ascii="宋体" w:hAnsi="宋体" w:eastAsia="宋体" w:cs="宋体"/>
          <w:b/>
          <w:color w:val="auto"/>
          <w:szCs w:val="21"/>
          <w:highlight w:val="none"/>
          <w:lang w:val="zh-CN"/>
        </w:rPr>
      </w:pPr>
      <w:r>
        <w:rPr>
          <w:rFonts w:hint="eastAsia" w:ascii="宋体" w:hAnsi="宋体" w:eastAsia="宋体" w:cs="Times New Roman"/>
          <w:b/>
          <w:color w:val="auto"/>
          <w:szCs w:val="21"/>
          <w:highlight w:val="none"/>
          <w:lang w:val="zh-CN"/>
        </w:rPr>
        <w:t>（</w:t>
      </w:r>
      <w:r>
        <w:rPr>
          <w:rFonts w:hint="eastAsia" w:ascii="宋体" w:hAnsi="宋体" w:eastAsia="宋体" w:cs="宋体"/>
          <w:b/>
          <w:color w:val="auto"/>
          <w:szCs w:val="24"/>
          <w:highlight w:val="none"/>
        </w:rPr>
        <w:t>2）</w:t>
      </w:r>
      <w:r>
        <w:rPr>
          <w:rFonts w:hint="eastAsia" w:ascii="宋体" w:hAnsi="宋体" w:eastAsia="宋体" w:cs="宋体"/>
          <w:b/>
          <w:color w:val="auto"/>
          <w:szCs w:val="24"/>
          <w:highlight w:val="none"/>
          <w:lang w:val="zh-CN"/>
        </w:rPr>
        <w:t>技术：</w:t>
      </w:r>
      <w:bookmarkEnd w:id="709"/>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133"/>
        <w:gridCol w:w="7665"/>
        <w:gridCol w:w="907"/>
      </w:tblGrid>
      <w:tr w14:paraId="2760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21" w:type="pct"/>
            <w:tcBorders>
              <w:top w:val="single" w:color="auto" w:sz="4" w:space="0"/>
              <w:left w:val="single" w:color="auto" w:sz="4" w:space="0"/>
              <w:bottom w:val="single" w:color="auto" w:sz="4" w:space="0"/>
              <w:right w:val="single" w:color="auto" w:sz="4" w:space="0"/>
            </w:tcBorders>
            <w:vAlign w:val="center"/>
          </w:tcPr>
          <w:p w14:paraId="46AA9FAA">
            <w:pPr>
              <w:autoSpaceDE w:val="0"/>
              <w:autoSpaceDN w:val="0"/>
              <w:adjustRightInd w:val="0"/>
              <w:spacing w:line="400" w:lineRule="exact"/>
              <w:jc w:val="center"/>
              <w:rPr>
                <w:rFonts w:ascii="宋体" w:hAnsi="宋体" w:eastAsia="宋体" w:cs="宋体"/>
                <w:b/>
                <w:color w:val="auto"/>
                <w:kern w:val="0"/>
                <w:szCs w:val="21"/>
                <w:highlight w:val="none"/>
              </w:rPr>
            </w:pPr>
            <w:bookmarkStart w:id="710" w:name="_Hlk104987779"/>
            <w:r>
              <w:rPr>
                <w:rFonts w:hint="eastAsia" w:ascii="宋体" w:hAnsi="宋体" w:eastAsia="宋体" w:cs="宋体"/>
                <w:b/>
                <w:color w:val="auto"/>
                <w:kern w:val="0"/>
                <w:szCs w:val="21"/>
                <w:highlight w:val="none"/>
              </w:rPr>
              <w:t>序号</w:t>
            </w:r>
          </w:p>
        </w:tc>
        <w:tc>
          <w:tcPr>
            <w:tcW w:w="546" w:type="pct"/>
            <w:tcBorders>
              <w:top w:val="single" w:color="auto" w:sz="4" w:space="0"/>
              <w:left w:val="single" w:color="auto" w:sz="4" w:space="0"/>
              <w:bottom w:val="single" w:color="auto" w:sz="4" w:space="0"/>
              <w:right w:val="single" w:color="auto" w:sz="4" w:space="0"/>
            </w:tcBorders>
            <w:vAlign w:val="center"/>
          </w:tcPr>
          <w:p w14:paraId="68A65D0E">
            <w:pPr>
              <w:autoSpaceDE w:val="0"/>
              <w:autoSpaceDN w:val="0"/>
              <w:adjustRightInd w:val="0"/>
              <w:spacing w:line="400" w:lineRule="exact"/>
              <w:jc w:val="center"/>
              <w:rPr>
                <w:rFonts w:ascii="宋体" w:hAnsi="宋体" w:eastAsia="宋体" w:cs="宋体"/>
                <w:b/>
                <w:color w:val="auto"/>
                <w:kern w:val="0"/>
                <w:szCs w:val="21"/>
                <w:highlight w:val="none"/>
              </w:rPr>
            </w:pPr>
            <w:r>
              <w:rPr>
                <w:rFonts w:hint="eastAsia" w:ascii="宋体" w:hAnsi="宋体" w:eastAsia="宋体" w:cs="宋体"/>
                <w:b/>
                <w:color w:val="auto"/>
                <w:szCs w:val="21"/>
                <w:highlight w:val="none"/>
                <w:lang w:val="zh-CN"/>
              </w:rPr>
              <w:t>评审内容</w:t>
            </w:r>
          </w:p>
        </w:tc>
        <w:tc>
          <w:tcPr>
            <w:tcW w:w="3695" w:type="pct"/>
            <w:tcBorders>
              <w:top w:val="single" w:color="auto" w:sz="4" w:space="0"/>
              <w:left w:val="single" w:color="auto" w:sz="4" w:space="0"/>
              <w:bottom w:val="single" w:color="auto" w:sz="4" w:space="0"/>
              <w:right w:val="single" w:color="auto" w:sz="4" w:space="0"/>
            </w:tcBorders>
            <w:vAlign w:val="center"/>
          </w:tcPr>
          <w:p w14:paraId="217E41FB">
            <w:pPr>
              <w:autoSpaceDE w:val="0"/>
              <w:autoSpaceDN w:val="0"/>
              <w:adjustRightInd w:val="0"/>
              <w:spacing w:line="400" w:lineRule="exact"/>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评审细则</w:t>
            </w:r>
          </w:p>
        </w:tc>
        <w:tc>
          <w:tcPr>
            <w:tcW w:w="437" w:type="pct"/>
            <w:tcBorders>
              <w:top w:val="single" w:color="auto" w:sz="4" w:space="0"/>
              <w:left w:val="single" w:color="auto" w:sz="4" w:space="0"/>
              <w:bottom w:val="single" w:color="auto" w:sz="4" w:space="0"/>
              <w:right w:val="single" w:color="auto" w:sz="4" w:space="0"/>
            </w:tcBorders>
            <w:vAlign w:val="center"/>
          </w:tcPr>
          <w:p w14:paraId="406DF04D">
            <w:pPr>
              <w:autoSpaceDE w:val="0"/>
              <w:autoSpaceDN w:val="0"/>
              <w:adjustRightInd w:val="0"/>
              <w:spacing w:line="400" w:lineRule="exact"/>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满分值</w:t>
            </w:r>
          </w:p>
        </w:tc>
      </w:tr>
      <w:tr w14:paraId="74A2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21" w:type="pct"/>
            <w:tcBorders>
              <w:top w:val="single" w:color="auto" w:sz="4" w:space="0"/>
              <w:left w:val="single" w:color="auto" w:sz="4" w:space="0"/>
              <w:bottom w:val="single" w:color="auto" w:sz="4" w:space="0"/>
              <w:right w:val="single" w:color="auto" w:sz="4" w:space="0"/>
            </w:tcBorders>
            <w:vAlign w:val="center"/>
          </w:tcPr>
          <w:p w14:paraId="1EB2A2AF">
            <w:pPr>
              <w:autoSpaceDE w:val="0"/>
              <w:autoSpaceDN w:val="0"/>
              <w:adjustRightInd w:val="0"/>
              <w:snapToGri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bidi="ar"/>
              </w:rPr>
              <w:t>1</w:t>
            </w:r>
          </w:p>
        </w:tc>
        <w:tc>
          <w:tcPr>
            <w:tcW w:w="546" w:type="pct"/>
            <w:tcBorders>
              <w:top w:val="single" w:color="auto" w:sz="4" w:space="0"/>
              <w:left w:val="single" w:color="auto" w:sz="4" w:space="0"/>
              <w:bottom w:val="single" w:color="auto" w:sz="4" w:space="0"/>
              <w:right w:val="single" w:color="auto" w:sz="4" w:space="0"/>
            </w:tcBorders>
            <w:vAlign w:val="center"/>
          </w:tcPr>
          <w:p w14:paraId="6E07BE9D">
            <w:pPr>
              <w:autoSpaceDE w:val="0"/>
              <w:autoSpaceDN w:val="0"/>
              <w:adjustRightInd w:val="0"/>
              <w:snapToGri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bidi="ar"/>
              </w:rPr>
              <w:t>用户需求的响应程度</w:t>
            </w:r>
          </w:p>
        </w:tc>
        <w:tc>
          <w:tcPr>
            <w:tcW w:w="3695" w:type="pct"/>
            <w:tcBorders>
              <w:top w:val="single" w:color="auto" w:sz="4" w:space="0"/>
              <w:left w:val="single" w:color="auto" w:sz="4" w:space="0"/>
              <w:bottom w:val="single" w:color="auto" w:sz="4" w:space="0"/>
              <w:right w:val="single" w:color="auto" w:sz="4" w:space="0"/>
            </w:tcBorders>
            <w:vAlign w:val="center"/>
          </w:tcPr>
          <w:p w14:paraId="7E918BB5">
            <w:pPr>
              <w:autoSpaceDE w:val="0"/>
              <w:autoSpaceDN w:val="0"/>
              <w:adjustRightInd w:val="0"/>
              <w:snapToGrid w:val="0"/>
              <w:spacing w:before="120" w:beforeLines="50" w:line="360" w:lineRule="auto"/>
              <w:jc w:val="left"/>
              <w:rPr>
                <w:rFonts w:ascii="宋体" w:hAnsi="宋体" w:eastAsia="宋体" w:cs="黑体"/>
                <w:color w:val="auto"/>
                <w:kern w:val="0"/>
                <w:szCs w:val="21"/>
                <w:highlight w:val="none"/>
              </w:rPr>
            </w:pPr>
            <w:r>
              <w:rPr>
                <w:rFonts w:hint="eastAsia" w:ascii="宋体" w:hAnsi="宋体" w:eastAsia="宋体" w:cs="宋体"/>
                <w:color w:val="auto"/>
                <w:kern w:val="0"/>
                <w:szCs w:val="21"/>
                <w:highlight w:val="none"/>
                <w:lang w:bidi="ar"/>
              </w:rPr>
              <w:t>根据各投标人对用户需求响应情况进行评价，本项满分20分。其中带“▲”号技术参数每有一项负偏离或无响应的扣4分，非“▲”号技术参数每有一项负偏离或无响应的扣2分。扣完为止。</w:t>
            </w:r>
          </w:p>
          <w:p w14:paraId="124EA20D">
            <w:pPr>
              <w:autoSpaceDE w:val="0"/>
              <w:autoSpaceDN w:val="0"/>
              <w:adjustRightInd w:val="0"/>
              <w:snapToGrid w:val="0"/>
              <w:spacing w:line="360" w:lineRule="auto"/>
              <w:jc w:val="left"/>
              <w:rPr>
                <w:rFonts w:ascii="宋体" w:hAnsi="宋体" w:eastAsia="宋体" w:cs="宋体"/>
                <w:color w:val="auto"/>
                <w:kern w:val="0"/>
                <w:szCs w:val="21"/>
                <w:highlight w:val="none"/>
              </w:rPr>
            </w:pPr>
            <w:r>
              <w:rPr>
                <w:rFonts w:hint="eastAsia" w:ascii="宋体" w:hAnsi="宋体" w:eastAsia="宋体" w:cs="宋体"/>
                <w:b/>
                <w:color w:val="auto"/>
                <w:kern w:val="0"/>
                <w:szCs w:val="21"/>
                <w:highlight w:val="none"/>
                <w:lang w:bidi="ar"/>
              </w:rPr>
              <w:t>备注：需提供所投产品制造商所作的技术参数说明，或国家工业和信息化部公告/批复或行政主管部门出具的证明/批复或第三方检测机构出具的检测报告或汽车制造商官网的技术参数数据截图、或主要汽车网站(卡车之家)的技术参数数据截图作为评审依据。投标人未提供前述证明材料的，对应评审项不得分。</w:t>
            </w:r>
          </w:p>
        </w:tc>
        <w:tc>
          <w:tcPr>
            <w:tcW w:w="437" w:type="pct"/>
            <w:tcBorders>
              <w:top w:val="single" w:color="auto" w:sz="4" w:space="0"/>
              <w:left w:val="single" w:color="auto" w:sz="4" w:space="0"/>
              <w:bottom w:val="single" w:color="auto" w:sz="4" w:space="0"/>
              <w:right w:val="single" w:color="auto" w:sz="4" w:space="0"/>
            </w:tcBorders>
            <w:vAlign w:val="center"/>
          </w:tcPr>
          <w:p w14:paraId="41D6E7E7">
            <w:pPr>
              <w:pStyle w:val="32"/>
              <w:keepNext/>
              <w:widowControl w:val="0"/>
              <w:autoSpaceDE w:val="0"/>
              <w:spacing w:before="0" w:after="0" w:afterAutospacing="0" w:line="360" w:lineRule="auto"/>
              <w:jc w:val="center"/>
              <w:rPr>
                <w:rFonts w:ascii="宋体" w:hAnsi="宋体" w:eastAsia="宋体" w:cs="宋体"/>
                <w:color w:val="auto"/>
                <w:kern w:val="0"/>
                <w:szCs w:val="21"/>
                <w:highlight w:val="none"/>
              </w:rPr>
            </w:pPr>
            <w:r>
              <w:rPr>
                <w:rFonts w:hint="eastAsia" w:eastAsia="宋体" w:cs="宋体"/>
                <w:color w:val="auto"/>
                <w:sz w:val="21"/>
                <w:szCs w:val="21"/>
                <w:highlight w:val="none"/>
                <w:lang w:bidi="ar"/>
              </w:rPr>
              <w:t>20分</w:t>
            </w:r>
          </w:p>
        </w:tc>
      </w:tr>
      <w:tr w14:paraId="517B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21" w:type="pct"/>
            <w:tcBorders>
              <w:top w:val="single" w:color="auto" w:sz="4" w:space="0"/>
              <w:left w:val="single" w:color="auto" w:sz="4" w:space="0"/>
              <w:bottom w:val="single" w:color="auto" w:sz="4" w:space="0"/>
              <w:right w:val="single" w:color="auto" w:sz="4" w:space="0"/>
            </w:tcBorders>
            <w:vAlign w:val="center"/>
          </w:tcPr>
          <w:p w14:paraId="785AF79D">
            <w:pPr>
              <w:autoSpaceDE w:val="0"/>
              <w:autoSpaceDN w:val="0"/>
              <w:adjustRightInd w:val="0"/>
              <w:snapToGri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bidi="ar"/>
              </w:rPr>
              <w:t>2</w:t>
            </w:r>
          </w:p>
        </w:tc>
        <w:tc>
          <w:tcPr>
            <w:tcW w:w="546" w:type="pct"/>
            <w:tcBorders>
              <w:top w:val="single" w:color="auto" w:sz="4" w:space="0"/>
              <w:left w:val="single" w:color="auto" w:sz="4" w:space="0"/>
              <w:bottom w:val="single" w:color="auto" w:sz="4" w:space="0"/>
              <w:right w:val="single" w:color="auto" w:sz="4" w:space="0"/>
            </w:tcBorders>
            <w:vAlign w:val="center"/>
          </w:tcPr>
          <w:p w14:paraId="3AFE5367">
            <w:pPr>
              <w:autoSpaceDE w:val="0"/>
              <w:autoSpaceDN w:val="0"/>
              <w:adjustRightInd w:val="0"/>
              <w:snapToGri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bidi="ar"/>
              </w:rPr>
              <w:t>防撞缓冲车的</w:t>
            </w:r>
            <w:r>
              <w:rPr>
                <w:rFonts w:hint="eastAsia" w:ascii="宋体" w:hAnsi="宋体" w:eastAsia="宋体" w:cs="宋体"/>
                <w:color w:val="auto"/>
                <w:szCs w:val="21"/>
                <w:highlight w:val="none"/>
                <w:lang w:bidi="ar"/>
              </w:rPr>
              <w:t>性能</w:t>
            </w:r>
          </w:p>
        </w:tc>
        <w:tc>
          <w:tcPr>
            <w:tcW w:w="3695" w:type="pct"/>
            <w:tcBorders>
              <w:top w:val="single" w:color="auto" w:sz="4" w:space="0"/>
              <w:left w:val="single" w:color="auto" w:sz="4" w:space="0"/>
              <w:bottom w:val="single" w:color="auto" w:sz="4" w:space="0"/>
              <w:right w:val="single" w:color="auto" w:sz="4" w:space="0"/>
            </w:tcBorders>
            <w:vAlign w:val="center"/>
          </w:tcPr>
          <w:p w14:paraId="015F847D">
            <w:pPr>
              <w:numPr>
                <w:ilvl w:val="0"/>
                <w:numId w:val="0"/>
              </w:numPr>
              <w:autoSpaceDE w:val="0"/>
              <w:autoSpaceDN w:val="0"/>
              <w:adjustRightInd w:val="0"/>
              <w:snapToGrid w:val="0"/>
              <w:spacing w:line="360" w:lineRule="auto"/>
              <w:jc w:val="left"/>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（1）对投标车辆的吸能效果（在1100-2270kg——≥80 km/h范围下，防撞车位移距离）,按等级高低进行排序，排序并列不占用名次，排序第一的得8分，排序第二的得7分，排序第三的得6分，排序第四的得5分，排序第五的得4分，排序第六的得3分，排序第七的得2分，排序第八的得1分，后面排序不得分；</w:t>
            </w:r>
          </w:p>
          <w:p w14:paraId="2D48574C">
            <w:pPr>
              <w:numPr>
                <w:ilvl w:val="0"/>
                <w:numId w:val="0"/>
              </w:numPr>
              <w:autoSpaceDE w:val="0"/>
              <w:autoSpaceDN w:val="0"/>
              <w:adjustRightInd w:val="0"/>
              <w:snapToGrid w:val="0"/>
              <w:spacing w:line="360" w:lineRule="auto"/>
              <w:jc w:val="left"/>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2）对投标车辆的预警功能的监测距离,按监测距离大到小进行排序，排序并列不占用名次，排序第一的得6分，排序第二的得5分，排序第三的得4分，排序第四的得3分，排序第五的得2分，排序第六的得1分，后面排序不得分；</w:t>
            </w:r>
          </w:p>
          <w:p w14:paraId="3FB4E8B8">
            <w:pPr>
              <w:pStyle w:val="2"/>
              <w:numPr>
                <w:ilvl w:val="0"/>
                <w:numId w:val="0"/>
              </w:numPr>
              <w:rPr>
                <w:rFonts w:ascii="宋体" w:hAnsi="宋体" w:eastAsia="宋体" w:cs="宋体"/>
                <w:bCs/>
                <w:snapToGrid/>
                <w:color w:val="auto"/>
                <w:kern w:val="2"/>
                <w:szCs w:val="21"/>
                <w:highlight w:val="none"/>
                <w:lang w:bidi="ar"/>
              </w:rPr>
            </w:pPr>
            <w:r>
              <w:rPr>
                <w:rFonts w:ascii="宋体" w:hAnsi="宋体" w:eastAsia="宋体" w:cs="宋体"/>
                <w:bCs/>
                <w:snapToGrid/>
                <w:color w:val="auto"/>
                <w:kern w:val="2"/>
                <w:sz w:val="21"/>
                <w:szCs w:val="21"/>
                <w:highlight w:val="none"/>
                <w:lang w:val="en-US" w:eastAsia="zh-CN" w:bidi="ar"/>
              </w:rPr>
              <w:t>（3）</w:t>
            </w:r>
            <w:r>
              <w:rPr>
                <w:rFonts w:hint="eastAsia" w:ascii="宋体" w:hAnsi="宋体" w:eastAsia="宋体" w:cs="宋体"/>
                <w:bCs/>
                <w:snapToGrid/>
                <w:color w:val="auto"/>
                <w:kern w:val="2"/>
                <w:szCs w:val="21"/>
                <w:highlight w:val="none"/>
                <w:lang w:bidi="ar"/>
              </w:rPr>
              <w:t>对投标车辆的预警设备与主流导航地图联网,按联网的地图数量多到少进行排序，排序第一的得</w:t>
            </w:r>
            <w:r>
              <w:rPr>
                <w:rFonts w:hint="eastAsia" w:ascii="宋体" w:hAnsi="宋体" w:eastAsia="宋体" w:cs="宋体"/>
                <w:bCs/>
                <w:snapToGrid/>
                <w:color w:val="auto"/>
                <w:kern w:val="2"/>
                <w:szCs w:val="21"/>
                <w:highlight w:val="none"/>
                <w:lang w:val="en-US" w:eastAsia="zh-CN" w:bidi="ar"/>
              </w:rPr>
              <w:t>2</w:t>
            </w:r>
            <w:r>
              <w:rPr>
                <w:rFonts w:hint="eastAsia" w:ascii="宋体" w:hAnsi="宋体" w:eastAsia="宋体" w:cs="宋体"/>
                <w:bCs/>
                <w:snapToGrid/>
                <w:color w:val="auto"/>
                <w:kern w:val="2"/>
                <w:szCs w:val="21"/>
                <w:highlight w:val="none"/>
                <w:lang w:bidi="ar"/>
              </w:rPr>
              <w:t>分，排序第二的得</w:t>
            </w:r>
            <w:r>
              <w:rPr>
                <w:rFonts w:hint="eastAsia" w:ascii="宋体" w:hAnsi="宋体" w:eastAsia="宋体" w:cs="宋体"/>
                <w:bCs/>
                <w:snapToGrid/>
                <w:color w:val="auto"/>
                <w:kern w:val="2"/>
                <w:szCs w:val="21"/>
                <w:highlight w:val="none"/>
                <w:lang w:val="en-US" w:eastAsia="zh-CN" w:bidi="ar"/>
              </w:rPr>
              <w:t>1.5</w:t>
            </w:r>
            <w:r>
              <w:rPr>
                <w:rFonts w:hint="eastAsia" w:ascii="宋体" w:hAnsi="宋体" w:eastAsia="宋体" w:cs="宋体"/>
                <w:bCs/>
                <w:snapToGrid/>
                <w:color w:val="auto"/>
                <w:kern w:val="2"/>
                <w:szCs w:val="21"/>
                <w:highlight w:val="none"/>
                <w:lang w:bidi="ar"/>
              </w:rPr>
              <w:t>分，排序第三的得</w:t>
            </w:r>
            <w:r>
              <w:rPr>
                <w:rFonts w:hint="eastAsia" w:ascii="宋体" w:hAnsi="宋体" w:eastAsia="宋体" w:cs="宋体"/>
                <w:bCs/>
                <w:snapToGrid/>
                <w:color w:val="auto"/>
                <w:kern w:val="2"/>
                <w:szCs w:val="21"/>
                <w:highlight w:val="none"/>
                <w:lang w:val="en-US" w:eastAsia="zh-CN" w:bidi="ar"/>
              </w:rPr>
              <w:t>1</w:t>
            </w:r>
            <w:r>
              <w:rPr>
                <w:rFonts w:hint="eastAsia" w:ascii="宋体" w:hAnsi="宋体" w:eastAsia="宋体" w:cs="宋体"/>
                <w:bCs/>
                <w:snapToGrid/>
                <w:color w:val="auto"/>
                <w:kern w:val="2"/>
                <w:szCs w:val="21"/>
                <w:highlight w:val="none"/>
                <w:lang w:bidi="ar"/>
              </w:rPr>
              <w:t>分，排序第四的得0.</w:t>
            </w:r>
            <w:r>
              <w:rPr>
                <w:rFonts w:hint="eastAsia" w:ascii="宋体" w:hAnsi="宋体" w:eastAsia="宋体" w:cs="宋体"/>
                <w:bCs/>
                <w:snapToGrid/>
                <w:color w:val="auto"/>
                <w:kern w:val="2"/>
                <w:szCs w:val="21"/>
                <w:highlight w:val="none"/>
                <w:lang w:val="en-US" w:eastAsia="zh-CN" w:bidi="ar"/>
              </w:rPr>
              <w:t>5</w:t>
            </w:r>
            <w:r>
              <w:rPr>
                <w:rFonts w:hint="eastAsia" w:ascii="宋体" w:hAnsi="宋体" w:eastAsia="宋体" w:cs="宋体"/>
                <w:bCs/>
                <w:snapToGrid/>
                <w:color w:val="auto"/>
                <w:kern w:val="2"/>
                <w:szCs w:val="21"/>
                <w:highlight w:val="none"/>
                <w:lang w:bidi="ar"/>
              </w:rPr>
              <w:t>分，后面排序不得分</w:t>
            </w:r>
            <w:r>
              <w:rPr>
                <w:rFonts w:hint="eastAsia" w:ascii="宋体" w:hAnsi="宋体" w:eastAsia="宋体" w:cs="宋体"/>
                <w:bCs/>
                <w:snapToGrid/>
                <w:color w:val="auto"/>
                <w:kern w:val="2"/>
                <w:szCs w:val="21"/>
                <w:highlight w:val="none"/>
                <w:lang w:eastAsia="zh-CN" w:bidi="ar"/>
              </w:rPr>
              <w:t>。</w:t>
            </w:r>
          </w:p>
          <w:p w14:paraId="605EF662">
            <w:pPr>
              <w:autoSpaceDE w:val="0"/>
              <w:autoSpaceDN w:val="0"/>
              <w:adjustRightInd w:val="0"/>
              <w:snapToGrid w:val="0"/>
              <w:spacing w:line="360" w:lineRule="auto"/>
              <w:jc w:val="left"/>
              <w:rPr>
                <w:color w:val="auto"/>
                <w:highlight w:val="none"/>
              </w:rPr>
            </w:pPr>
            <w:r>
              <w:rPr>
                <w:rFonts w:hint="eastAsia" w:ascii="宋体" w:hAnsi="宋体" w:eastAsia="宋体" w:cs="宋体"/>
                <w:b/>
                <w:color w:val="auto"/>
                <w:szCs w:val="21"/>
                <w:highlight w:val="none"/>
                <w:lang w:bidi="ar"/>
              </w:rPr>
              <w:t>备注：需提供所投产品制造商所作的技术参数说明，或国家工业和信息化部公告/批复或行政主管部门出具的证明/批复或第三方检测机构出具的检测报告或汽车制造商官网的技术参数数据截图、或主要汽车网站(卡车之家)的技术参数数据截图作为评审依据，投标人未提供前述证明材料的，对应评审项不得分。</w:t>
            </w:r>
          </w:p>
        </w:tc>
        <w:tc>
          <w:tcPr>
            <w:tcW w:w="437" w:type="pct"/>
            <w:tcBorders>
              <w:top w:val="single" w:color="auto" w:sz="4" w:space="0"/>
              <w:left w:val="single" w:color="auto" w:sz="4" w:space="0"/>
              <w:bottom w:val="single" w:color="auto" w:sz="4" w:space="0"/>
              <w:right w:val="single" w:color="auto" w:sz="4" w:space="0"/>
            </w:tcBorders>
            <w:vAlign w:val="center"/>
          </w:tcPr>
          <w:p w14:paraId="295A9B3B">
            <w:pPr>
              <w:pStyle w:val="32"/>
              <w:keepNext/>
              <w:widowControl w:val="0"/>
              <w:autoSpaceDE w:val="0"/>
              <w:spacing w:before="0" w:after="0" w:afterAutospacing="0" w:line="360" w:lineRule="auto"/>
              <w:jc w:val="center"/>
              <w:rPr>
                <w:rFonts w:ascii="宋体" w:hAnsi="宋体" w:eastAsia="宋体" w:cs="宋体"/>
                <w:color w:val="auto"/>
                <w:kern w:val="0"/>
                <w:szCs w:val="21"/>
                <w:highlight w:val="none"/>
              </w:rPr>
            </w:pPr>
            <w:r>
              <w:rPr>
                <w:rFonts w:hint="eastAsia" w:eastAsia="宋体" w:cs="宋体"/>
                <w:color w:val="auto"/>
                <w:sz w:val="21"/>
                <w:szCs w:val="21"/>
                <w:highlight w:val="none"/>
                <w:lang w:val="en-US" w:eastAsia="zh-CN" w:bidi="ar"/>
              </w:rPr>
              <w:t>16</w:t>
            </w:r>
            <w:r>
              <w:rPr>
                <w:rFonts w:hint="eastAsia" w:eastAsia="宋体" w:cs="宋体"/>
                <w:color w:val="auto"/>
                <w:sz w:val="21"/>
                <w:szCs w:val="21"/>
                <w:highlight w:val="none"/>
                <w:lang w:bidi="ar"/>
              </w:rPr>
              <w:t>分</w:t>
            </w:r>
          </w:p>
        </w:tc>
      </w:tr>
      <w:tr w14:paraId="1794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321" w:type="pct"/>
            <w:vMerge w:val="restart"/>
            <w:tcBorders>
              <w:top w:val="single" w:color="auto" w:sz="4" w:space="0"/>
              <w:left w:val="single" w:color="auto" w:sz="4" w:space="0"/>
              <w:bottom w:val="single" w:color="auto" w:sz="4" w:space="0"/>
              <w:right w:val="single" w:color="auto" w:sz="4" w:space="0"/>
            </w:tcBorders>
            <w:vAlign w:val="center"/>
          </w:tcPr>
          <w:p w14:paraId="6562BF54">
            <w:pPr>
              <w:autoSpaceDE w:val="0"/>
              <w:autoSpaceDN w:val="0"/>
              <w:adjustRightInd w:val="0"/>
              <w:snapToGrid w:val="0"/>
              <w:spacing w:line="360" w:lineRule="auto"/>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lang w:val="en-US" w:eastAsia="zh-CN" w:bidi="ar"/>
              </w:rPr>
              <w:t>3</w:t>
            </w:r>
          </w:p>
        </w:tc>
        <w:tc>
          <w:tcPr>
            <w:tcW w:w="546" w:type="pct"/>
            <w:vMerge w:val="restart"/>
            <w:tcBorders>
              <w:top w:val="single" w:color="auto" w:sz="4" w:space="0"/>
              <w:left w:val="single" w:color="auto" w:sz="4" w:space="0"/>
              <w:bottom w:val="single" w:color="auto" w:sz="4" w:space="0"/>
              <w:right w:val="single" w:color="auto" w:sz="4" w:space="0"/>
            </w:tcBorders>
            <w:vAlign w:val="center"/>
          </w:tcPr>
          <w:p w14:paraId="45BD945D">
            <w:pPr>
              <w:pStyle w:val="32"/>
              <w:widowControl w:val="0"/>
              <w:autoSpaceDE w:val="0"/>
              <w:snapToGrid w:val="0"/>
              <w:spacing w:before="0" w:beforeAutospacing="0" w:after="0" w:afterAutospacing="0" w:line="360" w:lineRule="exact"/>
              <w:jc w:val="center"/>
              <w:rPr>
                <w:rFonts w:ascii="宋体" w:hAnsi="宋体" w:eastAsia="宋体" w:cs="宋体"/>
                <w:color w:val="auto"/>
                <w:kern w:val="0"/>
                <w:szCs w:val="21"/>
                <w:highlight w:val="none"/>
              </w:rPr>
            </w:pPr>
            <w:r>
              <w:rPr>
                <w:rFonts w:hint="eastAsia" w:eastAsia="宋体" w:cs="宋体"/>
                <w:color w:val="auto"/>
                <w:sz w:val="21"/>
                <w:szCs w:val="21"/>
                <w:highlight w:val="none"/>
                <w:lang w:bidi="ar"/>
              </w:rPr>
              <w:t>售后服务质量保证和承诺</w:t>
            </w:r>
          </w:p>
        </w:tc>
        <w:tc>
          <w:tcPr>
            <w:tcW w:w="3695" w:type="pct"/>
            <w:tcBorders>
              <w:top w:val="single" w:color="auto" w:sz="4" w:space="0"/>
              <w:left w:val="single" w:color="auto" w:sz="4" w:space="0"/>
              <w:right w:val="single" w:color="auto" w:sz="4" w:space="0"/>
            </w:tcBorders>
            <w:vAlign w:val="center"/>
          </w:tcPr>
          <w:p w14:paraId="70ECDAB1">
            <w:pPr>
              <w:pStyle w:val="32"/>
              <w:widowControl w:val="0"/>
              <w:autoSpaceDE w:val="0"/>
              <w:snapToGrid w:val="0"/>
              <w:spacing w:before="0" w:beforeAutospacing="0" w:after="0" w:afterAutospacing="0" w:line="360" w:lineRule="exact"/>
              <w:jc w:val="both"/>
              <w:rPr>
                <w:rFonts w:hAnsi="Times New Roman" w:eastAsia="宋体" w:cs="宋体"/>
                <w:color w:val="auto"/>
                <w:sz w:val="21"/>
                <w:szCs w:val="21"/>
                <w:highlight w:val="none"/>
              </w:rPr>
            </w:pPr>
            <w:r>
              <w:rPr>
                <w:rFonts w:hint="eastAsia" w:eastAsia="宋体" w:cs="宋体"/>
                <w:color w:val="auto"/>
                <w:sz w:val="21"/>
                <w:szCs w:val="21"/>
                <w:highlight w:val="none"/>
                <w:lang w:bidi="ar"/>
              </w:rPr>
              <w:t>根据各投标人承诺的车辆保养次数进行评审：在合同的质保期外，每增加1次免费与用户需求</w:t>
            </w:r>
            <w:r>
              <w:rPr>
                <w:rFonts w:hint="eastAsia" w:eastAsia="宋体" w:cs="宋体"/>
                <w:color w:val="auto"/>
                <w:sz w:val="21"/>
                <w:szCs w:val="21"/>
                <w:highlight w:val="none"/>
                <w:lang w:val="en-US" w:eastAsia="zh-CN" w:bidi="ar"/>
              </w:rPr>
              <w:t>书</w:t>
            </w:r>
            <w:r>
              <w:rPr>
                <w:rFonts w:hint="eastAsia" w:eastAsia="宋体" w:cs="宋体"/>
                <w:color w:val="auto"/>
                <w:sz w:val="21"/>
                <w:szCs w:val="21"/>
                <w:highlight w:val="none"/>
                <w:lang w:bidi="ar"/>
              </w:rPr>
              <w:t>要求同级保养的得1分，本项最高得3分。</w:t>
            </w:r>
          </w:p>
          <w:p w14:paraId="680E9C34">
            <w:pPr>
              <w:pStyle w:val="32"/>
              <w:widowControl w:val="0"/>
              <w:autoSpaceDE w:val="0"/>
              <w:snapToGrid w:val="0"/>
              <w:spacing w:before="0" w:beforeAutospacing="0" w:after="0" w:afterAutospacing="0" w:line="360" w:lineRule="exact"/>
              <w:jc w:val="both"/>
              <w:rPr>
                <w:rFonts w:ascii="宋体" w:hAnsi="宋体" w:eastAsia="宋体" w:cs="宋体"/>
                <w:color w:val="auto"/>
                <w:kern w:val="0"/>
                <w:szCs w:val="21"/>
                <w:highlight w:val="none"/>
              </w:rPr>
            </w:pPr>
            <w:r>
              <w:rPr>
                <w:rFonts w:hint="eastAsia" w:eastAsia="宋体" w:cs="宋体"/>
                <w:b/>
                <w:bCs/>
                <w:color w:val="auto"/>
                <w:sz w:val="21"/>
                <w:szCs w:val="21"/>
                <w:highlight w:val="none"/>
                <w:lang w:bidi="ar"/>
              </w:rPr>
              <w:t>备注：须提供售后服务承诺书加盖投标人公章。</w:t>
            </w:r>
          </w:p>
        </w:tc>
        <w:tc>
          <w:tcPr>
            <w:tcW w:w="437" w:type="pct"/>
            <w:tcBorders>
              <w:top w:val="single" w:color="auto" w:sz="4" w:space="0"/>
              <w:left w:val="single" w:color="auto" w:sz="4" w:space="0"/>
              <w:bottom w:val="single" w:color="auto" w:sz="4" w:space="0"/>
              <w:right w:val="single" w:color="auto" w:sz="4" w:space="0"/>
            </w:tcBorders>
            <w:vAlign w:val="center"/>
          </w:tcPr>
          <w:p w14:paraId="64D0216D">
            <w:pPr>
              <w:autoSpaceDE w:val="0"/>
              <w:autoSpaceDN w:val="0"/>
              <w:adjustRightInd w:val="0"/>
              <w:snapToGri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szCs w:val="21"/>
                <w:highlight w:val="none"/>
                <w:lang w:bidi="ar"/>
              </w:rPr>
              <w:t>3分</w:t>
            </w:r>
          </w:p>
        </w:tc>
      </w:tr>
      <w:tr w14:paraId="7DC5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21" w:type="pct"/>
            <w:vMerge w:val="restart"/>
            <w:tcBorders>
              <w:top w:val="single" w:color="auto" w:sz="4" w:space="0"/>
              <w:left w:val="single" w:color="auto" w:sz="4" w:space="0"/>
              <w:right w:val="single" w:color="auto" w:sz="4" w:space="0"/>
            </w:tcBorders>
            <w:shd w:val="clear" w:color="auto" w:fill="auto"/>
            <w:vAlign w:val="center"/>
          </w:tcPr>
          <w:p w14:paraId="33DC644D">
            <w:pPr>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4</w:t>
            </w:r>
          </w:p>
        </w:tc>
        <w:tc>
          <w:tcPr>
            <w:tcW w:w="546" w:type="pct"/>
            <w:vMerge w:val="restart"/>
            <w:tcBorders>
              <w:top w:val="single" w:color="auto" w:sz="4" w:space="0"/>
              <w:left w:val="single" w:color="auto" w:sz="4" w:space="0"/>
              <w:right w:val="single" w:color="auto" w:sz="4" w:space="0"/>
            </w:tcBorders>
            <w:shd w:val="clear" w:color="auto" w:fill="auto"/>
            <w:vAlign w:val="center"/>
          </w:tcPr>
          <w:p w14:paraId="3DB8FA08">
            <w:pPr>
              <w:spacing w:line="360" w:lineRule="auto"/>
              <w:jc w:val="center"/>
              <w:rPr>
                <w:rFonts w:ascii="宋体" w:hAnsi="宋体" w:eastAsia="宋体" w:cs="宋体"/>
                <w:color w:val="auto"/>
                <w:kern w:val="0"/>
                <w:sz w:val="21"/>
                <w:szCs w:val="21"/>
                <w:highlight w:val="none"/>
                <w:lang w:val="en-US" w:eastAsia="zh-CN" w:bidi="ar-SA"/>
              </w:rPr>
            </w:pPr>
            <w:r>
              <w:rPr>
                <w:rFonts w:hint="eastAsia" w:eastAsia="宋体" w:cs="宋体"/>
                <w:color w:val="auto"/>
                <w:sz w:val="21"/>
                <w:szCs w:val="21"/>
                <w:highlight w:val="none"/>
                <w:lang w:bidi="ar"/>
              </w:rPr>
              <w:t>质保期及服务便利性承诺</w:t>
            </w:r>
          </w:p>
        </w:tc>
        <w:tc>
          <w:tcPr>
            <w:tcW w:w="3695" w:type="pct"/>
            <w:tcBorders>
              <w:top w:val="single" w:color="auto" w:sz="4" w:space="0"/>
              <w:left w:val="single" w:color="auto" w:sz="4" w:space="0"/>
              <w:bottom w:val="single" w:color="auto" w:sz="4" w:space="0"/>
              <w:right w:val="single" w:color="auto" w:sz="4" w:space="0"/>
            </w:tcBorders>
            <w:shd w:val="clear" w:color="auto" w:fill="auto"/>
            <w:vAlign w:val="center"/>
          </w:tcPr>
          <w:p w14:paraId="05651AF2">
            <w:pPr>
              <w:pStyle w:val="32"/>
              <w:widowControl w:val="0"/>
              <w:autoSpaceDE w:val="0"/>
              <w:snapToGrid w:val="0"/>
              <w:spacing w:before="0" w:beforeAutospacing="0" w:after="0" w:afterAutospacing="0" w:line="360" w:lineRule="exact"/>
              <w:jc w:val="both"/>
              <w:rPr>
                <w:rFonts w:hAnsi="Times New Roman" w:eastAsia="宋体" w:cs="宋体"/>
                <w:color w:val="auto"/>
                <w:sz w:val="21"/>
                <w:szCs w:val="21"/>
                <w:highlight w:val="none"/>
              </w:rPr>
            </w:pPr>
            <w:r>
              <w:rPr>
                <w:rFonts w:hint="eastAsia" w:eastAsia="宋体" w:cs="宋体"/>
                <w:color w:val="auto"/>
                <w:sz w:val="21"/>
                <w:szCs w:val="21"/>
                <w:highlight w:val="none"/>
                <w:lang w:bidi="ar"/>
              </w:rPr>
              <w:t>（1）根据各投标人承诺的质保期进行评审：</w:t>
            </w:r>
          </w:p>
          <w:p w14:paraId="73240441">
            <w:pPr>
              <w:pStyle w:val="32"/>
              <w:widowControl w:val="0"/>
              <w:autoSpaceDE w:val="0"/>
              <w:snapToGrid w:val="0"/>
              <w:spacing w:before="0" w:beforeAutospacing="0" w:after="0" w:afterAutospacing="0" w:line="360" w:lineRule="exact"/>
              <w:jc w:val="both"/>
              <w:rPr>
                <w:rFonts w:hAnsi="Times New Roman" w:eastAsia="宋体" w:cs="宋体"/>
                <w:color w:val="auto"/>
                <w:sz w:val="21"/>
                <w:szCs w:val="21"/>
                <w:highlight w:val="none"/>
              </w:rPr>
            </w:pPr>
            <w:r>
              <w:rPr>
                <w:rFonts w:hint="eastAsia" w:eastAsia="宋体" w:cs="宋体"/>
                <w:color w:val="auto"/>
                <w:sz w:val="21"/>
                <w:szCs w:val="21"/>
                <w:highlight w:val="none"/>
                <w:lang w:bidi="ar"/>
              </w:rPr>
              <w:t>主要核心部件在满足本项目质保期的基础上，增加</w:t>
            </w:r>
            <w:r>
              <w:rPr>
                <w:rFonts w:eastAsia="宋体" w:cs="宋体"/>
                <w:color w:val="auto"/>
                <w:sz w:val="21"/>
                <w:szCs w:val="21"/>
                <w:highlight w:val="none"/>
                <w:lang w:bidi="ar"/>
              </w:rPr>
              <w:t>1年得</w:t>
            </w:r>
            <w:r>
              <w:rPr>
                <w:rFonts w:hint="eastAsia" w:eastAsia="宋体" w:cs="宋体"/>
                <w:color w:val="auto"/>
                <w:sz w:val="21"/>
                <w:szCs w:val="21"/>
                <w:highlight w:val="none"/>
                <w:lang w:val="en-US" w:eastAsia="zh-CN" w:bidi="ar"/>
              </w:rPr>
              <w:t>1</w:t>
            </w:r>
            <w:r>
              <w:rPr>
                <w:rFonts w:hint="eastAsia" w:eastAsia="宋体" w:cs="宋体"/>
                <w:color w:val="auto"/>
                <w:sz w:val="21"/>
                <w:szCs w:val="21"/>
                <w:highlight w:val="none"/>
                <w:lang w:bidi="ar"/>
              </w:rPr>
              <w:t>分，增加</w:t>
            </w:r>
            <w:r>
              <w:rPr>
                <w:rFonts w:eastAsia="宋体" w:cs="宋体"/>
                <w:color w:val="auto"/>
                <w:sz w:val="21"/>
                <w:szCs w:val="21"/>
                <w:highlight w:val="none"/>
                <w:lang w:bidi="ar"/>
              </w:rPr>
              <w:t>2年或以上得</w:t>
            </w:r>
            <w:r>
              <w:rPr>
                <w:rFonts w:hint="eastAsia" w:eastAsia="宋体" w:cs="宋体"/>
                <w:color w:val="auto"/>
                <w:sz w:val="21"/>
                <w:szCs w:val="21"/>
                <w:highlight w:val="none"/>
                <w:lang w:val="en-US" w:eastAsia="zh-CN" w:bidi="ar"/>
              </w:rPr>
              <w:t>3</w:t>
            </w:r>
            <w:r>
              <w:rPr>
                <w:rFonts w:hint="eastAsia" w:eastAsia="宋体" w:cs="宋体"/>
                <w:color w:val="auto"/>
                <w:sz w:val="21"/>
                <w:szCs w:val="21"/>
                <w:highlight w:val="none"/>
                <w:lang w:bidi="ar"/>
              </w:rPr>
              <w:t>分，本项最高得</w:t>
            </w:r>
            <w:r>
              <w:rPr>
                <w:rFonts w:hint="eastAsia" w:eastAsia="宋体" w:cs="宋体"/>
                <w:color w:val="auto"/>
                <w:sz w:val="21"/>
                <w:szCs w:val="21"/>
                <w:highlight w:val="none"/>
                <w:lang w:val="en-US" w:eastAsia="zh-CN" w:bidi="ar"/>
              </w:rPr>
              <w:t>3</w:t>
            </w:r>
            <w:r>
              <w:rPr>
                <w:rFonts w:hint="eastAsia" w:eastAsia="宋体" w:cs="宋体"/>
                <w:color w:val="auto"/>
                <w:sz w:val="21"/>
                <w:szCs w:val="21"/>
                <w:highlight w:val="none"/>
                <w:lang w:bidi="ar"/>
              </w:rPr>
              <w:t>分。</w:t>
            </w:r>
          </w:p>
          <w:p w14:paraId="1A6EFECD">
            <w:pPr>
              <w:pStyle w:val="32"/>
              <w:widowControl w:val="0"/>
              <w:autoSpaceDE w:val="0"/>
              <w:snapToGrid w:val="0"/>
              <w:spacing w:before="0" w:beforeAutospacing="0" w:after="0" w:afterAutospacing="0" w:line="360" w:lineRule="exact"/>
              <w:jc w:val="both"/>
              <w:rPr>
                <w:rFonts w:hint="eastAsia" w:ascii="宋体" w:hAnsi="Times New Roman" w:eastAsia="宋体" w:cs="宋体"/>
                <w:b/>
                <w:bCs/>
                <w:color w:val="auto"/>
                <w:kern w:val="2"/>
                <w:sz w:val="21"/>
                <w:szCs w:val="21"/>
                <w:highlight w:val="none"/>
                <w:lang w:val="en-US" w:eastAsia="zh-CN" w:bidi="ar-SA"/>
              </w:rPr>
            </w:pPr>
            <w:r>
              <w:rPr>
                <w:rFonts w:hint="eastAsia" w:eastAsia="宋体" w:cs="宋体"/>
                <w:b/>
                <w:bCs/>
                <w:color w:val="auto"/>
                <w:sz w:val="21"/>
                <w:szCs w:val="21"/>
                <w:highlight w:val="none"/>
                <w:lang w:bidi="ar"/>
              </w:rPr>
              <w:t>备注：须提供质保期及服务便利性承诺书加盖投标人公章。</w:t>
            </w:r>
          </w:p>
        </w:tc>
        <w:tc>
          <w:tcPr>
            <w:tcW w:w="437" w:type="pct"/>
            <w:tcBorders>
              <w:top w:val="single" w:color="auto" w:sz="4" w:space="0"/>
              <w:left w:val="single" w:color="auto" w:sz="4" w:space="0"/>
              <w:bottom w:val="single" w:color="auto" w:sz="4" w:space="0"/>
              <w:right w:val="single" w:color="auto" w:sz="4" w:space="0"/>
            </w:tcBorders>
            <w:shd w:val="clear" w:color="auto" w:fill="auto"/>
            <w:vAlign w:val="center"/>
          </w:tcPr>
          <w:p w14:paraId="7E40F7EC">
            <w:pPr>
              <w:autoSpaceDE w:val="0"/>
              <w:autoSpaceDN w:val="0"/>
              <w:adjustRightInd w:val="0"/>
              <w:snapToGrid w:val="0"/>
              <w:spacing w:line="360" w:lineRule="auto"/>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lang w:val="en-US" w:eastAsia="zh-CN" w:bidi="ar"/>
              </w:rPr>
              <w:t>3分</w:t>
            </w:r>
          </w:p>
        </w:tc>
      </w:tr>
      <w:tr w14:paraId="535DD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21" w:type="pct"/>
            <w:vMerge w:val="continue"/>
            <w:tcBorders>
              <w:left w:val="single" w:color="auto" w:sz="4" w:space="0"/>
              <w:right w:val="single" w:color="auto" w:sz="4" w:space="0"/>
            </w:tcBorders>
            <w:vAlign w:val="center"/>
          </w:tcPr>
          <w:p w14:paraId="22F67D1C">
            <w:pPr>
              <w:rPr>
                <w:rFonts w:ascii="宋体" w:hAnsi="宋体" w:eastAsia="宋体" w:cs="宋体"/>
                <w:color w:val="auto"/>
                <w:kern w:val="0"/>
                <w:szCs w:val="21"/>
                <w:highlight w:val="none"/>
              </w:rPr>
            </w:pPr>
          </w:p>
        </w:tc>
        <w:tc>
          <w:tcPr>
            <w:tcW w:w="546" w:type="pct"/>
            <w:vMerge w:val="continue"/>
            <w:tcBorders>
              <w:left w:val="single" w:color="auto" w:sz="4" w:space="0"/>
              <w:right w:val="single" w:color="auto" w:sz="4" w:space="0"/>
            </w:tcBorders>
            <w:vAlign w:val="center"/>
          </w:tcPr>
          <w:p w14:paraId="2FD00BB4">
            <w:pPr>
              <w:rPr>
                <w:rFonts w:ascii="宋体" w:hAnsi="宋体" w:eastAsia="宋体" w:cs="宋体"/>
                <w:color w:val="auto"/>
                <w:kern w:val="0"/>
                <w:szCs w:val="21"/>
                <w:highlight w:val="none"/>
              </w:rPr>
            </w:pPr>
          </w:p>
        </w:tc>
        <w:tc>
          <w:tcPr>
            <w:tcW w:w="3695" w:type="pct"/>
            <w:tcBorders>
              <w:top w:val="single" w:color="auto" w:sz="4" w:space="0"/>
              <w:left w:val="single" w:color="auto" w:sz="4" w:space="0"/>
              <w:right w:val="single" w:color="auto" w:sz="4" w:space="0"/>
            </w:tcBorders>
            <w:shd w:val="clear" w:color="auto" w:fill="auto"/>
            <w:vAlign w:val="center"/>
          </w:tcPr>
          <w:p w14:paraId="18BE7E47">
            <w:pPr>
              <w:pStyle w:val="32"/>
              <w:widowControl w:val="0"/>
              <w:autoSpaceDE w:val="0"/>
              <w:snapToGrid w:val="0"/>
              <w:spacing w:before="0" w:beforeAutospacing="0" w:after="0" w:afterAutospacing="0" w:line="360" w:lineRule="exact"/>
              <w:jc w:val="both"/>
              <w:rPr>
                <w:rFonts w:hAnsi="Times New Roman" w:eastAsia="宋体" w:cs="宋体"/>
                <w:color w:val="auto"/>
                <w:sz w:val="21"/>
                <w:szCs w:val="21"/>
                <w:highlight w:val="none"/>
              </w:rPr>
            </w:pPr>
            <w:r>
              <w:rPr>
                <w:rFonts w:hint="eastAsia" w:eastAsia="宋体" w:cs="宋体"/>
                <w:color w:val="auto"/>
                <w:sz w:val="21"/>
                <w:szCs w:val="21"/>
                <w:highlight w:val="none"/>
                <w:lang w:bidi="ar"/>
              </w:rPr>
              <w:t>（2）根据各投标人服务便利性承诺进行评审：</w:t>
            </w:r>
          </w:p>
          <w:p w14:paraId="296D7A0F">
            <w:pPr>
              <w:pStyle w:val="32"/>
              <w:widowControl w:val="0"/>
              <w:autoSpaceDE w:val="0"/>
              <w:snapToGrid w:val="0"/>
              <w:spacing w:before="0" w:beforeAutospacing="0" w:after="0" w:afterAutospacing="0" w:line="360" w:lineRule="exact"/>
              <w:jc w:val="both"/>
              <w:rPr>
                <w:rFonts w:hAnsi="Times New Roman" w:eastAsia="宋体" w:cs="宋体"/>
                <w:color w:val="auto"/>
                <w:sz w:val="21"/>
                <w:szCs w:val="21"/>
                <w:highlight w:val="none"/>
              </w:rPr>
            </w:pPr>
            <w:r>
              <w:rPr>
                <w:rFonts w:hint="eastAsia" w:ascii="宋体" w:hAnsi="宋体" w:eastAsia="宋体" w:cs="宋体"/>
                <w:color w:val="auto"/>
                <w:sz w:val="21"/>
                <w:szCs w:val="21"/>
                <w:highlight w:val="none"/>
                <w:lang w:bidi="ar"/>
              </w:rPr>
              <w:t>①</w:t>
            </w:r>
            <w:r>
              <w:rPr>
                <w:rFonts w:hint="eastAsia" w:eastAsia="宋体" w:cs="宋体"/>
                <w:color w:val="auto"/>
                <w:sz w:val="21"/>
                <w:szCs w:val="21"/>
                <w:highlight w:val="none"/>
                <w:lang w:bidi="ar"/>
              </w:rPr>
              <w:t>在合同规定的质保期内，投标人承诺在接到招标人的</w:t>
            </w:r>
            <w:r>
              <w:rPr>
                <w:rFonts w:hint="eastAsia" w:eastAsia="宋体" w:cs="宋体"/>
                <w:color w:val="auto"/>
                <w:kern w:val="0"/>
                <w:sz w:val="21"/>
                <w:szCs w:val="21"/>
                <w:highlight w:val="none"/>
                <w:lang w:bidi="ar"/>
              </w:rPr>
              <w:t>维修通知</w:t>
            </w:r>
            <w:r>
              <w:rPr>
                <w:rFonts w:hint="eastAsia" w:eastAsia="宋体" w:cs="宋体"/>
                <w:color w:val="auto"/>
                <w:sz w:val="21"/>
                <w:szCs w:val="21"/>
                <w:highlight w:val="none"/>
                <w:lang w:bidi="ar"/>
              </w:rPr>
              <w:t>后0.5小时内响应，2小时内到达招标人指定地点的，得3分；</w:t>
            </w:r>
          </w:p>
          <w:p w14:paraId="238F0BF7">
            <w:pPr>
              <w:pStyle w:val="32"/>
              <w:widowControl w:val="0"/>
              <w:autoSpaceDE w:val="0"/>
              <w:snapToGrid w:val="0"/>
              <w:spacing w:before="0" w:beforeAutospacing="0" w:after="0" w:afterAutospacing="0" w:line="360" w:lineRule="exact"/>
              <w:jc w:val="both"/>
              <w:rPr>
                <w:rFonts w:hAnsi="Times New Roman" w:eastAsia="宋体" w:cs="宋体"/>
                <w:color w:val="auto"/>
                <w:sz w:val="21"/>
                <w:szCs w:val="21"/>
                <w:highlight w:val="none"/>
              </w:rPr>
            </w:pPr>
            <w:r>
              <w:rPr>
                <w:rFonts w:hint="eastAsia" w:ascii="宋体" w:hAnsi="宋体" w:eastAsia="宋体" w:cs="宋体"/>
                <w:color w:val="auto"/>
                <w:sz w:val="21"/>
                <w:szCs w:val="21"/>
                <w:highlight w:val="none"/>
                <w:lang w:bidi="ar"/>
              </w:rPr>
              <w:t>②</w:t>
            </w:r>
            <w:r>
              <w:rPr>
                <w:rFonts w:hint="eastAsia" w:eastAsia="宋体" w:cs="宋体"/>
                <w:color w:val="auto"/>
                <w:sz w:val="21"/>
                <w:szCs w:val="21"/>
                <w:highlight w:val="none"/>
                <w:lang w:bidi="ar"/>
              </w:rPr>
              <w:t>在合同规定的质保期内，投标人承诺在接到招标人的</w:t>
            </w:r>
            <w:r>
              <w:rPr>
                <w:rFonts w:hint="eastAsia" w:eastAsia="宋体" w:cs="宋体"/>
                <w:color w:val="auto"/>
                <w:kern w:val="0"/>
                <w:sz w:val="21"/>
                <w:szCs w:val="21"/>
                <w:highlight w:val="none"/>
                <w:lang w:bidi="ar"/>
              </w:rPr>
              <w:t>维修通知</w:t>
            </w:r>
            <w:r>
              <w:rPr>
                <w:rFonts w:hint="eastAsia" w:eastAsia="宋体" w:cs="宋体"/>
                <w:color w:val="auto"/>
                <w:sz w:val="21"/>
                <w:szCs w:val="21"/>
                <w:highlight w:val="none"/>
                <w:lang w:bidi="ar"/>
              </w:rPr>
              <w:t>后1小时内响应，4小时内到达招标人指定地点的，得1分。</w:t>
            </w:r>
          </w:p>
          <w:p w14:paraId="7D27A075">
            <w:pPr>
              <w:pStyle w:val="32"/>
              <w:widowControl w:val="0"/>
              <w:autoSpaceDE w:val="0"/>
              <w:snapToGrid w:val="0"/>
              <w:spacing w:before="0" w:beforeAutospacing="0" w:after="0" w:afterAutospacing="0" w:line="360" w:lineRule="exact"/>
              <w:jc w:val="both"/>
              <w:rPr>
                <w:rFonts w:hint="eastAsia" w:ascii="宋体" w:hAnsi="Times New Roman" w:eastAsia="宋体" w:cs="宋体"/>
                <w:b/>
                <w:bCs/>
                <w:color w:val="auto"/>
                <w:kern w:val="2"/>
                <w:sz w:val="21"/>
                <w:szCs w:val="21"/>
                <w:highlight w:val="none"/>
                <w:lang w:val="en-US" w:eastAsia="zh-CN" w:bidi="ar-SA"/>
              </w:rPr>
            </w:pPr>
            <w:r>
              <w:rPr>
                <w:rFonts w:hint="eastAsia" w:eastAsia="宋体" w:cs="宋体"/>
                <w:b/>
                <w:bCs/>
                <w:color w:val="auto"/>
                <w:sz w:val="21"/>
                <w:szCs w:val="21"/>
                <w:highlight w:val="none"/>
                <w:lang w:bidi="ar"/>
              </w:rPr>
              <w:t>备注：须提供质保期及服务便利性承诺书加盖投标人公章。</w:t>
            </w:r>
          </w:p>
        </w:tc>
        <w:tc>
          <w:tcPr>
            <w:tcW w:w="437" w:type="pct"/>
            <w:tcBorders>
              <w:top w:val="single" w:color="auto" w:sz="4" w:space="0"/>
              <w:left w:val="single" w:color="auto" w:sz="4" w:space="0"/>
              <w:right w:val="single" w:color="auto" w:sz="4" w:space="0"/>
            </w:tcBorders>
            <w:shd w:val="clear" w:color="auto" w:fill="auto"/>
            <w:vAlign w:val="center"/>
          </w:tcPr>
          <w:p w14:paraId="3CCB41D2">
            <w:pPr>
              <w:autoSpaceDE w:val="0"/>
              <w:autoSpaceDN w:val="0"/>
              <w:adjustRightInd w:val="0"/>
              <w:snapToGrid w:val="0"/>
              <w:spacing w:line="360" w:lineRule="auto"/>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lang w:val="en-US" w:eastAsia="zh-CN" w:bidi="ar"/>
              </w:rPr>
              <w:t>3分</w:t>
            </w:r>
          </w:p>
        </w:tc>
      </w:tr>
      <w:bookmarkEnd w:id="710"/>
    </w:tbl>
    <w:p w14:paraId="35E34AC7">
      <w:pPr>
        <w:autoSpaceDE w:val="0"/>
        <w:autoSpaceDN w:val="0"/>
        <w:adjustRightInd w:val="0"/>
        <w:spacing w:line="360" w:lineRule="auto"/>
        <w:ind w:left="420" w:leftChars="200" w:firstLine="420" w:firstLine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备注：</w:t>
      </w:r>
    </w:p>
    <w:p w14:paraId="609668A4">
      <w:pPr>
        <w:autoSpaceDE w:val="0"/>
        <w:autoSpaceDN w:val="0"/>
        <w:adjustRightInd w:val="0"/>
        <w:spacing w:line="360" w:lineRule="auto"/>
        <w:ind w:left="420" w:leftChars="200" w:firstLine="420" w:firstLine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①表中“</w:t>
      </w:r>
      <w:r>
        <w:rPr>
          <w:rFonts w:ascii="宋体" w:hAnsi="宋体" w:eastAsia="宋体" w:cs="宋体"/>
          <w:color w:val="auto"/>
          <w:szCs w:val="24"/>
          <w:highlight w:val="none"/>
          <w:lang w:val="zh-CN"/>
        </w:rPr>
        <w:t>[”代表闭区间，“]”代表闭区间，如[0，1]代表该分数段范围为大于等</w:t>
      </w:r>
      <w:r>
        <w:rPr>
          <w:rFonts w:hint="eastAsia" w:ascii="宋体" w:hAnsi="宋体" w:eastAsia="宋体" w:cs="宋体"/>
          <w:color w:val="auto"/>
          <w:szCs w:val="24"/>
          <w:highlight w:val="none"/>
          <w:lang w:val="zh-CN"/>
        </w:rPr>
        <w:t>于</w:t>
      </w:r>
      <w:r>
        <w:rPr>
          <w:rFonts w:ascii="宋体" w:hAnsi="宋体" w:eastAsia="宋体" w:cs="宋体"/>
          <w:color w:val="auto"/>
          <w:szCs w:val="24"/>
          <w:highlight w:val="none"/>
          <w:lang w:val="zh-CN"/>
        </w:rPr>
        <w:t>0且小于等于1。表中“（”代表开区间，“]”代表闭区间，如（1，2]代表该分数段范</w:t>
      </w:r>
      <w:r>
        <w:rPr>
          <w:rFonts w:hint="eastAsia" w:ascii="宋体" w:hAnsi="宋体" w:eastAsia="宋体" w:cs="宋体"/>
          <w:color w:val="auto"/>
          <w:szCs w:val="24"/>
          <w:highlight w:val="none"/>
          <w:lang w:val="zh-CN"/>
        </w:rPr>
        <w:t>围为大于</w:t>
      </w:r>
      <w:r>
        <w:rPr>
          <w:rFonts w:ascii="宋体" w:hAnsi="宋体" w:eastAsia="宋体" w:cs="宋体"/>
          <w:color w:val="auto"/>
          <w:szCs w:val="24"/>
          <w:highlight w:val="none"/>
          <w:lang w:val="zh-CN"/>
        </w:rPr>
        <w:t>1且小于等于2。</w:t>
      </w:r>
    </w:p>
    <w:p w14:paraId="3A1B2BA0">
      <w:pPr>
        <w:autoSpaceDE w:val="0"/>
        <w:autoSpaceDN w:val="0"/>
        <w:adjustRightInd w:val="0"/>
        <w:spacing w:line="360" w:lineRule="auto"/>
        <w:ind w:left="420" w:leftChars="200" w:firstLine="420" w:firstLineChars="200"/>
        <w:rPr>
          <w:rFonts w:ascii="宋体" w:hAnsi="宋体" w:eastAsia="宋体" w:cs="宋体"/>
          <w:color w:val="auto"/>
          <w:szCs w:val="24"/>
          <w:highlight w:val="none"/>
          <w:lang w:val="zh-CN"/>
        </w:rPr>
      </w:pPr>
      <w:r>
        <w:rPr>
          <w:rFonts w:ascii="宋体" w:hAnsi="宋体" w:eastAsia="宋体" w:cs="宋体"/>
          <w:color w:val="auto"/>
          <w:szCs w:val="24"/>
          <w:highlight w:val="none"/>
          <w:lang w:val="zh-CN"/>
        </w:rPr>
        <w:t>②分数出现小数点，保留小数点后2位，从小数点后第3位四</w:t>
      </w:r>
      <w:r>
        <w:rPr>
          <w:rFonts w:hint="eastAsia" w:ascii="宋体" w:hAnsi="宋体" w:eastAsia="宋体" w:cs="宋体"/>
          <w:color w:val="auto"/>
          <w:szCs w:val="24"/>
          <w:highlight w:val="none"/>
          <w:lang w:val="zh-CN"/>
        </w:rPr>
        <w:t>舍五入。</w:t>
      </w:r>
    </w:p>
    <w:p w14:paraId="5353D38D">
      <w:pPr>
        <w:autoSpaceDE w:val="0"/>
        <w:autoSpaceDN w:val="0"/>
        <w:adjustRightInd w:val="0"/>
        <w:spacing w:line="360" w:lineRule="auto"/>
        <w:ind w:left="420" w:leftChars="200" w:firstLine="422" w:firstLineChars="200"/>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③上述“评分项目”中按“优、良、中、差”区间评审的，若低于该项满分分值</w:t>
      </w:r>
      <w:r>
        <w:rPr>
          <w:rFonts w:ascii="宋体" w:hAnsi="宋体" w:eastAsia="宋体" w:cs="宋体"/>
          <w:b/>
          <w:color w:val="auto"/>
          <w:szCs w:val="24"/>
          <w:highlight w:val="none"/>
          <w:lang w:val="zh-CN"/>
        </w:rPr>
        <w:t>60%时，评标专家需详细填写该项低分的充分理由，例如：该项目内容存在违反国家有关标</w:t>
      </w:r>
      <w:r>
        <w:rPr>
          <w:rFonts w:hint="eastAsia" w:ascii="宋体" w:hAnsi="宋体" w:eastAsia="宋体" w:cs="宋体"/>
          <w:b/>
          <w:color w:val="auto"/>
          <w:szCs w:val="24"/>
          <w:highlight w:val="none"/>
          <w:lang w:val="zh-CN"/>
        </w:rPr>
        <w:t>准和规范或与项目实际不符等原则性问题。</w:t>
      </w:r>
    </w:p>
    <w:p w14:paraId="07E702C8">
      <w:pPr>
        <w:autoSpaceDE w:val="0"/>
        <w:autoSpaceDN w:val="0"/>
        <w:adjustRightInd w:val="0"/>
        <w:spacing w:line="360" w:lineRule="auto"/>
        <w:ind w:left="420" w:leftChars="200" w:firstLine="422" w:firstLineChars="200"/>
        <w:rPr>
          <w:rFonts w:hint="eastAsia" w:ascii="宋体" w:hAnsi="宋体" w:eastAsia="宋体" w:cs="宋体"/>
          <w:b/>
          <w:color w:val="auto"/>
          <w:szCs w:val="24"/>
          <w:highlight w:val="none"/>
          <w:lang w:val="en-US" w:eastAsia="zh-CN"/>
        </w:rPr>
      </w:pPr>
      <w:r>
        <w:rPr>
          <w:rFonts w:hint="eastAsia" w:ascii="宋体" w:hAnsi="宋体" w:eastAsia="宋体" w:cs="宋体"/>
          <w:b/>
          <w:color w:val="auto"/>
          <w:szCs w:val="24"/>
          <w:highlight w:val="none"/>
          <w:lang w:val="en-US" w:eastAsia="zh-CN"/>
        </w:rPr>
        <w:t>④</w:t>
      </w:r>
      <w:r>
        <w:rPr>
          <w:rFonts w:hint="eastAsia" w:ascii="宋体" w:hAnsi="宋体" w:eastAsia="宋体" w:cs="宋体"/>
          <w:b/>
          <w:color w:val="auto"/>
          <w:kern w:val="0"/>
          <w:szCs w:val="21"/>
          <w:highlight w:val="none"/>
          <w:lang w:val="zh-CN"/>
        </w:rPr>
        <w:t>对</w:t>
      </w:r>
      <w:r>
        <w:rPr>
          <w:rFonts w:hint="eastAsia" w:ascii="宋体" w:hAnsi="宋体" w:eastAsia="宋体" w:cs="宋体"/>
          <w:b/>
          <w:color w:val="auto"/>
          <w:kern w:val="0"/>
          <w:szCs w:val="21"/>
          <w:highlight w:val="none"/>
          <w:lang w:val="en-US" w:eastAsia="zh-CN"/>
        </w:rPr>
        <w:t>于各</w:t>
      </w:r>
      <w:r>
        <w:rPr>
          <w:rFonts w:hint="eastAsia" w:ascii="宋体" w:hAnsi="宋体" w:eastAsia="宋体" w:cs="宋体"/>
          <w:b/>
          <w:color w:val="auto"/>
          <w:kern w:val="0"/>
          <w:szCs w:val="21"/>
          <w:highlight w:val="none"/>
          <w:lang w:val="zh-CN"/>
        </w:rPr>
        <w:t>评标委员会成员</w:t>
      </w:r>
      <w:r>
        <w:rPr>
          <w:rFonts w:hint="eastAsia" w:ascii="宋体" w:hAnsi="宋体" w:eastAsia="宋体" w:cs="宋体"/>
          <w:b/>
          <w:color w:val="auto"/>
          <w:kern w:val="0"/>
          <w:szCs w:val="21"/>
          <w:highlight w:val="none"/>
          <w:lang w:val="en-US" w:eastAsia="zh-CN"/>
        </w:rPr>
        <w:t>存在客观分打分不一致时</w:t>
      </w:r>
      <w:r>
        <w:rPr>
          <w:rFonts w:hint="eastAsia" w:ascii="宋体" w:hAnsi="宋体" w:eastAsia="宋体" w:cs="宋体"/>
          <w:b/>
          <w:color w:val="auto"/>
          <w:kern w:val="0"/>
          <w:szCs w:val="21"/>
          <w:highlight w:val="none"/>
          <w:lang w:val="zh-CN"/>
        </w:rPr>
        <w:t>,根据少数服</w:t>
      </w:r>
      <w:r>
        <w:rPr>
          <w:rFonts w:hint="eastAsia" w:ascii="宋体" w:hAnsi="宋体" w:eastAsia="宋体" w:cs="宋体"/>
          <w:b/>
          <w:color w:val="auto"/>
          <w:kern w:val="0"/>
          <w:szCs w:val="21"/>
          <w:highlight w:val="none"/>
          <w:lang w:val="en-US" w:eastAsia="zh-CN"/>
        </w:rPr>
        <w:t>从</w:t>
      </w:r>
      <w:r>
        <w:rPr>
          <w:rFonts w:hint="eastAsia" w:ascii="宋体" w:hAnsi="宋体" w:eastAsia="宋体" w:cs="宋体"/>
          <w:b/>
          <w:color w:val="auto"/>
          <w:kern w:val="0"/>
          <w:szCs w:val="21"/>
          <w:highlight w:val="none"/>
          <w:lang w:val="zh-CN"/>
        </w:rPr>
        <w:t>多数的原则，以记名方式表决</w:t>
      </w:r>
      <w:r>
        <w:rPr>
          <w:rFonts w:hint="eastAsia" w:ascii="宋体" w:hAnsi="宋体" w:eastAsia="宋体" w:cs="宋体"/>
          <w:b/>
          <w:color w:val="auto"/>
          <w:kern w:val="0"/>
          <w:szCs w:val="21"/>
          <w:highlight w:val="none"/>
          <w:lang w:val="en-US" w:eastAsia="zh-CN"/>
        </w:rPr>
        <w:t>确定该项的评分。</w:t>
      </w:r>
    </w:p>
    <w:p w14:paraId="7AEB7FF5">
      <w:pPr>
        <w:tabs>
          <w:tab w:val="left" w:pos="1701"/>
        </w:tabs>
        <w:autoSpaceDE w:val="0"/>
        <w:autoSpaceDN w:val="0"/>
        <w:adjustRightInd w:val="0"/>
        <w:spacing w:line="360" w:lineRule="auto"/>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（3）价格评分方法</w:t>
      </w:r>
    </w:p>
    <w:p w14:paraId="19CA6305">
      <w:pPr>
        <w:spacing w:line="360" w:lineRule="auto"/>
        <w:ind w:left="480" w:firstLine="211" w:firstLineChars="100"/>
        <w:rPr>
          <w:rFonts w:ascii="宋体" w:hAnsi="宋体" w:eastAsia="宋体" w:cs="宋体"/>
          <w:b/>
          <w:bCs/>
          <w:color w:val="auto"/>
          <w:kern w:val="0"/>
          <w:szCs w:val="21"/>
          <w:highlight w:val="none"/>
          <w:lang w:val="zh-CN"/>
        </w:rPr>
      </w:pPr>
      <w:r>
        <w:rPr>
          <w:rFonts w:hint="eastAsia" w:ascii="宋体" w:hAnsi="宋体" w:eastAsia="宋体" w:cs="宋体"/>
          <w:b/>
          <w:bCs/>
          <w:color w:val="auto"/>
          <w:kern w:val="0"/>
          <w:szCs w:val="28"/>
          <w:highlight w:val="none"/>
          <w:lang w:val="zh-CN"/>
        </w:rPr>
        <w:t xml:space="preserve">1）经济文件的符合性审查 </w:t>
      </w:r>
    </w:p>
    <w:p w14:paraId="09D50865">
      <w:pPr>
        <w:spacing w:line="360" w:lineRule="auto"/>
        <w:ind w:left="420" w:leftChars="200" w:firstLine="420" w:firstLineChars="200"/>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评标委员会对合格的投标人的投标报价，进行详细分析、核准，检查其是否存在计算错误。评标委员会将按照本评标大纲的规定修正计算错误的投标报价，经投标人代表确认后，调整后的价格对投标人具有约束力。</w:t>
      </w:r>
      <w:r>
        <w:rPr>
          <w:rFonts w:hint="eastAsia" w:ascii="宋体" w:hAnsi="宋体" w:eastAsia="宋体" w:cs="宋体"/>
          <w:b/>
          <w:color w:val="auto"/>
          <w:kern w:val="0"/>
          <w:szCs w:val="21"/>
          <w:highlight w:val="none"/>
          <w:u w:val="single"/>
          <w:lang w:val="zh-CN"/>
        </w:rPr>
        <w:t>如果投标人不接受修正后的报价，则其投标将被拒绝，作为无效投标处理</w:t>
      </w:r>
      <w:r>
        <w:rPr>
          <w:rFonts w:hint="eastAsia" w:ascii="宋体" w:hAnsi="宋体" w:eastAsia="宋体" w:cs="宋体"/>
          <w:b/>
          <w:color w:val="auto"/>
          <w:kern w:val="0"/>
          <w:szCs w:val="21"/>
          <w:highlight w:val="none"/>
          <w:lang w:val="zh-CN"/>
        </w:rPr>
        <w:t>。</w:t>
      </w:r>
    </w:p>
    <w:p w14:paraId="05F4AB42">
      <w:pPr>
        <w:autoSpaceDE w:val="0"/>
        <w:autoSpaceDN w:val="0"/>
        <w:adjustRightInd w:val="0"/>
        <w:spacing w:line="360" w:lineRule="auto"/>
        <w:ind w:left="420" w:leftChars="200" w:firstLine="420" w:firstLineChars="200"/>
        <w:rPr>
          <w:rFonts w:hint="eastAsia" w:ascii="宋体" w:hAnsi="宋体" w:eastAsia="宋体" w:cs="宋体"/>
          <w:b/>
          <w:color w:val="auto"/>
          <w:szCs w:val="24"/>
          <w:highlight w:val="none"/>
          <w:u w:val="single"/>
          <w:lang w:val="zh-CN"/>
        </w:rPr>
      </w:pPr>
      <w:r>
        <w:rPr>
          <w:rFonts w:hint="eastAsia" w:ascii="宋体" w:hAnsi="宋体" w:eastAsia="宋体" w:cs="宋体"/>
          <w:color w:val="auto"/>
          <w:szCs w:val="24"/>
          <w:highlight w:val="none"/>
          <w:lang w:val="zh-CN"/>
        </w:rPr>
        <w:t>若投标人出现超低报价，</w:t>
      </w:r>
      <w:r>
        <w:rPr>
          <w:rFonts w:hint="eastAsia" w:ascii="宋体" w:hAnsi="宋体" w:eastAsia="宋体" w:cs="宋体"/>
          <w:color w:val="auto"/>
          <w:kern w:val="0"/>
          <w:szCs w:val="21"/>
          <w:highlight w:val="none"/>
        </w:rPr>
        <w:t>有可能影响服务质量和不能诚信履约的，</w:t>
      </w:r>
      <w:r>
        <w:rPr>
          <w:rFonts w:hint="eastAsia" w:ascii="宋体" w:hAnsi="宋体" w:eastAsia="宋体" w:cs="宋体"/>
          <w:color w:val="auto"/>
          <w:szCs w:val="24"/>
          <w:highlight w:val="none"/>
          <w:lang w:val="zh-CN"/>
        </w:rPr>
        <w:t>评标委员会</w:t>
      </w:r>
      <w:r>
        <w:rPr>
          <w:rFonts w:hint="eastAsia" w:ascii="宋体" w:hAnsi="宋体" w:eastAsia="宋体" w:cs="宋体"/>
          <w:color w:val="auto"/>
          <w:kern w:val="0"/>
          <w:szCs w:val="21"/>
          <w:highlight w:val="none"/>
          <w:lang w:val="zh-CN"/>
        </w:rPr>
        <w:t>将要求该投标人作出书面说明并提供相关证明材料，</w:t>
      </w:r>
      <w:r>
        <w:rPr>
          <w:rFonts w:hint="eastAsia" w:ascii="宋体" w:hAnsi="宋体" w:eastAsia="宋体" w:cs="宋体"/>
          <w:color w:val="auto"/>
          <w:szCs w:val="24"/>
          <w:highlight w:val="none"/>
          <w:lang w:val="zh-CN"/>
        </w:rPr>
        <w:t>以确定投标人是否以低于企业成本价报价。</w:t>
      </w:r>
      <w:r>
        <w:rPr>
          <w:rFonts w:hint="eastAsia" w:ascii="宋体" w:hAnsi="宋体" w:eastAsia="宋体" w:cs="宋体"/>
          <w:b/>
          <w:color w:val="auto"/>
          <w:szCs w:val="24"/>
          <w:highlight w:val="none"/>
          <w:u w:val="single"/>
          <w:lang w:val="zh-CN"/>
        </w:rPr>
        <w:t>若投标人不能合理说明或不能提供相关证明材料的，评标委员会将认定其投标报价低于成本，同时否决其投标。</w:t>
      </w:r>
    </w:p>
    <w:p w14:paraId="72169938">
      <w:pPr>
        <w:spacing w:line="360" w:lineRule="auto"/>
        <w:ind w:left="420" w:leftChars="200" w:firstLine="422" w:firstLineChars="200"/>
        <w:rPr>
          <w:rFonts w:ascii="宋体" w:hAnsi="宋体" w:eastAsia="宋体" w:cs="宋体"/>
          <w:b/>
          <w:color w:val="auto"/>
          <w:kern w:val="0"/>
          <w:szCs w:val="21"/>
          <w:highlight w:val="none"/>
          <w:lang w:val="zh-CN"/>
        </w:rPr>
      </w:pPr>
      <w:r>
        <w:rPr>
          <w:rFonts w:hint="eastAsia" w:ascii="宋体" w:hAnsi="宋体" w:eastAsia="宋体" w:cs="宋体"/>
          <w:b/>
          <w:color w:val="auto"/>
          <w:kern w:val="0"/>
          <w:szCs w:val="21"/>
          <w:highlight w:val="none"/>
          <w:lang w:val="zh-CN"/>
        </w:rPr>
        <w:t>对是否低于企业成本价报价的事宜有争议的投标文件,评标委员会成员将以记名方式表决,根据少数服</w:t>
      </w:r>
      <w:r>
        <w:rPr>
          <w:rFonts w:hint="eastAsia" w:ascii="宋体" w:hAnsi="宋体" w:eastAsia="宋体" w:cs="宋体"/>
          <w:b/>
          <w:color w:val="auto"/>
          <w:kern w:val="0"/>
          <w:szCs w:val="21"/>
          <w:highlight w:val="none"/>
          <w:lang w:val="en-US" w:eastAsia="zh-CN"/>
        </w:rPr>
        <w:t>从</w:t>
      </w:r>
      <w:r>
        <w:rPr>
          <w:rFonts w:hint="eastAsia" w:ascii="宋体" w:hAnsi="宋体" w:eastAsia="宋体" w:cs="宋体"/>
          <w:b/>
          <w:color w:val="auto"/>
          <w:kern w:val="0"/>
          <w:szCs w:val="21"/>
          <w:highlight w:val="none"/>
          <w:lang w:val="zh-CN"/>
        </w:rPr>
        <w:t>多数的原则，获多数表决通过的投标人才有资格进入下一阶段的评审,否则将按无效投标处理。</w:t>
      </w:r>
    </w:p>
    <w:p w14:paraId="6AA27B80">
      <w:pPr>
        <w:spacing w:line="360" w:lineRule="auto"/>
        <w:ind w:left="420" w:leftChars="200" w:firstLine="420" w:firstLineChars="200"/>
        <w:rPr>
          <w:rFonts w:ascii="宋体" w:hAnsi="宋体" w:eastAsia="宋体" w:cs="宋体"/>
          <w:color w:val="auto"/>
          <w:kern w:val="0"/>
          <w:szCs w:val="21"/>
          <w:highlight w:val="none"/>
          <w:lang w:val="zh-CN"/>
        </w:rPr>
      </w:pPr>
    </w:p>
    <w:p w14:paraId="783EA5D3">
      <w:pPr>
        <w:spacing w:line="360" w:lineRule="auto"/>
        <w:ind w:left="480" w:firstLine="211" w:firstLineChars="100"/>
        <w:rPr>
          <w:rFonts w:ascii="宋体" w:hAnsi="宋体" w:eastAsia="宋体" w:cs="宋体"/>
          <w:b/>
          <w:bCs/>
          <w:color w:val="auto"/>
          <w:kern w:val="0"/>
          <w:szCs w:val="21"/>
          <w:highlight w:val="none"/>
        </w:rPr>
      </w:pPr>
      <w:r>
        <w:rPr>
          <w:rFonts w:ascii="宋体" w:hAnsi="宋体" w:eastAsia="宋体" w:cs="宋体"/>
          <w:b/>
          <w:bCs/>
          <w:color w:val="auto"/>
          <w:kern w:val="0"/>
          <w:szCs w:val="21"/>
          <w:highlight w:val="none"/>
          <w:lang w:val="zh-CN"/>
        </w:rPr>
        <w:t>2</w:t>
      </w:r>
      <w:r>
        <w:rPr>
          <w:rFonts w:hint="eastAsia" w:ascii="宋体" w:hAnsi="宋体" w:eastAsia="宋体" w:cs="宋体"/>
          <w:b/>
          <w:bCs/>
          <w:color w:val="auto"/>
          <w:kern w:val="0"/>
          <w:szCs w:val="21"/>
          <w:highlight w:val="none"/>
          <w:lang w:val="zh-CN"/>
        </w:rPr>
        <w:t>）</w:t>
      </w:r>
      <w:r>
        <w:rPr>
          <w:rFonts w:hint="eastAsia" w:ascii="宋体" w:hAnsi="宋体" w:eastAsia="宋体" w:cs="宋体"/>
          <w:b/>
          <w:bCs/>
          <w:color w:val="auto"/>
          <w:kern w:val="0"/>
          <w:szCs w:val="28"/>
          <w:highlight w:val="none"/>
          <w:lang w:val="zh-CN"/>
        </w:rPr>
        <w:t>价格评分</w:t>
      </w:r>
      <w:r>
        <w:rPr>
          <w:rFonts w:hint="eastAsia" w:ascii="宋体" w:hAnsi="宋体" w:eastAsia="宋体" w:cs="宋体"/>
          <w:b/>
          <w:bCs/>
          <w:color w:val="auto"/>
          <w:kern w:val="0"/>
          <w:szCs w:val="21"/>
          <w:highlight w:val="none"/>
        </w:rPr>
        <w:t>：</w:t>
      </w:r>
      <w:r>
        <w:rPr>
          <w:rFonts w:hint="eastAsia" w:ascii="宋体" w:hAnsi="宋体" w:eastAsia="宋体" w:cs="宋体"/>
          <w:b/>
          <w:bCs/>
          <w:color w:val="auto"/>
          <w:kern w:val="0"/>
          <w:szCs w:val="21"/>
          <w:highlight w:val="none"/>
          <w:lang w:val="zh-CN"/>
        </w:rPr>
        <w:t>总分</w:t>
      </w:r>
      <w:r>
        <w:rPr>
          <w:rFonts w:hint="eastAsia" w:ascii="宋体" w:hAnsi="宋体" w:eastAsia="宋体" w:cs="宋体"/>
          <w:b/>
          <w:bCs/>
          <w:color w:val="auto"/>
          <w:kern w:val="0"/>
          <w:szCs w:val="21"/>
          <w:highlight w:val="none"/>
          <w:lang w:val="en-US" w:eastAsia="zh-CN"/>
        </w:rPr>
        <w:t>30</w:t>
      </w:r>
      <w:r>
        <w:rPr>
          <w:rFonts w:hint="eastAsia" w:ascii="宋体" w:hAnsi="宋体" w:eastAsia="宋体" w:cs="宋体"/>
          <w:b/>
          <w:bCs/>
          <w:color w:val="auto"/>
          <w:kern w:val="0"/>
          <w:szCs w:val="21"/>
          <w:highlight w:val="none"/>
          <w:lang w:val="zh-CN"/>
        </w:rPr>
        <w:t>分</w:t>
      </w:r>
    </w:p>
    <w:p w14:paraId="10CEC475">
      <w:pPr>
        <w:autoSpaceDN w:val="0"/>
        <w:adjustRightInd w:val="0"/>
        <w:snapToGrid w:val="0"/>
        <w:spacing w:line="360" w:lineRule="auto"/>
        <w:ind w:left="420" w:leftChars="100" w:hanging="210" w:hangingChars="10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A、根据有效投标人的投标报价，最低价作为基准价（Y）。投标人报价（X）等于基准价的得满分</w:t>
      </w:r>
      <w:r>
        <w:rPr>
          <w:rFonts w:hint="eastAsia" w:ascii="宋体" w:hAnsi="宋体" w:eastAsia="宋体" w:cs="宋体"/>
          <w:color w:val="auto"/>
          <w:kern w:val="0"/>
          <w:szCs w:val="21"/>
          <w:highlight w:val="none"/>
          <w:lang w:val="en-US" w:eastAsia="zh-CN"/>
        </w:rPr>
        <w:t>30</w:t>
      </w:r>
      <w:r>
        <w:rPr>
          <w:rFonts w:hint="eastAsia" w:ascii="宋体" w:hAnsi="宋体" w:eastAsia="宋体" w:cs="宋体"/>
          <w:color w:val="auto"/>
          <w:kern w:val="0"/>
          <w:szCs w:val="21"/>
          <w:highlight w:val="none"/>
        </w:rPr>
        <w:t>分，其他投标人的价格得分统一按照下列公式计算：</w:t>
      </w:r>
    </w:p>
    <w:p w14:paraId="69003497">
      <w:pPr>
        <w:autoSpaceDN w:val="0"/>
        <w:adjustRightInd w:val="0"/>
        <w:snapToGrid w:val="0"/>
        <w:spacing w:line="360" w:lineRule="auto"/>
        <w:ind w:left="420" w:leftChars="100" w:hanging="210" w:hangingChars="100"/>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 xml:space="preserve">    价格得分=(基准价／投标报价)×</w:t>
      </w:r>
      <w:r>
        <w:rPr>
          <w:rFonts w:hint="eastAsia" w:ascii="宋体" w:hAnsi="宋体" w:eastAsia="宋体" w:cs="宋体"/>
          <w:color w:val="auto"/>
          <w:kern w:val="0"/>
          <w:szCs w:val="21"/>
          <w:highlight w:val="none"/>
          <w:lang w:val="en-US" w:eastAsia="zh-CN"/>
        </w:rPr>
        <w:t>30</w:t>
      </w:r>
    </w:p>
    <w:p w14:paraId="0BE6A6CC">
      <w:pPr>
        <w:autoSpaceDN w:val="0"/>
        <w:adjustRightInd w:val="0"/>
        <w:snapToGrid w:val="0"/>
        <w:spacing w:line="360" w:lineRule="auto"/>
        <w:ind w:firstLine="210" w:firstLineChars="1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B、分数出现小数点，保留小数点后2位，从小数点后第3位四舍五入。</w:t>
      </w:r>
    </w:p>
    <w:p w14:paraId="46826B67">
      <w:pPr>
        <w:tabs>
          <w:tab w:val="left" w:pos="585"/>
        </w:tabs>
        <w:autoSpaceDE w:val="0"/>
        <w:autoSpaceDN w:val="0"/>
        <w:adjustRightInd w:val="0"/>
        <w:spacing w:line="400" w:lineRule="exact"/>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（4）综合得分</w:t>
      </w:r>
    </w:p>
    <w:p w14:paraId="67CCFC07">
      <w:pPr>
        <w:spacing w:line="400" w:lineRule="exact"/>
        <w:ind w:firstLine="848" w:firstLineChars="404"/>
        <w:rPr>
          <w:rFonts w:ascii="宋体" w:hAnsi="宋体" w:eastAsia="宋体" w:cs="宋体"/>
          <w:color w:val="auto"/>
          <w:kern w:val="0"/>
          <w:szCs w:val="28"/>
          <w:highlight w:val="none"/>
          <w:lang w:val="zh-CN"/>
        </w:rPr>
      </w:pPr>
      <w:bookmarkStart w:id="711" w:name="_Toc31624_WPSOffice_Level2"/>
      <w:r>
        <w:rPr>
          <w:rFonts w:hint="eastAsia" w:ascii="宋体" w:hAnsi="宋体" w:eastAsia="宋体" w:cs="宋体"/>
          <w:color w:val="auto"/>
          <w:kern w:val="0"/>
          <w:szCs w:val="28"/>
          <w:highlight w:val="none"/>
          <w:lang w:val="zh-CN"/>
        </w:rPr>
        <w:t>评标总得分=F1＋F2＋……+Fn</w:t>
      </w:r>
      <w:bookmarkEnd w:id="711"/>
    </w:p>
    <w:p w14:paraId="01E986EA">
      <w:pPr>
        <w:widowControl/>
        <w:autoSpaceDE w:val="0"/>
        <w:autoSpaceDN w:val="0"/>
        <w:adjustRightInd w:val="0"/>
        <w:spacing w:line="400" w:lineRule="exact"/>
        <w:ind w:firstLine="840" w:firstLineChars="400"/>
        <w:jc w:val="left"/>
        <w:rPr>
          <w:rFonts w:ascii="宋体" w:hAnsi="宋体" w:eastAsia="宋体" w:cs="宋体"/>
          <w:color w:val="auto"/>
          <w:kern w:val="0"/>
          <w:szCs w:val="21"/>
          <w:highlight w:val="none"/>
        </w:rPr>
      </w:pPr>
      <w:bookmarkStart w:id="712" w:name="_Toc13236_WPSOffice_Level2"/>
      <w:r>
        <w:rPr>
          <w:rFonts w:hint="eastAsia" w:ascii="宋体" w:hAnsi="宋体" w:eastAsia="宋体" w:cs="宋体"/>
          <w:color w:val="auto"/>
          <w:kern w:val="0"/>
          <w:szCs w:val="21"/>
          <w:highlight w:val="none"/>
        </w:rPr>
        <w:t>F1、F2、……Fn分别为各项评分因素的得分</w:t>
      </w:r>
      <w:bookmarkEnd w:id="712"/>
      <w:r>
        <w:rPr>
          <w:rFonts w:hint="eastAsia" w:ascii="宋体" w:hAnsi="宋体" w:eastAsia="宋体" w:cs="宋体"/>
          <w:color w:val="auto"/>
          <w:kern w:val="0"/>
          <w:szCs w:val="21"/>
          <w:highlight w:val="none"/>
        </w:rPr>
        <w:t>。</w:t>
      </w:r>
    </w:p>
    <w:p w14:paraId="549EF693">
      <w:pPr>
        <w:autoSpaceDE w:val="0"/>
        <w:autoSpaceDN w:val="0"/>
        <w:adjustRightInd w:val="0"/>
        <w:spacing w:line="360" w:lineRule="auto"/>
        <w:ind w:left="564" w:leftChars="1" w:hanging="562" w:hangingChars="200"/>
        <w:rPr>
          <w:rFonts w:ascii="宋体" w:hAnsi="宋体" w:eastAsia="宋体" w:cs="宋体"/>
          <w:b/>
          <w:bCs/>
          <w:color w:val="auto"/>
          <w:sz w:val="28"/>
          <w:szCs w:val="28"/>
          <w:highlight w:val="none"/>
        </w:rPr>
      </w:pPr>
    </w:p>
    <w:p w14:paraId="4384A207">
      <w:pPr>
        <w:autoSpaceDE w:val="0"/>
        <w:autoSpaceDN w:val="0"/>
        <w:adjustRightInd w:val="0"/>
        <w:spacing w:line="360" w:lineRule="auto"/>
        <w:jc w:val="center"/>
        <w:rPr>
          <w:rFonts w:ascii="宋体" w:hAnsi="宋体" w:eastAsia="宋体" w:cs="宋体"/>
          <w:b/>
          <w:bCs/>
          <w:color w:val="auto"/>
          <w:sz w:val="28"/>
          <w:szCs w:val="28"/>
          <w:highlight w:val="none"/>
        </w:rPr>
      </w:pPr>
      <w:bookmarkStart w:id="713" w:name="_Toc518_WPSOffice_Level1"/>
      <w:r>
        <w:rPr>
          <w:rFonts w:hint="eastAsia" w:ascii="宋体" w:hAnsi="宋体" w:eastAsia="宋体" w:cs="宋体"/>
          <w:b/>
          <w:bCs/>
          <w:color w:val="auto"/>
          <w:sz w:val="28"/>
          <w:szCs w:val="28"/>
          <w:highlight w:val="none"/>
          <w:lang w:val="zh-CN"/>
        </w:rPr>
        <w:t>五、推荐中标人</w:t>
      </w:r>
      <w:bookmarkEnd w:id="713"/>
    </w:p>
    <w:p w14:paraId="11E54538">
      <w:pPr>
        <w:autoSpaceDE w:val="0"/>
        <w:autoSpaceDN w:val="0"/>
        <w:adjustRightInd w:val="0"/>
        <w:spacing w:line="360" w:lineRule="auto"/>
        <w:ind w:left="420" w:hanging="420" w:hangingChars="200"/>
        <w:jc w:val="left"/>
        <w:rPr>
          <w:rFonts w:ascii="宋体" w:hAnsi="宋体" w:eastAsia="宋体" w:cs="Times New Roman"/>
          <w:color w:val="auto"/>
          <w:kern w:val="0"/>
          <w:szCs w:val="21"/>
          <w:highlight w:val="none"/>
        </w:rPr>
      </w:pPr>
      <w:r>
        <w:rPr>
          <w:rFonts w:ascii="宋体" w:hAnsi="宋体" w:eastAsia="宋体" w:cs="宋体"/>
          <w:color w:val="auto"/>
          <w:kern w:val="0"/>
          <w:szCs w:val="21"/>
          <w:highlight w:val="none"/>
        </w:rPr>
        <w:t>13</w:t>
      </w:r>
      <w:r>
        <w:rPr>
          <w:rFonts w:hint="eastAsia" w:ascii="宋体" w:hAnsi="宋体" w:eastAsia="宋体" w:cs="宋体"/>
          <w:color w:val="auto"/>
          <w:kern w:val="0"/>
          <w:szCs w:val="21"/>
          <w:highlight w:val="none"/>
        </w:rPr>
        <w:t>、</w:t>
      </w:r>
      <w:r>
        <w:rPr>
          <w:rFonts w:hint="eastAsia" w:ascii="宋体" w:hAnsi="宋体" w:eastAsia="宋体" w:cs="Times New Roman"/>
          <w:color w:val="auto"/>
          <w:szCs w:val="24"/>
          <w:highlight w:val="none"/>
          <w:lang w:val="zh-CN"/>
        </w:rPr>
        <w:t>评标委员会按评审后得分由高到低顺序排列</w:t>
      </w:r>
      <w:r>
        <w:rPr>
          <w:rFonts w:hint="eastAsia" w:ascii="宋体" w:hAnsi="宋体" w:eastAsia="宋体" w:cs="Times New Roman"/>
          <w:color w:val="auto"/>
          <w:kern w:val="0"/>
          <w:szCs w:val="21"/>
          <w:highlight w:val="none"/>
        </w:rPr>
        <w:t>，并向招标人推荐最后综合得分最高的前二名投标人为中标候选人（最后综合得分排名第一、第二的投标人分别为第一、第二中标候选人），招标人将确定第一中标候选人为中标人。</w:t>
      </w:r>
    </w:p>
    <w:p w14:paraId="2E1E3F9D">
      <w:pPr>
        <w:autoSpaceDE w:val="0"/>
        <w:autoSpaceDN w:val="0"/>
        <w:adjustRightInd w:val="0"/>
        <w:spacing w:line="360" w:lineRule="auto"/>
        <w:ind w:left="420" w:leftChars="200" w:firstLine="420" w:firstLineChars="200"/>
        <w:jc w:val="left"/>
        <w:rPr>
          <w:rFonts w:hint="eastAsia"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如果有两个或以上的投标人的最后综合得分相同，则在最后综合得分相同的投标人中按投标报价</w:t>
      </w:r>
      <w:r>
        <w:rPr>
          <w:rFonts w:hint="eastAsia" w:ascii="宋体" w:hAnsi="宋体" w:eastAsia="宋体" w:cs="Times New Roman"/>
          <w:color w:val="auto"/>
          <w:kern w:val="0"/>
          <w:szCs w:val="21"/>
          <w:highlight w:val="none"/>
          <w:lang w:val="zh-CN"/>
        </w:rPr>
        <w:t>由低到高顺序排出次序，报价低的排前，报价高的排后。</w:t>
      </w:r>
      <w:r>
        <w:rPr>
          <w:rFonts w:hint="eastAsia" w:ascii="宋体" w:hAnsi="宋体" w:eastAsia="宋体" w:cs="Times New Roman"/>
          <w:color w:val="auto"/>
          <w:kern w:val="0"/>
          <w:szCs w:val="21"/>
          <w:highlight w:val="none"/>
        </w:rPr>
        <w:t>如果出现投标人的最后综合得分及投标报价均相同时，则按技术标的评标得分高低排出次序，得分高的排前，得分低的排后。如果出现投标人的最后综合得分、投标报价及技术标得分均相同时，由评标委员会进行投票，得票多的排名在先。当第一轮投票结果为投标人得票数相同时，再次进行投票，如此类推，直到能确定排序次序为止。</w:t>
      </w:r>
    </w:p>
    <w:p w14:paraId="34A73912">
      <w:pPr>
        <w:spacing w:line="360" w:lineRule="auto"/>
        <w:ind w:left="420" w:leftChars="200" w:firstLine="420" w:firstLineChars="200"/>
        <w:jc w:val="left"/>
        <w:rPr>
          <w:rFonts w:hint="eastAsia" w:ascii="宋体" w:hAnsi="宋体" w:eastAsia="宋体" w:cs="Times New Roman"/>
          <w:color w:val="auto"/>
          <w:kern w:val="0"/>
          <w:szCs w:val="21"/>
          <w:highlight w:val="none"/>
          <w:lang w:val="zh-CN"/>
        </w:rPr>
      </w:pPr>
      <w:r>
        <w:rPr>
          <w:rFonts w:hint="eastAsia" w:ascii="宋体" w:hAnsi="宋体" w:eastAsia="宋体" w:cs="Times New Roman"/>
          <w:color w:val="auto"/>
          <w:kern w:val="0"/>
          <w:szCs w:val="21"/>
          <w:highlight w:val="none"/>
          <w:lang w:bidi="ar"/>
        </w:rPr>
        <w:t>如果有两个或以上的投标人提供相同品牌产品且通过资格审查、符合性审查的不同投标人参加同一合同项下投标的，按一家投标人计算，评审后得分最高的同品牌投标人获得中标人推荐资格:评审得分相同的，则按投标报价由低到高顺序确定；如果出现投标人的最后综合得分及投标报价均相同时，则按技术标的评标得分高低排出次序，得分高的排前，得分低的排后。如果出现投标人的最后综合得分、投标报价及技术标得分均相同时，由评标委员会进行投票，得票多的排名在先。当第一轮投票结果为投标人得票数相同时，再次进行投票，如此类推，直到能确定排序次序为止。其他同品牌投标人不再进入后续评审或推荐为中标候选人。</w:t>
      </w:r>
    </w:p>
    <w:p w14:paraId="1CD63E23">
      <w:pPr>
        <w:widowControl/>
        <w:autoSpaceDE w:val="0"/>
        <w:autoSpaceDN w:val="0"/>
        <w:adjustRightInd w:val="0"/>
        <w:spacing w:line="360" w:lineRule="auto"/>
        <w:ind w:left="420" w:leftChars="200" w:firstLine="420" w:firstLineChars="200"/>
        <w:jc w:val="left"/>
        <w:rPr>
          <w:rFonts w:hint="eastAsia" w:ascii="宋体" w:hAnsi="宋体" w:eastAsia="宋体" w:cs="Times New Roman"/>
          <w:color w:val="auto"/>
          <w:kern w:val="0"/>
          <w:szCs w:val="21"/>
          <w:highlight w:val="none"/>
        </w:rPr>
      </w:pPr>
    </w:p>
    <w:p w14:paraId="53A5687B">
      <w:pPr>
        <w:autoSpaceDE w:val="0"/>
        <w:autoSpaceDN w:val="0"/>
        <w:adjustRightInd w:val="0"/>
        <w:spacing w:line="360" w:lineRule="auto"/>
        <w:ind w:left="185" w:leftChars="88" w:firstLine="3443" w:firstLineChars="1225"/>
        <w:rPr>
          <w:rFonts w:ascii="宋体" w:hAnsi="宋体" w:eastAsia="宋体" w:cs="宋体"/>
          <w:b/>
          <w:bCs/>
          <w:color w:val="auto"/>
          <w:sz w:val="28"/>
          <w:szCs w:val="28"/>
          <w:highlight w:val="none"/>
          <w:lang w:val="zh-CN"/>
        </w:rPr>
      </w:pPr>
      <w:bookmarkStart w:id="714" w:name="_Toc22724_WPSOffice_Level1"/>
      <w:r>
        <w:rPr>
          <w:rFonts w:hint="eastAsia" w:ascii="宋体" w:hAnsi="宋体" w:eastAsia="宋体" w:cs="宋体"/>
          <w:b/>
          <w:bCs/>
          <w:color w:val="auto"/>
          <w:sz w:val="28"/>
          <w:szCs w:val="28"/>
          <w:highlight w:val="none"/>
          <w:lang w:val="zh-CN"/>
        </w:rPr>
        <w:t>六、编写评标报告</w:t>
      </w:r>
      <w:bookmarkEnd w:id="714"/>
    </w:p>
    <w:p w14:paraId="1679F453">
      <w:pPr>
        <w:autoSpaceDE w:val="0"/>
        <w:autoSpaceDN w:val="0"/>
        <w:adjustRightInd w:val="0"/>
        <w:spacing w:line="360" w:lineRule="auto"/>
        <w:ind w:left="420" w:hanging="420" w:hangingChars="200"/>
        <w:jc w:val="left"/>
        <w:rPr>
          <w:rFonts w:ascii="宋体" w:hAnsi="宋体" w:eastAsia="宋体" w:cs="宋体"/>
          <w:b/>
          <w:bCs/>
          <w:color w:val="auto"/>
          <w:szCs w:val="32"/>
          <w:highlight w:val="none"/>
          <w:lang w:val="zh-CN"/>
        </w:rPr>
      </w:pPr>
      <w:r>
        <w:rPr>
          <w:rFonts w:hint="eastAsia" w:ascii="宋体" w:hAnsi="宋体" w:eastAsia="宋体" w:cs="宋体"/>
          <w:color w:val="auto"/>
          <w:szCs w:val="24"/>
          <w:highlight w:val="none"/>
          <w:lang w:val="zh-CN"/>
        </w:rPr>
        <w:t>1</w:t>
      </w:r>
      <w:r>
        <w:rPr>
          <w:rFonts w:ascii="宋体" w:hAnsi="宋体" w:eastAsia="宋体" w:cs="宋体"/>
          <w:color w:val="auto"/>
          <w:szCs w:val="24"/>
          <w:highlight w:val="none"/>
          <w:lang w:val="zh-CN"/>
        </w:rPr>
        <w:t>4</w:t>
      </w:r>
      <w:r>
        <w:rPr>
          <w:rFonts w:hint="eastAsia" w:ascii="宋体" w:hAnsi="宋体" w:eastAsia="宋体" w:cs="宋体"/>
          <w:color w:val="auto"/>
          <w:szCs w:val="24"/>
          <w:highlight w:val="none"/>
          <w:lang w:val="zh-CN"/>
        </w:rPr>
        <w:t>、评标委员会根据评审结果撰写评标报告。评标报告是评标委员会根据全体评标委员会成员签字的原始评审记录和评审结果编写的报告，其主要内容包括：</w:t>
      </w:r>
    </w:p>
    <w:p w14:paraId="132771B8">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（1）开标邀请时间、开标日期和地点；</w:t>
      </w:r>
    </w:p>
    <w:p w14:paraId="692AA59F">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（2）投标人名单和评标委员会成员名单；</w:t>
      </w:r>
    </w:p>
    <w:p w14:paraId="249F2E18">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（3）开标评审方法和标准；</w:t>
      </w:r>
    </w:p>
    <w:p w14:paraId="4AA7034F">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（4）开标评审记录和评审情况及说明，包括投标无效投标人名单及原因；</w:t>
      </w:r>
    </w:p>
    <w:p w14:paraId="73424C22">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（5）评审结果和中标候选投标人排序表；</w:t>
      </w:r>
    </w:p>
    <w:p w14:paraId="2EFE0BA9">
      <w:pPr>
        <w:autoSpaceDE w:val="0"/>
        <w:autoSpaceDN w:val="0"/>
        <w:adjustRightInd w:val="0"/>
        <w:spacing w:line="360" w:lineRule="auto"/>
        <w:jc w:val="left"/>
        <w:rPr>
          <w:rFonts w:ascii="宋体" w:hAnsi="宋体" w:eastAsia="宋体" w:cs="宋体"/>
          <w:color w:val="auto"/>
          <w:szCs w:val="24"/>
          <w:highlight w:val="none"/>
          <w:lang w:val="zh-CN"/>
        </w:rPr>
      </w:pPr>
      <w:r>
        <w:rPr>
          <w:rFonts w:hint="eastAsia" w:ascii="宋体" w:hAnsi="宋体" w:eastAsia="宋体" w:cs="宋体"/>
          <w:color w:val="auto"/>
          <w:kern w:val="0"/>
          <w:szCs w:val="24"/>
          <w:highlight w:val="none"/>
          <w:lang w:val="zh-CN"/>
        </w:rPr>
        <w:t>（6）评标委员会的推荐</w:t>
      </w:r>
      <w:r>
        <w:rPr>
          <w:rFonts w:hint="eastAsia" w:ascii="宋体" w:hAnsi="宋体" w:eastAsia="宋体" w:cs="宋体"/>
          <w:color w:val="auto"/>
          <w:szCs w:val="24"/>
          <w:highlight w:val="none"/>
          <w:lang w:val="zh-CN"/>
        </w:rPr>
        <w:t>建议。</w:t>
      </w:r>
    </w:p>
    <w:p w14:paraId="46A7EFD9">
      <w:pPr>
        <w:autoSpaceDE w:val="0"/>
        <w:autoSpaceDN w:val="0"/>
        <w:adjustRightInd w:val="0"/>
        <w:spacing w:line="360" w:lineRule="auto"/>
        <w:jc w:val="center"/>
        <w:rPr>
          <w:rFonts w:ascii="宋体" w:hAnsi="宋体" w:eastAsia="宋体" w:cs="宋体"/>
          <w:b/>
          <w:bCs/>
          <w:color w:val="auto"/>
          <w:sz w:val="28"/>
          <w:szCs w:val="28"/>
          <w:highlight w:val="none"/>
          <w:lang w:val="zh-CN"/>
        </w:rPr>
      </w:pPr>
    </w:p>
    <w:p w14:paraId="2C05BC9F">
      <w:pPr>
        <w:autoSpaceDE w:val="0"/>
        <w:autoSpaceDN w:val="0"/>
        <w:adjustRightInd w:val="0"/>
        <w:spacing w:line="360" w:lineRule="auto"/>
        <w:jc w:val="center"/>
        <w:rPr>
          <w:rFonts w:ascii="宋体" w:hAnsi="宋体" w:eastAsia="宋体" w:cs="宋体"/>
          <w:b/>
          <w:bCs/>
          <w:color w:val="auto"/>
          <w:sz w:val="30"/>
          <w:szCs w:val="30"/>
          <w:highlight w:val="none"/>
          <w:lang w:val="zh-CN"/>
        </w:rPr>
      </w:pPr>
      <w:bookmarkStart w:id="715" w:name="_Toc23773_WPSOffice_Level1"/>
      <w:r>
        <w:rPr>
          <w:rFonts w:hint="eastAsia" w:ascii="宋体" w:hAnsi="宋体" w:eastAsia="宋体" w:cs="宋体"/>
          <w:b/>
          <w:bCs/>
          <w:color w:val="auto"/>
          <w:sz w:val="28"/>
          <w:szCs w:val="28"/>
          <w:highlight w:val="none"/>
          <w:lang w:val="zh-CN"/>
        </w:rPr>
        <w:t>七、注意事项</w:t>
      </w:r>
      <w:bookmarkEnd w:id="715"/>
    </w:p>
    <w:p w14:paraId="35F31E58">
      <w:pPr>
        <w:autoSpaceDE w:val="0"/>
        <w:autoSpaceDN w:val="0"/>
        <w:adjustRightInd w:val="0"/>
        <w:spacing w:line="360" w:lineRule="auto"/>
        <w:ind w:left="420" w:hanging="420" w:hanging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w:t>
      </w:r>
      <w:r>
        <w:rPr>
          <w:rFonts w:ascii="宋体" w:hAnsi="宋体" w:eastAsia="宋体" w:cs="宋体"/>
          <w:color w:val="auto"/>
          <w:szCs w:val="24"/>
          <w:highlight w:val="none"/>
          <w:lang w:val="zh-CN"/>
        </w:rPr>
        <w:t>5</w:t>
      </w:r>
      <w:r>
        <w:rPr>
          <w:rFonts w:hint="eastAsia" w:ascii="宋体" w:hAnsi="宋体" w:eastAsia="宋体" w:cs="宋体"/>
          <w:color w:val="auto"/>
          <w:szCs w:val="24"/>
          <w:highlight w:val="none"/>
          <w:lang w:val="zh-CN"/>
        </w:rPr>
        <w:t>、为确保评审工作的顺利进行，防止因泄密或其它意外而造成的不良后果及影响，凡参加评审工作的人员都必须认真执行本规定：</w:t>
      </w:r>
    </w:p>
    <w:p w14:paraId="7E4C1223">
      <w:pPr>
        <w:autoSpaceDE w:val="0"/>
        <w:autoSpaceDN w:val="0"/>
        <w:adjustRightInd w:val="0"/>
        <w:spacing w:line="360" w:lineRule="auto"/>
        <w:ind w:left="436" w:leftChars="-59" w:hanging="560" w:hangingChars="2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（1）在评审工作期间，所有分发的投标文件、资料等仅限于在评审场所中使用，不得带往其它地方，所有的招标文件、投标文件、资料等一律编号登记；</w:t>
      </w:r>
    </w:p>
    <w:p w14:paraId="5DCB01A3">
      <w:pPr>
        <w:autoSpaceDE w:val="0"/>
        <w:autoSpaceDN w:val="0"/>
        <w:adjustRightInd w:val="0"/>
        <w:spacing w:line="360" w:lineRule="auto"/>
        <w:ind w:left="436" w:leftChars="-59" w:hanging="560" w:hangingChars="2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（2）评审人员及工作人员不得在公共场合谈论有关评审内容；</w:t>
      </w:r>
    </w:p>
    <w:p w14:paraId="5E721436">
      <w:pPr>
        <w:autoSpaceDE w:val="0"/>
        <w:autoSpaceDN w:val="0"/>
        <w:adjustRightInd w:val="0"/>
        <w:spacing w:line="360" w:lineRule="auto"/>
        <w:ind w:left="436" w:leftChars="-59" w:hanging="560" w:hangingChars="2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评审人员及工作人员不得以书信、电讯、口述等方式将有关评审内容（如资料、投标文件、投标报价、评审方式、评标委员会的决定、评审组织机构、评审人员名单等）披露给未参加评审的任何无关人员，包括上级领导、同级和下级人员，任何与评审无关的人员（包括亲朋好友和同事）不得进入评审场所；</w:t>
      </w:r>
    </w:p>
    <w:p w14:paraId="6C3B71A8">
      <w:pPr>
        <w:autoSpaceDE w:val="0"/>
        <w:autoSpaceDN w:val="0"/>
        <w:adjustRightInd w:val="0"/>
        <w:spacing w:line="360" w:lineRule="auto"/>
        <w:ind w:left="436" w:leftChars="-59" w:hanging="560" w:hangingChars="2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w:t>
      </w:r>
      <w:r>
        <w:rPr>
          <w:rFonts w:hint="eastAsia" w:ascii="宋体" w:hAnsi="宋体" w:eastAsia="宋体" w:cs="宋体"/>
          <w:color w:val="auto"/>
          <w:szCs w:val="24"/>
          <w:highlight w:val="none"/>
          <w:lang w:val="en-US" w:eastAsia="zh-CN"/>
        </w:rPr>
        <w:t>如有需要举行</w:t>
      </w:r>
      <w:r>
        <w:rPr>
          <w:rFonts w:hint="eastAsia" w:ascii="宋体" w:hAnsi="宋体" w:eastAsia="宋体" w:cs="宋体"/>
          <w:color w:val="auto"/>
          <w:szCs w:val="24"/>
          <w:highlight w:val="none"/>
          <w:lang w:val="zh-CN"/>
        </w:rPr>
        <w:t>澄清会</w:t>
      </w:r>
      <w:r>
        <w:rPr>
          <w:rFonts w:hint="eastAsia" w:ascii="宋体" w:hAnsi="宋体" w:eastAsia="宋体" w:cs="宋体"/>
          <w:color w:val="auto"/>
          <w:szCs w:val="24"/>
          <w:highlight w:val="none"/>
          <w:lang w:val="en-US" w:eastAsia="zh-CN"/>
        </w:rPr>
        <w:t>，</w:t>
      </w:r>
      <w:r>
        <w:rPr>
          <w:rFonts w:hint="eastAsia" w:ascii="宋体" w:hAnsi="宋体" w:eastAsia="宋体" w:cs="宋体"/>
          <w:color w:val="auto"/>
          <w:szCs w:val="24"/>
          <w:highlight w:val="none"/>
          <w:lang w:val="zh-CN"/>
        </w:rPr>
        <w:t>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14:paraId="451FAFA9">
      <w:pPr>
        <w:widowControl/>
        <w:jc w:val="left"/>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（5）任何评审人员和工作人员不得对外公布评审的一切内容。</w:t>
      </w:r>
      <w:bookmarkEnd w:id="672"/>
      <w:bookmarkEnd w:id="690"/>
      <w:bookmarkEnd w:id="691"/>
      <w:bookmarkEnd w:id="692"/>
    </w:p>
    <w:sectPr>
      <w:pgSz w:w="12240" w:h="15840"/>
      <w:pgMar w:top="1191" w:right="1043" w:bottom="1191" w:left="1043" w:header="720"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ˎ̥">
    <w:altName w:val="Times New Roman"/>
    <w:panose1 w:val="00000000000000000000"/>
    <w:charset w:val="01"/>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rutigerNext LT Light">
    <w:altName w:val="宋体"/>
    <w:panose1 w:val="00000000000000000000"/>
    <w:charset w:val="86"/>
    <w:family w:val="swiss"/>
    <w:pitch w:val="default"/>
    <w:sig w:usb0="00000000" w:usb1="00000000" w:usb2="00000010" w:usb3="00000000" w:csb0="00040001" w:csb1="00000000"/>
  </w:font>
  <w:font w:name="Wingdings 2">
    <w:panose1 w:val="05020102010507070707"/>
    <w:charset w:val="02"/>
    <w:family w:val="roman"/>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09B7B">
    <w:pPr>
      <w:pStyle w:val="25"/>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21</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30</w:t>
    </w:r>
    <w:r>
      <w:rPr>
        <w:bCs/>
        <w:sz w:val="24"/>
        <w:szCs w:val="24"/>
      </w:rPr>
      <w:fldChar w:fldCharType="end"/>
    </w:r>
    <w:r>
      <w:rPr>
        <w:b/>
        <w:bCs/>
        <w:sz w:val="24"/>
        <w:szCs w:val="24"/>
      </w:rPr>
      <w:t xml:space="preserve"> </w:t>
    </w:r>
    <w:r>
      <w:rPr>
        <w:rFonts w:hint="eastAsia"/>
      </w:rPr>
      <w:t>页</w:t>
    </w:r>
  </w:p>
  <w:p w14:paraId="73324E55">
    <w:pPr>
      <w:pStyle w:val="2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43928">
    <w:pPr>
      <w:pStyle w:val="25"/>
      <w:jc w:val="center"/>
    </w:pPr>
    <w:r>
      <w:rPr>
        <w:rFonts w:hint="eastAsia"/>
      </w:rPr>
      <w:t>第</w:t>
    </w:r>
    <w:r>
      <w:rPr>
        <w:bCs/>
      </w:rPr>
      <w:fldChar w:fldCharType="begin"/>
    </w:r>
    <w:r>
      <w:rPr>
        <w:bCs/>
      </w:rPr>
      <w:instrText xml:space="preserve">PAGE</w:instrText>
    </w:r>
    <w:r>
      <w:rPr>
        <w:bCs/>
      </w:rPr>
      <w:fldChar w:fldCharType="separate"/>
    </w:r>
    <w:r>
      <w:rPr>
        <w:bCs/>
      </w:rPr>
      <w:t>1</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w:t>
    </w:r>
    <w:r>
      <w:rPr>
        <w:bCs/>
      </w:rPr>
      <w:fldChar w:fldCharType="end"/>
    </w:r>
    <w:r>
      <w:rPr>
        <w:rFonts w:hint="eastAsia"/>
        <w:bCs/>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73EEC">
    <w:pPr>
      <w:pStyle w:val="25"/>
      <w:jc w:val="center"/>
    </w:pPr>
    <w:r>
      <w:rPr>
        <w:rFonts w:hint="eastAsia"/>
      </w:rPr>
      <w:t>第</w:t>
    </w:r>
    <w:r>
      <w:rPr>
        <w:bCs/>
      </w:rPr>
      <w:fldChar w:fldCharType="begin"/>
    </w:r>
    <w:r>
      <w:rPr>
        <w:bCs/>
      </w:rPr>
      <w:instrText xml:space="preserve">PAGE</w:instrText>
    </w:r>
    <w:r>
      <w:rPr>
        <w:bCs/>
      </w:rPr>
      <w:fldChar w:fldCharType="separate"/>
    </w:r>
    <w:r>
      <w:rPr>
        <w:bCs/>
      </w:rPr>
      <w:t>25</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69</w:t>
    </w:r>
    <w:r>
      <w:rPr>
        <w:bCs/>
      </w:rPr>
      <w:fldChar w:fldCharType="end"/>
    </w:r>
    <w:r>
      <w:rPr>
        <w:rFonts w:hint="eastAsia"/>
        <w:bCs/>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8435A">
    <w:pPr>
      <w:pStyle w:val="25"/>
      <w:jc w:val="center"/>
    </w:pPr>
    <w:r>
      <w:rPr>
        <w:rFonts w:hint="eastAsia"/>
      </w:rPr>
      <w:t>第</w:t>
    </w:r>
    <w:r>
      <w:rPr>
        <w:bCs/>
      </w:rPr>
      <w:fldChar w:fldCharType="begin"/>
    </w:r>
    <w:r>
      <w:rPr>
        <w:bCs/>
      </w:rPr>
      <w:instrText xml:space="preserve">PAGE</w:instrText>
    </w:r>
    <w:r>
      <w:rPr>
        <w:bCs/>
      </w:rPr>
      <w:fldChar w:fldCharType="separate"/>
    </w:r>
    <w:r>
      <w:rPr>
        <w:bCs/>
      </w:rPr>
      <w:t>1</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69</w:t>
    </w:r>
    <w:r>
      <w:rPr>
        <w:bCs/>
      </w:rPr>
      <w:fldChar w:fldCharType="end"/>
    </w:r>
    <w:r>
      <w:rPr>
        <w:rFonts w:hint="eastAsia"/>
        <w:bCs/>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6C26F">
    <w:pPr>
      <w:pStyle w:val="25"/>
      <w:jc w:val="center"/>
    </w:pPr>
    <w:r>
      <w:rPr>
        <w:rFonts w:hint="eastAsia"/>
      </w:rPr>
      <w:t>第</w:t>
    </w:r>
    <w:r>
      <w:rPr>
        <w:bCs/>
      </w:rPr>
      <w:fldChar w:fldCharType="begin"/>
    </w:r>
    <w:r>
      <w:rPr>
        <w:bCs/>
      </w:rPr>
      <w:instrText xml:space="preserve">PAGE</w:instrText>
    </w:r>
    <w:r>
      <w:rPr>
        <w:bCs/>
      </w:rPr>
      <w:fldChar w:fldCharType="separate"/>
    </w:r>
    <w:r>
      <w:rPr>
        <w:bCs/>
      </w:rPr>
      <w:t>40</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40</w:t>
    </w:r>
    <w:r>
      <w:rPr>
        <w:bCs/>
      </w:rPr>
      <w:fldChar w:fldCharType="end"/>
    </w:r>
    <w:r>
      <w:rPr>
        <w:rFonts w:hint="eastAsia"/>
        <w:bCs/>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5C44C">
    <w:pPr>
      <w:pStyle w:val="25"/>
      <w:jc w:val="center"/>
    </w:pPr>
    <w:r>
      <w:rPr>
        <w:rFonts w:hint="eastAsia"/>
      </w:rPr>
      <w:t>第</w:t>
    </w:r>
    <w:r>
      <w:rPr>
        <w:bCs/>
      </w:rPr>
      <w:fldChar w:fldCharType="begin"/>
    </w:r>
    <w:r>
      <w:rPr>
        <w:bCs/>
      </w:rPr>
      <w:instrText xml:space="preserve">PAGE</w:instrText>
    </w:r>
    <w:r>
      <w:rPr>
        <w:bCs/>
      </w:rPr>
      <w:fldChar w:fldCharType="separate"/>
    </w:r>
    <w:r>
      <w:rPr>
        <w:bCs/>
      </w:rPr>
      <w:t>49</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49</w:t>
    </w:r>
    <w:r>
      <w:rPr>
        <w:bCs/>
      </w:rPr>
      <w:fldChar w:fldCharType="end"/>
    </w:r>
    <w:r>
      <w:rPr>
        <w:rFonts w:hint="eastAsia"/>
        <w:bCs/>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14F2">
    <w:pPr>
      <w:pStyle w:val="25"/>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66</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68</w:t>
    </w:r>
    <w:r>
      <w:rPr>
        <w:bCs/>
        <w:sz w:val="24"/>
        <w:szCs w:val="24"/>
      </w:rPr>
      <w:fldChar w:fldCharType="end"/>
    </w:r>
    <w:r>
      <w:rPr>
        <w:b/>
        <w:bCs/>
        <w:sz w:val="24"/>
        <w:szCs w:val="24"/>
      </w:rPr>
      <w:t xml:space="preserve"> </w:t>
    </w:r>
    <w:r>
      <w:rPr>
        <w:rFonts w:hint="eastAsia"/>
      </w:rPr>
      <w:t>页</w:t>
    </w:r>
  </w:p>
  <w:p w14:paraId="47535031">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13C2E8"/>
    <w:multiLevelType w:val="singleLevel"/>
    <w:tmpl w:val="A813C2E8"/>
    <w:lvl w:ilvl="0" w:tentative="0">
      <w:start w:val="3"/>
      <w:numFmt w:val="decimal"/>
      <w:suff w:val="nothing"/>
      <w:lvlText w:val="%1、"/>
      <w:lvlJc w:val="left"/>
    </w:lvl>
  </w:abstractNum>
  <w:abstractNum w:abstractNumId="1">
    <w:nsid w:val="2E6EED75"/>
    <w:multiLevelType w:val="multilevel"/>
    <w:tmpl w:val="2E6EED75"/>
    <w:lvl w:ilvl="0" w:tentative="0">
      <w:start w:val="1"/>
      <w:numFmt w:val="decimal"/>
      <w:suff w:val="nothing"/>
      <w:lvlText w:val="（%1）"/>
      <w:lvlJc w:val="left"/>
      <w:pPr>
        <w:ind w:left="0" w:firstLine="0"/>
      </w:pPr>
      <w:rPr>
        <w:rFonts w:hint="default" w:ascii="宋体" w:hAnsi="宋体" w:eastAsia="宋体" w:cs="宋体"/>
        <w:sz w:val="21"/>
        <w:szCs w:val="21"/>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F8D6FBB"/>
    <w:multiLevelType w:val="multilevel"/>
    <w:tmpl w:val="2F8D6FBB"/>
    <w:lvl w:ilvl="0" w:tentative="0">
      <w:start w:val="1"/>
      <w:numFmt w:val="decimal"/>
      <w:lvlText w:val="%1."/>
      <w:legacy w:legacy="1" w:legacySpace="0" w:legacyIndent="360"/>
      <w:lvlJc w:val="left"/>
      <w:rPr>
        <w:rFonts w:hint="eastAsia" w:ascii="宋体" w:hAnsi="宋体" w:eastAsia="宋体"/>
      </w:rPr>
    </w:lvl>
    <w:lvl w:ilvl="1" w:tentative="0">
      <w:start w:val="5"/>
      <w:numFmt w:val="decimal"/>
      <w:isLgl/>
      <w:lvlText w:val="%1.%2"/>
      <w:lvlJc w:val="left"/>
      <w:pPr>
        <w:tabs>
          <w:tab w:val="left" w:pos="0"/>
        </w:tabs>
        <w:ind w:left="0" w:firstLine="0"/>
      </w:pPr>
      <w:rPr>
        <w:rFonts w:hint="default"/>
      </w:rPr>
    </w:lvl>
    <w:lvl w:ilvl="2" w:tentative="0">
      <w:start w:val="1"/>
      <w:numFmt w:val="decimal"/>
      <w:isLgl/>
      <w:lvlText w:val="%1.%2.%3"/>
      <w:lvlJc w:val="left"/>
      <w:pPr>
        <w:tabs>
          <w:tab w:val="left" w:pos="0"/>
        </w:tabs>
        <w:ind w:left="0" w:firstLine="0"/>
      </w:pPr>
      <w:rPr>
        <w:rFonts w:hint="default"/>
      </w:rPr>
    </w:lvl>
    <w:lvl w:ilvl="3" w:tentative="0">
      <w:start w:val="1"/>
      <w:numFmt w:val="decimal"/>
      <w:isLgl/>
      <w:lvlText w:val="%1.%2.%3.%4"/>
      <w:lvlJc w:val="left"/>
      <w:pPr>
        <w:tabs>
          <w:tab w:val="left" w:pos="0"/>
        </w:tabs>
        <w:ind w:left="0" w:firstLine="0"/>
      </w:pPr>
      <w:rPr>
        <w:rFonts w:hint="default"/>
      </w:rPr>
    </w:lvl>
    <w:lvl w:ilvl="4" w:tentative="0">
      <w:start w:val="1"/>
      <w:numFmt w:val="decimal"/>
      <w:isLgl/>
      <w:lvlText w:val="%1.%2.%3.%4.%5"/>
      <w:lvlJc w:val="left"/>
      <w:pPr>
        <w:tabs>
          <w:tab w:val="left" w:pos="0"/>
        </w:tabs>
        <w:ind w:left="0" w:firstLine="0"/>
      </w:pPr>
      <w:rPr>
        <w:rFonts w:hint="default"/>
      </w:rPr>
    </w:lvl>
    <w:lvl w:ilvl="5" w:tentative="0">
      <w:start w:val="1"/>
      <w:numFmt w:val="decimal"/>
      <w:isLgl/>
      <w:lvlText w:val="%1.%2.%3.%4.%5.%6"/>
      <w:lvlJc w:val="left"/>
      <w:pPr>
        <w:tabs>
          <w:tab w:val="left" w:pos="0"/>
        </w:tabs>
        <w:ind w:left="0" w:firstLine="0"/>
      </w:pPr>
      <w:rPr>
        <w:rFonts w:hint="default"/>
      </w:rPr>
    </w:lvl>
    <w:lvl w:ilvl="6" w:tentative="0">
      <w:start w:val="1"/>
      <w:numFmt w:val="decimal"/>
      <w:isLgl/>
      <w:lvlText w:val="%1.%2.%3.%4.%5.%6.%7"/>
      <w:lvlJc w:val="left"/>
      <w:pPr>
        <w:tabs>
          <w:tab w:val="left" w:pos="0"/>
        </w:tabs>
        <w:ind w:left="0" w:firstLine="0"/>
      </w:pPr>
      <w:rPr>
        <w:rFonts w:hint="default"/>
      </w:rPr>
    </w:lvl>
    <w:lvl w:ilvl="7" w:tentative="0">
      <w:start w:val="1"/>
      <w:numFmt w:val="decimal"/>
      <w:isLgl/>
      <w:lvlText w:val="%1.%2.%3.%4.%5.%6.%7.%8"/>
      <w:lvlJc w:val="left"/>
      <w:pPr>
        <w:tabs>
          <w:tab w:val="left" w:pos="0"/>
        </w:tabs>
        <w:ind w:left="0" w:firstLine="0"/>
      </w:pPr>
      <w:rPr>
        <w:rFonts w:hint="default"/>
      </w:rPr>
    </w:lvl>
    <w:lvl w:ilvl="8" w:tentative="0">
      <w:start w:val="1"/>
      <w:numFmt w:val="decimal"/>
      <w:isLgl/>
      <w:lvlText w:val="%1.%2.%3.%4.%5.%6.%7.%8.%9"/>
      <w:lvlJc w:val="left"/>
      <w:pPr>
        <w:tabs>
          <w:tab w:val="left" w:pos="0"/>
        </w:tabs>
        <w:ind w:left="0" w:firstLine="0"/>
      </w:pPr>
      <w:rPr>
        <w:rFonts w:hint="default"/>
      </w:rPr>
    </w:lvl>
  </w:abstractNum>
  <w:abstractNum w:abstractNumId="3">
    <w:nsid w:val="442A3BA7"/>
    <w:multiLevelType w:val="multilevel"/>
    <w:tmpl w:val="442A3BA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yZWI5YjRiYzU5ZTE3ZDcxMmVkNTNhNmMzMjNkZjMifQ=="/>
  </w:docVars>
  <w:rsids>
    <w:rsidRoot w:val="001E63B6"/>
    <w:rsid w:val="000011AE"/>
    <w:rsid w:val="00004430"/>
    <w:rsid w:val="00006AEC"/>
    <w:rsid w:val="00015A2E"/>
    <w:rsid w:val="000245A6"/>
    <w:rsid w:val="0002570D"/>
    <w:rsid w:val="00027708"/>
    <w:rsid w:val="00035595"/>
    <w:rsid w:val="00040BE6"/>
    <w:rsid w:val="00040F92"/>
    <w:rsid w:val="00046C4B"/>
    <w:rsid w:val="00052FA1"/>
    <w:rsid w:val="00054A52"/>
    <w:rsid w:val="00054D9C"/>
    <w:rsid w:val="000622F9"/>
    <w:rsid w:val="000640CD"/>
    <w:rsid w:val="00073043"/>
    <w:rsid w:val="000768C6"/>
    <w:rsid w:val="000770B9"/>
    <w:rsid w:val="0008097F"/>
    <w:rsid w:val="00084D8D"/>
    <w:rsid w:val="000853A8"/>
    <w:rsid w:val="00086BE3"/>
    <w:rsid w:val="00094AF8"/>
    <w:rsid w:val="000A31BD"/>
    <w:rsid w:val="000A34F7"/>
    <w:rsid w:val="000A65CD"/>
    <w:rsid w:val="000A73D7"/>
    <w:rsid w:val="000B4B09"/>
    <w:rsid w:val="000C1661"/>
    <w:rsid w:val="000C18B7"/>
    <w:rsid w:val="000C5D06"/>
    <w:rsid w:val="000C6A11"/>
    <w:rsid w:val="000D0B5D"/>
    <w:rsid w:val="000D5537"/>
    <w:rsid w:val="000D75D3"/>
    <w:rsid w:val="000E3ECA"/>
    <w:rsid w:val="000E4A4F"/>
    <w:rsid w:val="000E4D54"/>
    <w:rsid w:val="000F0A84"/>
    <w:rsid w:val="001059DC"/>
    <w:rsid w:val="0010738F"/>
    <w:rsid w:val="0011440A"/>
    <w:rsid w:val="00114519"/>
    <w:rsid w:val="001233ED"/>
    <w:rsid w:val="00127946"/>
    <w:rsid w:val="00131E91"/>
    <w:rsid w:val="001450A8"/>
    <w:rsid w:val="001523C0"/>
    <w:rsid w:val="00152F07"/>
    <w:rsid w:val="0015711A"/>
    <w:rsid w:val="001644BA"/>
    <w:rsid w:val="001647C7"/>
    <w:rsid w:val="00165203"/>
    <w:rsid w:val="00166309"/>
    <w:rsid w:val="00170004"/>
    <w:rsid w:val="00174AE6"/>
    <w:rsid w:val="001758D3"/>
    <w:rsid w:val="00177B51"/>
    <w:rsid w:val="0018078B"/>
    <w:rsid w:val="00183284"/>
    <w:rsid w:val="00183344"/>
    <w:rsid w:val="0019682B"/>
    <w:rsid w:val="001A1FCB"/>
    <w:rsid w:val="001A669E"/>
    <w:rsid w:val="001B74B3"/>
    <w:rsid w:val="001C2086"/>
    <w:rsid w:val="001C4AC2"/>
    <w:rsid w:val="001C6FAA"/>
    <w:rsid w:val="001D00B3"/>
    <w:rsid w:val="001D5A65"/>
    <w:rsid w:val="001D6B15"/>
    <w:rsid w:val="001E4158"/>
    <w:rsid w:val="001E6227"/>
    <w:rsid w:val="001E63B6"/>
    <w:rsid w:val="001E6DD8"/>
    <w:rsid w:val="001F0290"/>
    <w:rsid w:val="001F6A01"/>
    <w:rsid w:val="00202DB9"/>
    <w:rsid w:val="00215B7A"/>
    <w:rsid w:val="00223D5B"/>
    <w:rsid w:val="0022528C"/>
    <w:rsid w:val="002258BB"/>
    <w:rsid w:val="00225B7D"/>
    <w:rsid w:val="002260FC"/>
    <w:rsid w:val="002315B7"/>
    <w:rsid w:val="002347FE"/>
    <w:rsid w:val="0024360C"/>
    <w:rsid w:val="002451A7"/>
    <w:rsid w:val="00247373"/>
    <w:rsid w:val="00260C05"/>
    <w:rsid w:val="00261575"/>
    <w:rsid w:val="00262407"/>
    <w:rsid w:val="00275E0E"/>
    <w:rsid w:val="0028146F"/>
    <w:rsid w:val="002831F6"/>
    <w:rsid w:val="00290CBF"/>
    <w:rsid w:val="0029590E"/>
    <w:rsid w:val="002A3EB3"/>
    <w:rsid w:val="002B1734"/>
    <w:rsid w:val="002B5DBC"/>
    <w:rsid w:val="002B7423"/>
    <w:rsid w:val="002B7CA9"/>
    <w:rsid w:val="002C4A4A"/>
    <w:rsid w:val="002D0003"/>
    <w:rsid w:val="002D1442"/>
    <w:rsid w:val="002E4079"/>
    <w:rsid w:val="002F68EE"/>
    <w:rsid w:val="002F7DEF"/>
    <w:rsid w:val="003014E2"/>
    <w:rsid w:val="00302D85"/>
    <w:rsid w:val="0030753D"/>
    <w:rsid w:val="00311DA1"/>
    <w:rsid w:val="003121B1"/>
    <w:rsid w:val="0031709C"/>
    <w:rsid w:val="003223D5"/>
    <w:rsid w:val="00322AA4"/>
    <w:rsid w:val="00325EF0"/>
    <w:rsid w:val="00326230"/>
    <w:rsid w:val="00326290"/>
    <w:rsid w:val="00330DA7"/>
    <w:rsid w:val="00332C2D"/>
    <w:rsid w:val="00335872"/>
    <w:rsid w:val="003462FF"/>
    <w:rsid w:val="00347A73"/>
    <w:rsid w:val="00347CB0"/>
    <w:rsid w:val="00352495"/>
    <w:rsid w:val="00353707"/>
    <w:rsid w:val="00354BE6"/>
    <w:rsid w:val="0035524D"/>
    <w:rsid w:val="00357E51"/>
    <w:rsid w:val="003628C2"/>
    <w:rsid w:val="00364854"/>
    <w:rsid w:val="00366BB7"/>
    <w:rsid w:val="003721DF"/>
    <w:rsid w:val="003748D5"/>
    <w:rsid w:val="0037694B"/>
    <w:rsid w:val="00381E11"/>
    <w:rsid w:val="003824D1"/>
    <w:rsid w:val="00393CBD"/>
    <w:rsid w:val="00395C76"/>
    <w:rsid w:val="003A2B25"/>
    <w:rsid w:val="003A5520"/>
    <w:rsid w:val="003B077B"/>
    <w:rsid w:val="003B3342"/>
    <w:rsid w:val="003B5C9C"/>
    <w:rsid w:val="003C193B"/>
    <w:rsid w:val="003D0D72"/>
    <w:rsid w:val="003D17A4"/>
    <w:rsid w:val="003D39E2"/>
    <w:rsid w:val="003D3F68"/>
    <w:rsid w:val="003E006E"/>
    <w:rsid w:val="003E30F8"/>
    <w:rsid w:val="003E399E"/>
    <w:rsid w:val="003E6830"/>
    <w:rsid w:val="003F3875"/>
    <w:rsid w:val="003F42C0"/>
    <w:rsid w:val="003F51B0"/>
    <w:rsid w:val="004033E1"/>
    <w:rsid w:val="00405E84"/>
    <w:rsid w:val="0040607F"/>
    <w:rsid w:val="00417860"/>
    <w:rsid w:val="00420A7A"/>
    <w:rsid w:val="004235AF"/>
    <w:rsid w:val="0042558D"/>
    <w:rsid w:val="00427A89"/>
    <w:rsid w:val="0043107A"/>
    <w:rsid w:val="00432C43"/>
    <w:rsid w:val="004359C6"/>
    <w:rsid w:val="004360FC"/>
    <w:rsid w:val="004378C7"/>
    <w:rsid w:val="00437B9C"/>
    <w:rsid w:val="00437FC4"/>
    <w:rsid w:val="00441805"/>
    <w:rsid w:val="004551D1"/>
    <w:rsid w:val="0045753C"/>
    <w:rsid w:val="004577C3"/>
    <w:rsid w:val="0046038A"/>
    <w:rsid w:val="00460F3E"/>
    <w:rsid w:val="00464570"/>
    <w:rsid w:val="004761B2"/>
    <w:rsid w:val="00481AFA"/>
    <w:rsid w:val="0049337D"/>
    <w:rsid w:val="004B093D"/>
    <w:rsid w:val="004B604C"/>
    <w:rsid w:val="004E4ADE"/>
    <w:rsid w:val="004E5028"/>
    <w:rsid w:val="004E5F4E"/>
    <w:rsid w:val="004F2802"/>
    <w:rsid w:val="00500B9E"/>
    <w:rsid w:val="00503499"/>
    <w:rsid w:val="00506501"/>
    <w:rsid w:val="00507BC4"/>
    <w:rsid w:val="00513DB6"/>
    <w:rsid w:val="00524E92"/>
    <w:rsid w:val="00531E28"/>
    <w:rsid w:val="005344B1"/>
    <w:rsid w:val="005423E7"/>
    <w:rsid w:val="005572B4"/>
    <w:rsid w:val="0056010A"/>
    <w:rsid w:val="00563302"/>
    <w:rsid w:val="00571307"/>
    <w:rsid w:val="005743EA"/>
    <w:rsid w:val="00576F2E"/>
    <w:rsid w:val="00581210"/>
    <w:rsid w:val="00581FC3"/>
    <w:rsid w:val="005832B2"/>
    <w:rsid w:val="005851F1"/>
    <w:rsid w:val="005910B4"/>
    <w:rsid w:val="00596A23"/>
    <w:rsid w:val="005B735D"/>
    <w:rsid w:val="005C4A71"/>
    <w:rsid w:val="005C6F40"/>
    <w:rsid w:val="005D4119"/>
    <w:rsid w:val="005D66C2"/>
    <w:rsid w:val="005E2AC9"/>
    <w:rsid w:val="005E4D67"/>
    <w:rsid w:val="005F3D7C"/>
    <w:rsid w:val="00602D7E"/>
    <w:rsid w:val="00603BD0"/>
    <w:rsid w:val="0060555D"/>
    <w:rsid w:val="00606161"/>
    <w:rsid w:val="006062B3"/>
    <w:rsid w:val="00612EB1"/>
    <w:rsid w:val="0061352C"/>
    <w:rsid w:val="006165C8"/>
    <w:rsid w:val="006175B4"/>
    <w:rsid w:val="00617AAD"/>
    <w:rsid w:val="00621CDC"/>
    <w:rsid w:val="006229B2"/>
    <w:rsid w:val="00625E3D"/>
    <w:rsid w:val="00630B61"/>
    <w:rsid w:val="006402A6"/>
    <w:rsid w:val="00644B65"/>
    <w:rsid w:val="006530F8"/>
    <w:rsid w:val="006537BE"/>
    <w:rsid w:val="006654C0"/>
    <w:rsid w:val="00681997"/>
    <w:rsid w:val="0068405C"/>
    <w:rsid w:val="00691017"/>
    <w:rsid w:val="0069152C"/>
    <w:rsid w:val="006A29A5"/>
    <w:rsid w:val="006A2BD9"/>
    <w:rsid w:val="006A3C57"/>
    <w:rsid w:val="006A4F83"/>
    <w:rsid w:val="006A5072"/>
    <w:rsid w:val="006B5151"/>
    <w:rsid w:val="006C2D84"/>
    <w:rsid w:val="006C2F7D"/>
    <w:rsid w:val="006C3580"/>
    <w:rsid w:val="006C3F4D"/>
    <w:rsid w:val="006C6349"/>
    <w:rsid w:val="006D479F"/>
    <w:rsid w:val="006E2E51"/>
    <w:rsid w:val="006F6DB2"/>
    <w:rsid w:val="00704B3A"/>
    <w:rsid w:val="00710CF8"/>
    <w:rsid w:val="00711E08"/>
    <w:rsid w:val="007138FD"/>
    <w:rsid w:val="00716BB1"/>
    <w:rsid w:val="007172FD"/>
    <w:rsid w:val="007200C8"/>
    <w:rsid w:val="007215F6"/>
    <w:rsid w:val="00721BAA"/>
    <w:rsid w:val="00745968"/>
    <w:rsid w:val="00747A3E"/>
    <w:rsid w:val="007730C9"/>
    <w:rsid w:val="00775150"/>
    <w:rsid w:val="00776B48"/>
    <w:rsid w:val="0078099D"/>
    <w:rsid w:val="00787DE8"/>
    <w:rsid w:val="007942D8"/>
    <w:rsid w:val="00794983"/>
    <w:rsid w:val="00796ED7"/>
    <w:rsid w:val="007A7740"/>
    <w:rsid w:val="007B4F1D"/>
    <w:rsid w:val="007C002A"/>
    <w:rsid w:val="007C024B"/>
    <w:rsid w:val="007D408A"/>
    <w:rsid w:val="007D4A5A"/>
    <w:rsid w:val="007D6B20"/>
    <w:rsid w:val="007E0673"/>
    <w:rsid w:val="007E32FC"/>
    <w:rsid w:val="007F01A2"/>
    <w:rsid w:val="007F0378"/>
    <w:rsid w:val="007F2ABC"/>
    <w:rsid w:val="007F7FEC"/>
    <w:rsid w:val="0081027D"/>
    <w:rsid w:val="00817B3D"/>
    <w:rsid w:val="00822299"/>
    <w:rsid w:val="008270D5"/>
    <w:rsid w:val="008279A7"/>
    <w:rsid w:val="00831B7F"/>
    <w:rsid w:val="00847DE1"/>
    <w:rsid w:val="0085250F"/>
    <w:rsid w:val="008525D6"/>
    <w:rsid w:val="0085388E"/>
    <w:rsid w:val="00856F5E"/>
    <w:rsid w:val="008604D1"/>
    <w:rsid w:val="008659E9"/>
    <w:rsid w:val="0087095D"/>
    <w:rsid w:val="00871835"/>
    <w:rsid w:val="00871F12"/>
    <w:rsid w:val="00875420"/>
    <w:rsid w:val="00876184"/>
    <w:rsid w:val="00880A50"/>
    <w:rsid w:val="00884732"/>
    <w:rsid w:val="0089007C"/>
    <w:rsid w:val="008928AE"/>
    <w:rsid w:val="00893092"/>
    <w:rsid w:val="00894583"/>
    <w:rsid w:val="008A4C9B"/>
    <w:rsid w:val="008B08C5"/>
    <w:rsid w:val="008B6384"/>
    <w:rsid w:val="008B6557"/>
    <w:rsid w:val="008B74A7"/>
    <w:rsid w:val="008C02C2"/>
    <w:rsid w:val="008C1CB3"/>
    <w:rsid w:val="008C7F21"/>
    <w:rsid w:val="008D1795"/>
    <w:rsid w:val="008D4357"/>
    <w:rsid w:val="008D565D"/>
    <w:rsid w:val="008D6357"/>
    <w:rsid w:val="008E5EA1"/>
    <w:rsid w:val="008E6AB7"/>
    <w:rsid w:val="008F13C0"/>
    <w:rsid w:val="008F38EE"/>
    <w:rsid w:val="009001CB"/>
    <w:rsid w:val="009004F6"/>
    <w:rsid w:val="009077A0"/>
    <w:rsid w:val="009113DE"/>
    <w:rsid w:val="00913121"/>
    <w:rsid w:val="009171D5"/>
    <w:rsid w:val="00917709"/>
    <w:rsid w:val="00917C84"/>
    <w:rsid w:val="009220F2"/>
    <w:rsid w:val="009227C1"/>
    <w:rsid w:val="00923EDB"/>
    <w:rsid w:val="00925D9A"/>
    <w:rsid w:val="00926978"/>
    <w:rsid w:val="00930024"/>
    <w:rsid w:val="00932BD9"/>
    <w:rsid w:val="0094670F"/>
    <w:rsid w:val="009479D0"/>
    <w:rsid w:val="00961BA9"/>
    <w:rsid w:val="00967923"/>
    <w:rsid w:val="009701D2"/>
    <w:rsid w:val="00970774"/>
    <w:rsid w:val="00972FAE"/>
    <w:rsid w:val="0097462A"/>
    <w:rsid w:val="00986292"/>
    <w:rsid w:val="00987779"/>
    <w:rsid w:val="009A2AA5"/>
    <w:rsid w:val="009A63FB"/>
    <w:rsid w:val="009B55D4"/>
    <w:rsid w:val="009B787A"/>
    <w:rsid w:val="009B7A49"/>
    <w:rsid w:val="009B7AD9"/>
    <w:rsid w:val="009C387D"/>
    <w:rsid w:val="009C571F"/>
    <w:rsid w:val="009D0461"/>
    <w:rsid w:val="009D4188"/>
    <w:rsid w:val="009D4EFC"/>
    <w:rsid w:val="009D7FA3"/>
    <w:rsid w:val="009E216D"/>
    <w:rsid w:val="009E6283"/>
    <w:rsid w:val="009E63CA"/>
    <w:rsid w:val="009F34CB"/>
    <w:rsid w:val="009F7460"/>
    <w:rsid w:val="00A03E44"/>
    <w:rsid w:val="00A075A8"/>
    <w:rsid w:val="00A10A7B"/>
    <w:rsid w:val="00A15F6A"/>
    <w:rsid w:val="00A311C2"/>
    <w:rsid w:val="00A32233"/>
    <w:rsid w:val="00A36A24"/>
    <w:rsid w:val="00A376FB"/>
    <w:rsid w:val="00A45306"/>
    <w:rsid w:val="00A45D73"/>
    <w:rsid w:val="00A62F8C"/>
    <w:rsid w:val="00A64725"/>
    <w:rsid w:val="00A6666A"/>
    <w:rsid w:val="00A73490"/>
    <w:rsid w:val="00A819B6"/>
    <w:rsid w:val="00A91C8B"/>
    <w:rsid w:val="00A95824"/>
    <w:rsid w:val="00AB2EDC"/>
    <w:rsid w:val="00AB47F4"/>
    <w:rsid w:val="00AC136E"/>
    <w:rsid w:val="00AC1F6A"/>
    <w:rsid w:val="00AC413D"/>
    <w:rsid w:val="00AD3A9D"/>
    <w:rsid w:val="00AD79D3"/>
    <w:rsid w:val="00AE5434"/>
    <w:rsid w:val="00AE6DBF"/>
    <w:rsid w:val="00AE75DB"/>
    <w:rsid w:val="00B0092D"/>
    <w:rsid w:val="00B01C60"/>
    <w:rsid w:val="00B01D22"/>
    <w:rsid w:val="00B03A00"/>
    <w:rsid w:val="00B0445D"/>
    <w:rsid w:val="00B0447C"/>
    <w:rsid w:val="00B05E53"/>
    <w:rsid w:val="00B072AA"/>
    <w:rsid w:val="00B10650"/>
    <w:rsid w:val="00B10E08"/>
    <w:rsid w:val="00B11436"/>
    <w:rsid w:val="00B12341"/>
    <w:rsid w:val="00B25D19"/>
    <w:rsid w:val="00B359D9"/>
    <w:rsid w:val="00B35BC7"/>
    <w:rsid w:val="00B40B8B"/>
    <w:rsid w:val="00B4404D"/>
    <w:rsid w:val="00B50993"/>
    <w:rsid w:val="00B63168"/>
    <w:rsid w:val="00B63E9B"/>
    <w:rsid w:val="00B64963"/>
    <w:rsid w:val="00B70085"/>
    <w:rsid w:val="00B7099F"/>
    <w:rsid w:val="00B71873"/>
    <w:rsid w:val="00B72A5D"/>
    <w:rsid w:val="00B736B7"/>
    <w:rsid w:val="00B73C45"/>
    <w:rsid w:val="00B82E01"/>
    <w:rsid w:val="00B84DD7"/>
    <w:rsid w:val="00B91811"/>
    <w:rsid w:val="00B94460"/>
    <w:rsid w:val="00B9561A"/>
    <w:rsid w:val="00BA437F"/>
    <w:rsid w:val="00BA5C29"/>
    <w:rsid w:val="00BB6C9A"/>
    <w:rsid w:val="00BC0594"/>
    <w:rsid w:val="00BC11FC"/>
    <w:rsid w:val="00BC1F54"/>
    <w:rsid w:val="00BC4C9D"/>
    <w:rsid w:val="00BC54FC"/>
    <w:rsid w:val="00BD2118"/>
    <w:rsid w:val="00BD5092"/>
    <w:rsid w:val="00BD5997"/>
    <w:rsid w:val="00BE6F50"/>
    <w:rsid w:val="00BF1BA3"/>
    <w:rsid w:val="00BF588D"/>
    <w:rsid w:val="00C03447"/>
    <w:rsid w:val="00C07EF5"/>
    <w:rsid w:val="00C128FE"/>
    <w:rsid w:val="00C13304"/>
    <w:rsid w:val="00C1777A"/>
    <w:rsid w:val="00C212E3"/>
    <w:rsid w:val="00C22FAE"/>
    <w:rsid w:val="00C24C44"/>
    <w:rsid w:val="00C26B0C"/>
    <w:rsid w:val="00C30F18"/>
    <w:rsid w:val="00C331D1"/>
    <w:rsid w:val="00C35958"/>
    <w:rsid w:val="00C372A8"/>
    <w:rsid w:val="00C375FF"/>
    <w:rsid w:val="00C40848"/>
    <w:rsid w:val="00C50E47"/>
    <w:rsid w:val="00C562AA"/>
    <w:rsid w:val="00C574F4"/>
    <w:rsid w:val="00C747C6"/>
    <w:rsid w:val="00C756C3"/>
    <w:rsid w:val="00C80F66"/>
    <w:rsid w:val="00C84AE8"/>
    <w:rsid w:val="00C85D1B"/>
    <w:rsid w:val="00C96DDA"/>
    <w:rsid w:val="00CA7F1F"/>
    <w:rsid w:val="00CB5D3E"/>
    <w:rsid w:val="00CC4C46"/>
    <w:rsid w:val="00CC6AAB"/>
    <w:rsid w:val="00CC77FF"/>
    <w:rsid w:val="00CC7CF5"/>
    <w:rsid w:val="00CE3C5A"/>
    <w:rsid w:val="00CE59C6"/>
    <w:rsid w:val="00CE7586"/>
    <w:rsid w:val="00D03659"/>
    <w:rsid w:val="00D03EDF"/>
    <w:rsid w:val="00D10DC0"/>
    <w:rsid w:val="00D11555"/>
    <w:rsid w:val="00D13D6D"/>
    <w:rsid w:val="00D20C74"/>
    <w:rsid w:val="00D24FD7"/>
    <w:rsid w:val="00D25647"/>
    <w:rsid w:val="00D34FE4"/>
    <w:rsid w:val="00D377A7"/>
    <w:rsid w:val="00D44C95"/>
    <w:rsid w:val="00D452A7"/>
    <w:rsid w:val="00D4584F"/>
    <w:rsid w:val="00D54725"/>
    <w:rsid w:val="00D559FF"/>
    <w:rsid w:val="00D62B8C"/>
    <w:rsid w:val="00D63276"/>
    <w:rsid w:val="00D66F39"/>
    <w:rsid w:val="00D84B36"/>
    <w:rsid w:val="00D85853"/>
    <w:rsid w:val="00D936A0"/>
    <w:rsid w:val="00D97162"/>
    <w:rsid w:val="00D97CE9"/>
    <w:rsid w:val="00DA36E7"/>
    <w:rsid w:val="00DA4FC7"/>
    <w:rsid w:val="00DA550D"/>
    <w:rsid w:val="00DA7017"/>
    <w:rsid w:val="00DB13DD"/>
    <w:rsid w:val="00DB1B31"/>
    <w:rsid w:val="00DB1C27"/>
    <w:rsid w:val="00DB38EE"/>
    <w:rsid w:val="00DB7973"/>
    <w:rsid w:val="00DC13AB"/>
    <w:rsid w:val="00DC5EF2"/>
    <w:rsid w:val="00DC7EF7"/>
    <w:rsid w:val="00DD6B5E"/>
    <w:rsid w:val="00DD6BD4"/>
    <w:rsid w:val="00DE5E58"/>
    <w:rsid w:val="00DE7B46"/>
    <w:rsid w:val="00E0162C"/>
    <w:rsid w:val="00E11487"/>
    <w:rsid w:val="00E14ACC"/>
    <w:rsid w:val="00E15A8C"/>
    <w:rsid w:val="00E4144C"/>
    <w:rsid w:val="00E44F84"/>
    <w:rsid w:val="00E463C6"/>
    <w:rsid w:val="00E53121"/>
    <w:rsid w:val="00E5318E"/>
    <w:rsid w:val="00E53532"/>
    <w:rsid w:val="00E6034D"/>
    <w:rsid w:val="00E71967"/>
    <w:rsid w:val="00E72FDB"/>
    <w:rsid w:val="00E754B1"/>
    <w:rsid w:val="00E801B5"/>
    <w:rsid w:val="00E905E8"/>
    <w:rsid w:val="00E93F56"/>
    <w:rsid w:val="00E952D9"/>
    <w:rsid w:val="00E96773"/>
    <w:rsid w:val="00E97CB9"/>
    <w:rsid w:val="00EB27E9"/>
    <w:rsid w:val="00EB37C9"/>
    <w:rsid w:val="00EC134E"/>
    <w:rsid w:val="00ED0445"/>
    <w:rsid w:val="00ED3C3B"/>
    <w:rsid w:val="00EE48C3"/>
    <w:rsid w:val="00EF199D"/>
    <w:rsid w:val="00EF4E12"/>
    <w:rsid w:val="00EF5326"/>
    <w:rsid w:val="00EF65F3"/>
    <w:rsid w:val="00F01510"/>
    <w:rsid w:val="00F02A6D"/>
    <w:rsid w:val="00F0424C"/>
    <w:rsid w:val="00F10495"/>
    <w:rsid w:val="00F10DA8"/>
    <w:rsid w:val="00F1168A"/>
    <w:rsid w:val="00F12A10"/>
    <w:rsid w:val="00F2391C"/>
    <w:rsid w:val="00F31E30"/>
    <w:rsid w:val="00F3326F"/>
    <w:rsid w:val="00F34781"/>
    <w:rsid w:val="00F41A5D"/>
    <w:rsid w:val="00F470A2"/>
    <w:rsid w:val="00F51F93"/>
    <w:rsid w:val="00F552E5"/>
    <w:rsid w:val="00F56AA8"/>
    <w:rsid w:val="00F67C91"/>
    <w:rsid w:val="00F723F9"/>
    <w:rsid w:val="00F82315"/>
    <w:rsid w:val="00F83D3C"/>
    <w:rsid w:val="00F840D6"/>
    <w:rsid w:val="00F8691C"/>
    <w:rsid w:val="00F900BE"/>
    <w:rsid w:val="00F97392"/>
    <w:rsid w:val="00F97DF6"/>
    <w:rsid w:val="00FA4EEC"/>
    <w:rsid w:val="00FB335B"/>
    <w:rsid w:val="00FB4EAA"/>
    <w:rsid w:val="00FC5512"/>
    <w:rsid w:val="00FC6366"/>
    <w:rsid w:val="00FD0CD9"/>
    <w:rsid w:val="00FD4970"/>
    <w:rsid w:val="00FD6927"/>
    <w:rsid w:val="00FE02D9"/>
    <w:rsid w:val="00FE14F9"/>
    <w:rsid w:val="00FF2EFF"/>
    <w:rsid w:val="00FF4843"/>
    <w:rsid w:val="00FF5EEA"/>
    <w:rsid w:val="01AC75F0"/>
    <w:rsid w:val="0254639E"/>
    <w:rsid w:val="02B324B0"/>
    <w:rsid w:val="02EB239A"/>
    <w:rsid w:val="02FE5AC7"/>
    <w:rsid w:val="0361125E"/>
    <w:rsid w:val="045A2733"/>
    <w:rsid w:val="047D61C3"/>
    <w:rsid w:val="052F2A11"/>
    <w:rsid w:val="05356FB7"/>
    <w:rsid w:val="054B67E4"/>
    <w:rsid w:val="05707870"/>
    <w:rsid w:val="058F7720"/>
    <w:rsid w:val="05C50C80"/>
    <w:rsid w:val="06447858"/>
    <w:rsid w:val="064E6EC7"/>
    <w:rsid w:val="06A75D00"/>
    <w:rsid w:val="07D56CE9"/>
    <w:rsid w:val="08EC5ED4"/>
    <w:rsid w:val="0992356F"/>
    <w:rsid w:val="09DB3215"/>
    <w:rsid w:val="0A53768B"/>
    <w:rsid w:val="0A9F7200"/>
    <w:rsid w:val="0B12533A"/>
    <w:rsid w:val="0B6C781B"/>
    <w:rsid w:val="0B946D73"/>
    <w:rsid w:val="0BCD6AE0"/>
    <w:rsid w:val="0CC04ECC"/>
    <w:rsid w:val="0CF103CF"/>
    <w:rsid w:val="0F0D726A"/>
    <w:rsid w:val="0F241091"/>
    <w:rsid w:val="0FFE13F3"/>
    <w:rsid w:val="120F2547"/>
    <w:rsid w:val="12160A46"/>
    <w:rsid w:val="123C49C0"/>
    <w:rsid w:val="127777A6"/>
    <w:rsid w:val="12972CFF"/>
    <w:rsid w:val="12A0070B"/>
    <w:rsid w:val="130F4A87"/>
    <w:rsid w:val="136E0BA9"/>
    <w:rsid w:val="14FC3F43"/>
    <w:rsid w:val="16224D17"/>
    <w:rsid w:val="162930AC"/>
    <w:rsid w:val="16B54971"/>
    <w:rsid w:val="16C60CFC"/>
    <w:rsid w:val="17CF1E32"/>
    <w:rsid w:val="181E5F9F"/>
    <w:rsid w:val="187632C1"/>
    <w:rsid w:val="18B273BB"/>
    <w:rsid w:val="19100AE3"/>
    <w:rsid w:val="1A092647"/>
    <w:rsid w:val="1A15412E"/>
    <w:rsid w:val="1A93020C"/>
    <w:rsid w:val="1AA44EB0"/>
    <w:rsid w:val="1B0940FF"/>
    <w:rsid w:val="1C0A00EE"/>
    <w:rsid w:val="1C230BEF"/>
    <w:rsid w:val="1C3246ED"/>
    <w:rsid w:val="1C365FDC"/>
    <w:rsid w:val="1C455731"/>
    <w:rsid w:val="1D2465FD"/>
    <w:rsid w:val="1DE55E1B"/>
    <w:rsid w:val="1E2471AC"/>
    <w:rsid w:val="1EE4006C"/>
    <w:rsid w:val="1F55598E"/>
    <w:rsid w:val="1F6848BE"/>
    <w:rsid w:val="20167F3D"/>
    <w:rsid w:val="207A1985"/>
    <w:rsid w:val="20B1696B"/>
    <w:rsid w:val="20C43FC5"/>
    <w:rsid w:val="214B25BC"/>
    <w:rsid w:val="21A82ABD"/>
    <w:rsid w:val="220D22F3"/>
    <w:rsid w:val="220F4EBC"/>
    <w:rsid w:val="226C09A9"/>
    <w:rsid w:val="229A7086"/>
    <w:rsid w:val="23CD191B"/>
    <w:rsid w:val="23E154DE"/>
    <w:rsid w:val="24554FC5"/>
    <w:rsid w:val="24F45147"/>
    <w:rsid w:val="24F71DCD"/>
    <w:rsid w:val="252235A1"/>
    <w:rsid w:val="252F3BF3"/>
    <w:rsid w:val="262550F0"/>
    <w:rsid w:val="26A55A46"/>
    <w:rsid w:val="26E27980"/>
    <w:rsid w:val="271B20BE"/>
    <w:rsid w:val="27D55C5E"/>
    <w:rsid w:val="285D4567"/>
    <w:rsid w:val="286E02B3"/>
    <w:rsid w:val="28CD7B64"/>
    <w:rsid w:val="28DA73F5"/>
    <w:rsid w:val="293F0453"/>
    <w:rsid w:val="298C43E9"/>
    <w:rsid w:val="2A7118A4"/>
    <w:rsid w:val="2AD065E7"/>
    <w:rsid w:val="2AEF6F76"/>
    <w:rsid w:val="2AF43B8C"/>
    <w:rsid w:val="2B522994"/>
    <w:rsid w:val="2B59040F"/>
    <w:rsid w:val="2BAB242E"/>
    <w:rsid w:val="2BFF3010"/>
    <w:rsid w:val="2C334D1F"/>
    <w:rsid w:val="2C3C0BB7"/>
    <w:rsid w:val="2C85114F"/>
    <w:rsid w:val="2CA927FA"/>
    <w:rsid w:val="2CB7740E"/>
    <w:rsid w:val="2CFC2BFE"/>
    <w:rsid w:val="2DB11966"/>
    <w:rsid w:val="2E8B12CF"/>
    <w:rsid w:val="2E9372BE"/>
    <w:rsid w:val="2F095D01"/>
    <w:rsid w:val="2F3445FD"/>
    <w:rsid w:val="2FC811E9"/>
    <w:rsid w:val="305A54BE"/>
    <w:rsid w:val="30BD39F7"/>
    <w:rsid w:val="30FC265C"/>
    <w:rsid w:val="314D028A"/>
    <w:rsid w:val="31D43E75"/>
    <w:rsid w:val="32285F6F"/>
    <w:rsid w:val="329533D5"/>
    <w:rsid w:val="32960AE0"/>
    <w:rsid w:val="32C0264B"/>
    <w:rsid w:val="33420B50"/>
    <w:rsid w:val="335C4122"/>
    <w:rsid w:val="33756588"/>
    <w:rsid w:val="33DC2C79"/>
    <w:rsid w:val="34515C51"/>
    <w:rsid w:val="351F745C"/>
    <w:rsid w:val="355530AA"/>
    <w:rsid w:val="364631D7"/>
    <w:rsid w:val="368928C2"/>
    <w:rsid w:val="37650758"/>
    <w:rsid w:val="377620A8"/>
    <w:rsid w:val="37916BE9"/>
    <w:rsid w:val="37D64BA7"/>
    <w:rsid w:val="391B682D"/>
    <w:rsid w:val="397A6507"/>
    <w:rsid w:val="39A64612"/>
    <w:rsid w:val="39A93E39"/>
    <w:rsid w:val="39D25478"/>
    <w:rsid w:val="39DB12F3"/>
    <w:rsid w:val="3A211C22"/>
    <w:rsid w:val="3A303B65"/>
    <w:rsid w:val="3A7E7074"/>
    <w:rsid w:val="3AD37F25"/>
    <w:rsid w:val="3B1F29B6"/>
    <w:rsid w:val="3B8E088C"/>
    <w:rsid w:val="3B9971A7"/>
    <w:rsid w:val="3B9F5AAA"/>
    <w:rsid w:val="3BBA232E"/>
    <w:rsid w:val="3BC94759"/>
    <w:rsid w:val="3D086929"/>
    <w:rsid w:val="3D266911"/>
    <w:rsid w:val="3D5D5666"/>
    <w:rsid w:val="3DF057DF"/>
    <w:rsid w:val="3EA13963"/>
    <w:rsid w:val="3EFD0EAF"/>
    <w:rsid w:val="3F040523"/>
    <w:rsid w:val="3F59277A"/>
    <w:rsid w:val="3F5B255F"/>
    <w:rsid w:val="3F5B5BD6"/>
    <w:rsid w:val="3FA27361"/>
    <w:rsid w:val="404120E9"/>
    <w:rsid w:val="40B12930"/>
    <w:rsid w:val="41404C99"/>
    <w:rsid w:val="41717DFA"/>
    <w:rsid w:val="425828A0"/>
    <w:rsid w:val="42BB34C9"/>
    <w:rsid w:val="43741014"/>
    <w:rsid w:val="4392052B"/>
    <w:rsid w:val="43B50E83"/>
    <w:rsid w:val="43EC25E8"/>
    <w:rsid w:val="43F959BD"/>
    <w:rsid w:val="44362FC8"/>
    <w:rsid w:val="443959F3"/>
    <w:rsid w:val="44A02DC8"/>
    <w:rsid w:val="45435142"/>
    <w:rsid w:val="462C18BF"/>
    <w:rsid w:val="46B76957"/>
    <w:rsid w:val="46E777F2"/>
    <w:rsid w:val="48931F3C"/>
    <w:rsid w:val="48BA3C71"/>
    <w:rsid w:val="49731867"/>
    <w:rsid w:val="49F47221"/>
    <w:rsid w:val="4A2758B7"/>
    <w:rsid w:val="4AE24FDB"/>
    <w:rsid w:val="4BD56D10"/>
    <w:rsid w:val="4BEA250F"/>
    <w:rsid w:val="4C567E51"/>
    <w:rsid w:val="4CD54062"/>
    <w:rsid w:val="4CDF4782"/>
    <w:rsid w:val="4D714816"/>
    <w:rsid w:val="4DAA757B"/>
    <w:rsid w:val="4DF0694A"/>
    <w:rsid w:val="4E485577"/>
    <w:rsid w:val="4E6B77B5"/>
    <w:rsid w:val="4E7B3B9E"/>
    <w:rsid w:val="4EC01BE8"/>
    <w:rsid w:val="4F0A4599"/>
    <w:rsid w:val="4F38383D"/>
    <w:rsid w:val="4FCD1AFA"/>
    <w:rsid w:val="4FE65048"/>
    <w:rsid w:val="50E83041"/>
    <w:rsid w:val="51502959"/>
    <w:rsid w:val="51892F55"/>
    <w:rsid w:val="52AE06E9"/>
    <w:rsid w:val="52DF1F0E"/>
    <w:rsid w:val="52F80915"/>
    <w:rsid w:val="533A6EE9"/>
    <w:rsid w:val="53A40CC6"/>
    <w:rsid w:val="542F0F92"/>
    <w:rsid w:val="544F4775"/>
    <w:rsid w:val="54740CD6"/>
    <w:rsid w:val="54C47921"/>
    <w:rsid w:val="54D86537"/>
    <w:rsid w:val="54EF5383"/>
    <w:rsid w:val="560B79BC"/>
    <w:rsid w:val="568802DB"/>
    <w:rsid w:val="56B37004"/>
    <w:rsid w:val="57563B36"/>
    <w:rsid w:val="581A61D6"/>
    <w:rsid w:val="58466353"/>
    <w:rsid w:val="58492C1E"/>
    <w:rsid w:val="58FB73FF"/>
    <w:rsid w:val="59633BAD"/>
    <w:rsid w:val="596955BA"/>
    <w:rsid w:val="599375E5"/>
    <w:rsid w:val="59BC646F"/>
    <w:rsid w:val="59F40CA9"/>
    <w:rsid w:val="5A056A12"/>
    <w:rsid w:val="5A1522A3"/>
    <w:rsid w:val="5B0E7E27"/>
    <w:rsid w:val="5BE12FA3"/>
    <w:rsid w:val="5C1521B9"/>
    <w:rsid w:val="5C2A2C0B"/>
    <w:rsid w:val="5C615997"/>
    <w:rsid w:val="5CC65470"/>
    <w:rsid w:val="5CD37EB2"/>
    <w:rsid w:val="5D4564D9"/>
    <w:rsid w:val="5D8866EC"/>
    <w:rsid w:val="5DB01CA7"/>
    <w:rsid w:val="5E203E1A"/>
    <w:rsid w:val="5E702AD4"/>
    <w:rsid w:val="5EA110A8"/>
    <w:rsid w:val="5EB443B6"/>
    <w:rsid w:val="5EBF421E"/>
    <w:rsid w:val="5F431A08"/>
    <w:rsid w:val="5F5856DF"/>
    <w:rsid w:val="603514E5"/>
    <w:rsid w:val="603F287B"/>
    <w:rsid w:val="605E09C1"/>
    <w:rsid w:val="60A305BA"/>
    <w:rsid w:val="60AF08C6"/>
    <w:rsid w:val="61CB000A"/>
    <w:rsid w:val="620E0D6B"/>
    <w:rsid w:val="62965385"/>
    <w:rsid w:val="62B13874"/>
    <w:rsid w:val="62FF74A9"/>
    <w:rsid w:val="63672753"/>
    <w:rsid w:val="645779AB"/>
    <w:rsid w:val="656C3DE9"/>
    <w:rsid w:val="65C14135"/>
    <w:rsid w:val="65E62E7A"/>
    <w:rsid w:val="667741FD"/>
    <w:rsid w:val="66C37759"/>
    <w:rsid w:val="66DC0AFB"/>
    <w:rsid w:val="674212A6"/>
    <w:rsid w:val="67BB5990"/>
    <w:rsid w:val="67DC4571"/>
    <w:rsid w:val="6809591F"/>
    <w:rsid w:val="684A51D5"/>
    <w:rsid w:val="685220FD"/>
    <w:rsid w:val="687F5157"/>
    <w:rsid w:val="68A51C07"/>
    <w:rsid w:val="691B7051"/>
    <w:rsid w:val="69733998"/>
    <w:rsid w:val="697521B7"/>
    <w:rsid w:val="69EE3C11"/>
    <w:rsid w:val="6A6B466F"/>
    <w:rsid w:val="6A971F44"/>
    <w:rsid w:val="6AAD178D"/>
    <w:rsid w:val="6AE606B8"/>
    <w:rsid w:val="6B9037C7"/>
    <w:rsid w:val="6BC73B27"/>
    <w:rsid w:val="6CC649E7"/>
    <w:rsid w:val="6CD17DE6"/>
    <w:rsid w:val="6CF35EC2"/>
    <w:rsid w:val="6D644430"/>
    <w:rsid w:val="6DB067E7"/>
    <w:rsid w:val="6E407BC1"/>
    <w:rsid w:val="6E5A13CE"/>
    <w:rsid w:val="6E753394"/>
    <w:rsid w:val="6EBF78B2"/>
    <w:rsid w:val="6EDD71C4"/>
    <w:rsid w:val="6F5F71DE"/>
    <w:rsid w:val="6F6F261D"/>
    <w:rsid w:val="6F7716FF"/>
    <w:rsid w:val="6F8275FE"/>
    <w:rsid w:val="70B51F79"/>
    <w:rsid w:val="7113532A"/>
    <w:rsid w:val="71F17B50"/>
    <w:rsid w:val="72017C43"/>
    <w:rsid w:val="72862D77"/>
    <w:rsid w:val="72A03F09"/>
    <w:rsid w:val="72D24F5F"/>
    <w:rsid w:val="731215C2"/>
    <w:rsid w:val="736E593A"/>
    <w:rsid w:val="743D7CF2"/>
    <w:rsid w:val="74B710E3"/>
    <w:rsid w:val="74B950E0"/>
    <w:rsid w:val="74DD260E"/>
    <w:rsid w:val="75123B8B"/>
    <w:rsid w:val="754E2E16"/>
    <w:rsid w:val="755A1EB0"/>
    <w:rsid w:val="75D27C98"/>
    <w:rsid w:val="763E70DC"/>
    <w:rsid w:val="76CA6BC2"/>
    <w:rsid w:val="77244A96"/>
    <w:rsid w:val="775841CD"/>
    <w:rsid w:val="78055023"/>
    <w:rsid w:val="78905CFF"/>
    <w:rsid w:val="78A202E3"/>
    <w:rsid w:val="79517126"/>
    <w:rsid w:val="796D69AA"/>
    <w:rsid w:val="79815565"/>
    <w:rsid w:val="79920950"/>
    <w:rsid w:val="79B73D64"/>
    <w:rsid w:val="79F11E86"/>
    <w:rsid w:val="7A01613C"/>
    <w:rsid w:val="7A7F11FB"/>
    <w:rsid w:val="7AB937DC"/>
    <w:rsid w:val="7ABB1DEA"/>
    <w:rsid w:val="7B960E34"/>
    <w:rsid w:val="7C0E12FE"/>
    <w:rsid w:val="7CFA4897"/>
    <w:rsid w:val="7D6457E7"/>
    <w:rsid w:val="7D6D66EE"/>
    <w:rsid w:val="7D793157"/>
    <w:rsid w:val="7E9C086B"/>
    <w:rsid w:val="7EB42631"/>
    <w:rsid w:val="7F491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48"/>
    <w:qFormat/>
    <w:uiPriority w:val="9"/>
    <w:pPr>
      <w:autoSpaceDE w:val="0"/>
      <w:autoSpaceDN w:val="0"/>
      <w:adjustRightInd w:val="0"/>
      <w:jc w:val="left"/>
      <w:outlineLvl w:val="0"/>
    </w:pPr>
    <w:rPr>
      <w:rFonts w:ascii="宋体" w:hAnsi="Calibri" w:eastAsia="宋体" w:cs="Times New Roman"/>
      <w:kern w:val="0"/>
      <w:sz w:val="24"/>
      <w:szCs w:val="24"/>
    </w:rPr>
  </w:style>
  <w:style w:type="paragraph" w:styleId="4">
    <w:name w:val="heading 2"/>
    <w:basedOn w:val="1"/>
    <w:next w:val="1"/>
    <w:link w:val="46"/>
    <w:qFormat/>
    <w:uiPriority w:val="0"/>
    <w:pPr>
      <w:autoSpaceDE w:val="0"/>
      <w:autoSpaceDN w:val="0"/>
      <w:adjustRightInd w:val="0"/>
      <w:jc w:val="left"/>
      <w:outlineLvl w:val="1"/>
    </w:pPr>
    <w:rPr>
      <w:rFonts w:ascii="宋体" w:hAnsi="Calibri" w:eastAsia="宋体" w:cs="Times New Roman"/>
      <w:kern w:val="0"/>
      <w:sz w:val="24"/>
      <w:szCs w:val="24"/>
    </w:rPr>
  </w:style>
  <w:style w:type="paragraph" w:styleId="5">
    <w:name w:val="heading 3"/>
    <w:basedOn w:val="1"/>
    <w:next w:val="1"/>
    <w:link w:val="142"/>
    <w:qFormat/>
    <w:uiPriority w:val="0"/>
    <w:pPr>
      <w:autoSpaceDE w:val="0"/>
      <w:autoSpaceDN w:val="0"/>
      <w:adjustRightInd w:val="0"/>
      <w:jc w:val="left"/>
      <w:outlineLvl w:val="2"/>
    </w:pPr>
    <w:rPr>
      <w:rFonts w:ascii="宋体" w:hAnsi="Calibri" w:eastAsia="宋体" w:cs="Times New Roman"/>
      <w:kern w:val="0"/>
      <w:sz w:val="24"/>
      <w:szCs w:val="24"/>
    </w:rPr>
  </w:style>
  <w:style w:type="paragraph" w:styleId="6">
    <w:name w:val="heading 4"/>
    <w:basedOn w:val="1"/>
    <w:next w:val="1"/>
    <w:link w:val="48"/>
    <w:qFormat/>
    <w:uiPriority w:val="9"/>
    <w:pPr>
      <w:keepNext/>
      <w:keepLines/>
      <w:autoSpaceDE w:val="0"/>
      <w:autoSpaceDN w:val="0"/>
      <w:adjustRightInd w:val="0"/>
      <w:spacing w:before="280" w:after="290" w:line="376" w:lineRule="auto"/>
      <w:jc w:val="left"/>
      <w:outlineLvl w:val="3"/>
    </w:pPr>
    <w:rPr>
      <w:rFonts w:ascii="Arial" w:hAnsi="Arial" w:eastAsia="黑体" w:cs="Times New Roman"/>
      <w:b/>
      <w:bCs/>
      <w:kern w:val="0"/>
      <w:sz w:val="28"/>
      <w:szCs w:val="28"/>
    </w:rPr>
  </w:style>
  <w:style w:type="paragraph" w:styleId="7">
    <w:name w:val="heading 5"/>
    <w:basedOn w:val="1"/>
    <w:next w:val="1"/>
    <w:link w:val="130"/>
    <w:qFormat/>
    <w:uiPriority w:val="9"/>
    <w:pPr>
      <w:keepNext/>
      <w:keepLines/>
      <w:autoSpaceDE w:val="0"/>
      <w:autoSpaceDN w:val="0"/>
      <w:adjustRightInd w:val="0"/>
      <w:spacing w:before="280" w:after="290" w:line="376" w:lineRule="auto"/>
      <w:jc w:val="left"/>
      <w:outlineLvl w:val="4"/>
    </w:pPr>
    <w:rPr>
      <w:rFonts w:ascii="宋体" w:hAnsi="Calibri" w:eastAsia="宋体" w:cs="Times New Roman"/>
      <w:b/>
      <w:bCs/>
      <w:kern w:val="0"/>
      <w:sz w:val="28"/>
      <w:szCs w:val="28"/>
    </w:rPr>
  </w:style>
  <w:style w:type="paragraph" w:styleId="8">
    <w:name w:val="heading 6"/>
    <w:basedOn w:val="1"/>
    <w:next w:val="9"/>
    <w:link w:val="140"/>
    <w:qFormat/>
    <w:uiPriority w:val="9"/>
    <w:pPr>
      <w:keepLines/>
      <w:tabs>
        <w:tab w:val="left" w:pos="1152"/>
      </w:tabs>
      <w:adjustRightInd w:val="0"/>
      <w:snapToGrid w:val="0"/>
      <w:spacing w:beforeLines="50" w:line="360" w:lineRule="auto"/>
      <w:ind w:left="1152" w:hanging="1152"/>
      <w:jc w:val="left"/>
      <w:textAlignment w:val="baseline"/>
      <w:outlineLvl w:val="5"/>
    </w:pPr>
    <w:rPr>
      <w:rFonts w:ascii="Times New Roman" w:hAnsi="Calibri" w:eastAsia="黑体" w:cs="Times New Roman"/>
      <w:b/>
      <w:bCs/>
      <w:kern w:val="0"/>
      <w:sz w:val="28"/>
      <w:szCs w:val="24"/>
    </w:rPr>
  </w:style>
  <w:style w:type="paragraph" w:styleId="10">
    <w:name w:val="heading 7"/>
    <w:basedOn w:val="1"/>
    <w:next w:val="9"/>
    <w:link w:val="51"/>
    <w:qFormat/>
    <w:uiPriority w:val="9"/>
    <w:pPr>
      <w:keepNext/>
      <w:keepLines/>
      <w:tabs>
        <w:tab w:val="left" w:pos="1296"/>
      </w:tabs>
      <w:adjustRightInd w:val="0"/>
      <w:snapToGrid w:val="0"/>
      <w:spacing w:before="240" w:after="120"/>
      <w:ind w:left="1296" w:hanging="1296"/>
      <w:textAlignment w:val="baseline"/>
      <w:outlineLvl w:val="6"/>
    </w:pPr>
    <w:rPr>
      <w:rFonts w:ascii="Times New Roman" w:hAnsi="Calibri" w:eastAsia="黑体" w:cs="Times New Roman"/>
      <w:b/>
      <w:bCs/>
      <w:kern w:val="0"/>
      <w:sz w:val="28"/>
      <w:szCs w:val="24"/>
    </w:rPr>
  </w:style>
  <w:style w:type="paragraph" w:styleId="11">
    <w:name w:val="heading 8"/>
    <w:basedOn w:val="1"/>
    <w:next w:val="9"/>
    <w:link w:val="52"/>
    <w:qFormat/>
    <w:uiPriority w:val="9"/>
    <w:pPr>
      <w:keepNext/>
      <w:keepLines/>
      <w:tabs>
        <w:tab w:val="left" w:pos="1440"/>
      </w:tabs>
      <w:snapToGrid w:val="0"/>
      <w:spacing w:before="240" w:after="120"/>
      <w:ind w:left="1440" w:hanging="1440"/>
      <w:outlineLvl w:val="7"/>
    </w:pPr>
    <w:rPr>
      <w:rFonts w:ascii="Times New Roman" w:hAnsi="Calibri" w:eastAsia="黑体" w:cs="Times New Roman"/>
      <w:b/>
      <w:kern w:val="0"/>
      <w:sz w:val="28"/>
      <w:szCs w:val="24"/>
    </w:rPr>
  </w:style>
  <w:style w:type="paragraph" w:styleId="12">
    <w:name w:val="heading 9"/>
    <w:basedOn w:val="1"/>
    <w:next w:val="9"/>
    <w:link w:val="53"/>
    <w:qFormat/>
    <w:uiPriority w:val="9"/>
    <w:pPr>
      <w:keepNext/>
      <w:keepLines/>
      <w:tabs>
        <w:tab w:val="left" w:pos="1584"/>
      </w:tabs>
      <w:snapToGrid w:val="0"/>
      <w:spacing w:before="240" w:after="120"/>
      <w:ind w:left="1584" w:hanging="1584"/>
      <w:outlineLvl w:val="8"/>
    </w:pPr>
    <w:rPr>
      <w:rFonts w:ascii="Times New Roman" w:hAnsi="Calibri" w:eastAsia="黑体" w:cs="Times New Roman"/>
      <w:b/>
      <w:kern w:val="0"/>
      <w:sz w:val="28"/>
      <w:szCs w:val="24"/>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customStyle="1" w:styleId="9">
    <w:name w:val="模板正文"/>
    <w:basedOn w:val="1"/>
    <w:link w:val="92"/>
    <w:qFormat/>
    <w:uiPriority w:val="0"/>
    <w:pPr>
      <w:wordWrap w:val="0"/>
      <w:autoSpaceDE w:val="0"/>
      <w:autoSpaceDN w:val="0"/>
      <w:adjustRightInd w:val="0"/>
      <w:spacing w:beforeLines="50" w:line="360" w:lineRule="auto"/>
      <w:ind w:firstLine="200" w:firstLineChars="200"/>
      <w:jc w:val="left"/>
    </w:pPr>
    <w:rPr>
      <w:rFonts w:ascii="宋体" w:eastAsia="仿宋"/>
      <w:sz w:val="24"/>
      <w:szCs w:val="21"/>
    </w:rPr>
  </w:style>
  <w:style w:type="paragraph" w:styleId="13">
    <w:name w:val="Normal Indent"/>
    <w:basedOn w:val="1"/>
    <w:qFormat/>
    <w:uiPriority w:val="0"/>
    <w:pPr>
      <w:widowControl/>
      <w:autoSpaceDE w:val="0"/>
      <w:autoSpaceDN w:val="0"/>
      <w:adjustRightInd w:val="0"/>
      <w:ind w:firstLine="420" w:firstLineChars="200"/>
      <w:jc w:val="left"/>
    </w:pPr>
    <w:rPr>
      <w:rFonts w:ascii="宋体" w:hAnsi="Calibri" w:eastAsia="宋体" w:cs="Times New Roman"/>
      <w:kern w:val="0"/>
      <w:sz w:val="20"/>
      <w:szCs w:val="20"/>
    </w:rPr>
  </w:style>
  <w:style w:type="paragraph" w:styleId="14">
    <w:name w:val="caption"/>
    <w:basedOn w:val="1"/>
    <w:next w:val="1"/>
    <w:link w:val="81"/>
    <w:qFormat/>
    <w:uiPriority w:val="0"/>
    <w:pPr>
      <w:autoSpaceDE w:val="0"/>
      <w:autoSpaceDN w:val="0"/>
      <w:adjustRightInd w:val="0"/>
      <w:spacing w:before="152" w:after="160"/>
      <w:jc w:val="left"/>
    </w:pPr>
    <w:rPr>
      <w:rFonts w:ascii="Arial" w:hAnsi="Arial" w:eastAsia="黑体" w:cs="Arial"/>
    </w:rPr>
  </w:style>
  <w:style w:type="paragraph" w:styleId="15">
    <w:name w:val="Document Map"/>
    <w:basedOn w:val="1"/>
    <w:link w:val="114"/>
    <w:semiHidden/>
    <w:qFormat/>
    <w:uiPriority w:val="99"/>
    <w:pPr>
      <w:shd w:val="clear" w:color="auto" w:fill="000080"/>
      <w:autoSpaceDE w:val="0"/>
      <w:autoSpaceDN w:val="0"/>
      <w:adjustRightInd w:val="0"/>
      <w:jc w:val="left"/>
    </w:pPr>
    <w:rPr>
      <w:rFonts w:ascii="宋体" w:hAnsi="Times New Roman" w:eastAsia="宋体" w:cs="Times New Roman"/>
      <w:kern w:val="0"/>
      <w:sz w:val="24"/>
      <w:szCs w:val="24"/>
    </w:rPr>
  </w:style>
  <w:style w:type="paragraph" w:styleId="16">
    <w:name w:val="annotation text"/>
    <w:basedOn w:val="1"/>
    <w:link w:val="161"/>
    <w:unhideWhenUsed/>
    <w:qFormat/>
    <w:uiPriority w:val="99"/>
    <w:pPr>
      <w:jc w:val="left"/>
    </w:pPr>
  </w:style>
  <w:style w:type="paragraph" w:styleId="17">
    <w:name w:val="Body Text 3"/>
    <w:basedOn w:val="1"/>
    <w:link w:val="154"/>
    <w:qFormat/>
    <w:uiPriority w:val="0"/>
    <w:pPr>
      <w:autoSpaceDE w:val="0"/>
      <w:autoSpaceDN w:val="0"/>
      <w:adjustRightInd w:val="0"/>
      <w:ind w:right="-26"/>
      <w:jc w:val="center"/>
    </w:pPr>
    <w:rPr>
      <w:rFonts w:ascii="宋体" w:hAnsi="Times New Roman" w:eastAsia="宋体" w:cs="Times New Roman"/>
      <w:b/>
      <w:bCs/>
      <w:color w:val="3366FF"/>
      <w:sz w:val="52"/>
      <w:szCs w:val="52"/>
      <w:lang w:val="zh-CN"/>
    </w:rPr>
  </w:style>
  <w:style w:type="paragraph" w:styleId="18">
    <w:name w:val="Body Text"/>
    <w:basedOn w:val="1"/>
    <w:link w:val="116"/>
    <w:qFormat/>
    <w:uiPriority w:val="99"/>
    <w:pPr>
      <w:autoSpaceDE w:val="0"/>
      <w:autoSpaceDN w:val="0"/>
      <w:adjustRightInd w:val="0"/>
      <w:ind w:right="-26"/>
      <w:jc w:val="center"/>
    </w:pPr>
    <w:rPr>
      <w:rFonts w:ascii="宋体" w:eastAsia="宋体"/>
      <w:b/>
      <w:bCs/>
      <w:sz w:val="84"/>
      <w:szCs w:val="84"/>
      <w:lang w:val="zh-CN"/>
    </w:rPr>
  </w:style>
  <w:style w:type="paragraph" w:styleId="19">
    <w:name w:val="Body Text Indent"/>
    <w:basedOn w:val="1"/>
    <w:link w:val="90"/>
    <w:qFormat/>
    <w:uiPriority w:val="0"/>
    <w:pPr>
      <w:ind w:left="567" w:leftChars="270"/>
    </w:pPr>
    <w:rPr>
      <w:rFonts w:ascii="Times New Roman" w:hAnsi="Times New Roman" w:eastAsia="宋体" w:cs="Times New Roman"/>
      <w:szCs w:val="20"/>
    </w:rPr>
  </w:style>
  <w:style w:type="paragraph" w:styleId="20">
    <w:name w:val="toc 3"/>
    <w:basedOn w:val="1"/>
    <w:next w:val="1"/>
    <w:unhideWhenUsed/>
    <w:qFormat/>
    <w:uiPriority w:val="39"/>
    <w:pPr>
      <w:tabs>
        <w:tab w:val="right" w:leader="dot" w:pos="10144"/>
      </w:tabs>
      <w:ind w:left="840" w:leftChars="400"/>
    </w:pPr>
  </w:style>
  <w:style w:type="paragraph" w:styleId="21">
    <w:name w:val="Plain Text"/>
    <w:basedOn w:val="1"/>
    <w:link w:val="98"/>
    <w:qFormat/>
    <w:uiPriority w:val="0"/>
    <w:rPr>
      <w:rFonts w:ascii="宋体" w:hAnsi="Courier New" w:eastAsia="宋体"/>
    </w:rPr>
  </w:style>
  <w:style w:type="paragraph" w:styleId="22">
    <w:name w:val="Date"/>
    <w:basedOn w:val="1"/>
    <w:next w:val="1"/>
    <w:link w:val="106"/>
    <w:qFormat/>
    <w:uiPriority w:val="99"/>
    <w:pPr>
      <w:autoSpaceDE w:val="0"/>
      <w:autoSpaceDN w:val="0"/>
      <w:adjustRightInd w:val="0"/>
      <w:ind w:left="100" w:leftChars="2500"/>
      <w:jc w:val="left"/>
    </w:pPr>
    <w:rPr>
      <w:rFonts w:ascii="宋体" w:hAnsi="Times New Roman" w:eastAsia="宋体" w:cs="Times New Roman"/>
      <w:b/>
      <w:bCs/>
      <w:szCs w:val="21"/>
      <w:lang w:val="zh-CN"/>
    </w:rPr>
  </w:style>
  <w:style w:type="paragraph" w:styleId="23">
    <w:name w:val="Body Text Indent 2"/>
    <w:basedOn w:val="1"/>
    <w:link w:val="99"/>
    <w:qFormat/>
    <w:uiPriority w:val="0"/>
    <w:pPr>
      <w:tabs>
        <w:tab w:val="left" w:pos="8640"/>
      </w:tabs>
      <w:ind w:left="1260"/>
    </w:pPr>
    <w:rPr>
      <w:rFonts w:ascii="宋体" w:hAnsi="Times New Roman" w:eastAsia="宋体" w:cs="Times New Roman"/>
      <w:szCs w:val="20"/>
    </w:rPr>
  </w:style>
  <w:style w:type="paragraph" w:styleId="24">
    <w:name w:val="Balloon Text"/>
    <w:basedOn w:val="1"/>
    <w:link w:val="72"/>
    <w:qFormat/>
    <w:uiPriority w:val="0"/>
    <w:rPr>
      <w:rFonts w:ascii="Times New Roman" w:hAnsi="Times New Roman" w:eastAsia="宋体" w:cs="Times New Roman"/>
      <w:sz w:val="18"/>
      <w:szCs w:val="18"/>
    </w:rPr>
  </w:style>
  <w:style w:type="paragraph" w:styleId="25">
    <w:name w:val="footer"/>
    <w:basedOn w:val="1"/>
    <w:link w:val="76"/>
    <w:qFormat/>
    <w:uiPriority w:val="99"/>
    <w:pPr>
      <w:tabs>
        <w:tab w:val="center" w:pos="4153"/>
        <w:tab w:val="right" w:pos="8306"/>
      </w:tabs>
      <w:autoSpaceDE w:val="0"/>
      <w:autoSpaceDN w:val="0"/>
      <w:adjustRightInd w:val="0"/>
      <w:snapToGrid w:val="0"/>
      <w:jc w:val="left"/>
    </w:pPr>
    <w:rPr>
      <w:rFonts w:ascii="宋体" w:eastAsia="宋体"/>
      <w:sz w:val="18"/>
      <w:szCs w:val="18"/>
    </w:rPr>
  </w:style>
  <w:style w:type="paragraph" w:styleId="26">
    <w:name w:val="header"/>
    <w:basedOn w:val="1"/>
    <w:link w:val="118"/>
    <w:qFormat/>
    <w:uiPriority w:val="99"/>
    <w:pPr>
      <w:pBdr>
        <w:bottom w:val="single" w:color="auto" w:sz="6" w:space="1"/>
      </w:pBdr>
      <w:tabs>
        <w:tab w:val="center" w:pos="4153"/>
        <w:tab w:val="right" w:pos="8306"/>
      </w:tabs>
      <w:autoSpaceDE w:val="0"/>
      <w:autoSpaceDN w:val="0"/>
      <w:adjustRightInd w:val="0"/>
      <w:snapToGrid w:val="0"/>
      <w:jc w:val="center"/>
    </w:pPr>
    <w:rPr>
      <w:rFonts w:ascii="宋体" w:eastAsia="宋体"/>
      <w:sz w:val="18"/>
      <w:szCs w:val="18"/>
    </w:rPr>
  </w:style>
  <w:style w:type="paragraph" w:styleId="27">
    <w:name w:val="toc 1"/>
    <w:basedOn w:val="1"/>
    <w:next w:val="1"/>
    <w:unhideWhenUsed/>
    <w:qFormat/>
    <w:uiPriority w:val="39"/>
  </w:style>
  <w:style w:type="paragraph" w:styleId="28">
    <w:name w:val="List"/>
    <w:basedOn w:val="1"/>
    <w:unhideWhenUsed/>
    <w:qFormat/>
    <w:uiPriority w:val="0"/>
    <w:pPr>
      <w:autoSpaceDE w:val="0"/>
      <w:autoSpaceDN w:val="0"/>
      <w:adjustRightInd w:val="0"/>
      <w:ind w:left="200" w:hanging="200" w:hangingChars="200"/>
      <w:contextualSpacing/>
      <w:jc w:val="left"/>
    </w:pPr>
    <w:rPr>
      <w:rFonts w:ascii="宋体" w:hAnsi="Calibri" w:eastAsia="宋体" w:cs="Times New Roman"/>
      <w:kern w:val="0"/>
      <w:sz w:val="24"/>
      <w:szCs w:val="24"/>
    </w:rPr>
  </w:style>
  <w:style w:type="paragraph" w:styleId="29">
    <w:name w:val="Body Text Indent 3"/>
    <w:basedOn w:val="1"/>
    <w:link w:val="152"/>
    <w:qFormat/>
    <w:uiPriority w:val="0"/>
    <w:pPr>
      <w:autoSpaceDE w:val="0"/>
      <w:autoSpaceDN w:val="0"/>
      <w:adjustRightInd w:val="0"/>
      <w:spacing w:line="360" w:lineRule="auto"/>
      <w:ind w:firstLine="480" w:firstLineChars="200"/>
      <w:jc w:val="left"/>
    </w:pPr>
    <w:rPr>
      <w:rFonts w:ascii="宋体" w:hAnsi="Times New Roman" w:eastAsia="宋体" w:cs="Times New Roman"/>
      <w:kern w:val="0"/>
      <w:sz w:val="24"/>
      <w:szCs w:val="24"/>
    </w:rPr>
  </w:style>
  <w:style w:type="paragraph" w:styleId="30">
    <w:name w:val="Body Text 2"/>
    <w:basedOn w:val="1"/>
    <w:link w:val="141"/>
    <w:qFormat/>
    <w:uiPriority w:val="0"/>
    <w:pPr>
      <w:tabs>
        <w:tab w:val="left" w:pos="0"/>
      </w:tabs>
      <w:spacing w:line="400" w:lineRule="atLeast"/>
    </w:pPr>
    <w:rPr>
      <w:rFonts w:ascii="Arial" w:hAnsi="Arial" w:eastAsia="宋体" w:cs="Times New Roman"/>
      <w:color w:val="000000"/>
      <w:szCs w:val="24"/>
    </w:rPr>
  </w:style>
  <w:style w:type="paragraph" w:styleId="31">
    <w:name w:val="HTML Preformatted"/>
    <w:basedOn w:val="1"/>
    <w:link w:val="8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szCs w:val="21"/>
    </w:rPr>
  </w:style>
  <w:style w:type="paragraph" w:styleId="32">
    <w:name w:val="Normal (Web)"/>
    <w:basedOn w:val="1"/>
    <w:link w:val="91"/>
    <w:qFormat/>
    <w:uiPriority w:val="0"/>
    <w:pPr>
      <w:widowControl/>
      <w:spacing w:before="100" w:beforeAutospacing="1" w:after="100" w:afterAutospacing="1"/>
      <w:jc w:val="left"/>
    </w:pPr>
    <w:rPr>
      <w:rFonts w:ascii="宋体" w:hAnsi="宋体"/>
      <w:sz w:val="15"/>
      <w:szCs w:val="15"/>
    </w:rPr>
  </w:style>
  <w:style w:type="paragraph" w:styleId="33">
    <w:name w:val="Title"/>
    <w:basedOn w:val="1"/>
    <w:next w:val="1"/>
    <w:link w:val="56"/>
    <w:qFormat/>
    <w:uiPriority w:val="10"/>
    <w:pPr>
      <w:spacing w:before="120" w:after="60" w:line="300" w:lineRule="auto"/>
      <w:jc w:val="left"/>
      <w:outlineLvl w:val="0"/>
    </w:pPr>
    <w:rPr>
      <w:rFonts w:ascii="等线 Light" w:hAnsi="等线 Light" w:eastAsia="仿宋"/>
      <w:b/>
      <w:bCs/>
      <w:sz w:val="28"/>
      <w:szCs w:val="32"/>
    </w:rPr>
  </w:style>
  <w:style w:type="paragraph" w:styleId="34">
    <w:name w:val="annotation subject"/>
    <w:basedOn w:val="16"/>
    <w:next w:val="16"/>
    <w:link w:val="108"/>
    <w:qFormat/>
    <w:uiPriority w:val="99"/>
    <w:pPr>
      <w:autoSpaceDE w:val="0"/>
      <w:autoSpaceDN w:val="0"/>
      <w:adjustRightInd w:val="0"/>
    </w:pPr>
    <w:rPr>
      <w:rFonts w:ascii="宋体" w:hAnsi="Times New Roman" w:eastAsia="宋体" w:cs="Times New Roman"/>
      <w:b/>
      <w:bCs/>
      <w:kern w:val="0"/>
      <w:sz w:val="24"/>
      <w:szCs w:val="24"/>
    </w:rPr>
  </w:style>
  <w:style w:type="paragraph" w:styleId="35">
    <w:name w:val="Body Text First Indent"/>
    <w:basedOn w:val="18"/>
    <w:link w:val="199"/>
    <w:semiHidden/>
    <w:unhideWhenUsed/>
    <w:qFormat/>
    <w:uiPriority w:val="99"/>
    <w:pPr>
      <w:autoSpaceDE/>
      <w:autoSpaceDN/>
      <w:adjustRightInd/>
      <w:spacing w:after="120"/>
      <w:ind w:right="0" w:firstLine="420" w:firstLineChars="100"/>
      <w:jc w:val="both"/>
    </w:pPr>
    <w:rPr>
      <w:rFonts w:asciiTheme="minorHAnsi" w:eastAsiaTheme="minorEastAsia"/>
      <w:b w:val="0"/>
      <w:bCs w:val="0"/>
      <w:sz w:val="21"/>
      <w:szCs w:val="22"/>
      <w:lang w:val="en-US"/>
    </w:rPr>
  </w:style>
  <w:style w:type="table" w:styleId="37">
    <w:name w:val="Table Grid"/>
    <w:basedOn w:val="36"/>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qFormat/>
    <w:uiPriority w:val="0"/>
    <w:rPr>
      <w:b/>
      <w:bCs/>
    </w:rPr>
  </w:style>
  <w:style w:type="character" w:styleId="40">
    <w:name w:val="FollowedHyperlink"/>
    <w:unhideWhenUsed/>
    <w:qFormat/>
    <w:uiPriority w:val="99"/>
    <w:rPr>
      <w:color w:val="954F72"/>
      <w:u w:val="single"/>
    </w:rPr>
  </w:style>
  <w:style w:type="character" w:styleId="41">
    <w:name w:val="Emphasis"/>
    <w:qFormat/>
    <w:uiPriority w:val="0"/>
    <w:rPr>
      <w:i/>
      <w:iCs/>
    </w:rPr>
  </w:style>
  <w:style w:type="character" w:styleId="42">
    <w:name w:val="Hyperlink"/>
    <w:qFormat/>
    <w:uiPriority w:val="99"/>
    <w:rPr>
      <w:rFonts w:hint="default" w:ascii="Arial" w:hAnsi="Arial" w:cs="Arial"/>
      <w:color w:val="000000"/>
      <w:sz w:val="20"/>
      <w:szCs w:val="20"/>
      <w:u w:val="none"/>
    </w:rPr>
  </w:style>
  <w:style w:type="character" w:styleId="43">
    <w:name w:val="annotation reference"/>
    <w:qFormat/>
    <w:uiPriority w:val="99"/>
    <w:rPr>
      <w:sz w:val="21"/>
      <w:szCs w:val="21"/>
    </w:rPr>
  </w:style>
  <w:style w:type="paragraph" w:customStyle="1" w:styleId="44">
    <w:name w:val="首行缩进"/>
    <w:basedOn w:val="1"/>
    <w:qFormat/>
    <w:uiPriority w:val="0"/>
    <w:pPr>
      <w:ind w:firstLine="480" w:firstLineChars="200"/>
    </w:pPr>
    <w:rPr>
      <w:lang w:val="zh-CN"/>
    </w:rPr>
  </w:style>
  <w:style w:type="character" w:customStyle="1" w:styleId="45">
    <w:name w:val="标题 1 字符"/>
    <w:basedOn w:val="38"/>
    <w:qFormat/>
    <w:uiPriority w:val="0"/>
    <w:rPr>
      <w:b/>
      <w:bCs/>
      <w:kern w:val="44"/>
      <w:sz w:val="44"/>
      <w:szCs w:val="44"/>
    </w:rPr>
  </w:style>
  <w:style w:type="character" w:customStyle="1" w:styleId="46">
    <w:name w:val="标题 2 Char"/>
    <w:basedOn w:val="38"/>
    <w:link w:val="4"/>
    <w:qFormat/>
    <w:uiPriority w:val="0"/>
    <w:rPr>
      <w:rFonts w:ascii="宋体" w:hAnsi="Calibri" w:eastAsia="宋体" w:cs="Times New Roman"/>
      <w:kern w:val="0"/>
      <w:sz w:val="24"/>
      <w:szCs w:val="24"/>
    </w:rPr>
  </w:style>
  <w:style w:type="character" w:customStyle="1" w:styleId="47">
    <w:name w:val="标题 3 字符"/>
    <w:basedOn w:val="38"/>
    <w:qFormat/>
    <w:uiPriority w:val="0"/>
    <w:rPr>
      <w:b/>
      <w:bCs/>
      <w:sz w:val="32"/>
      <w:szCs w:val="32"/>
    </w:rPr>
  </w:style>
  <w:style w:type="character" w:customStyle="1" w:styleId="48">
    <w:name w:val="标题 4 Char1"/>
    <w:basedOn w:val="38"/>
    <w:link w:val="6"/>
    <w:qFormat/>
    <w:uiPriority w:val="9"/>
    <w:rPr>
      <w:rFonts w:ascii="Arial" w:hAnsi="Arial" w:eastAsia="黑体" w:cs="Times New Roman"/>
      <w:b/>
      <w:bCs/>
      <w:kern w:val="0"/>
      <w:sz w:val="28"/>
      <w:szCs w:val="28"/>
    </w:rPr>
  </w:style>
  <w:style w:type="character" w:customStyle="1" w:styleId="49">
    <w:name w:val="标题 5 字符"/>
    <w:basedOn w:val="38"/>
    <w:qFormat/>
    <w:uiPriority w:val="9"/>
    <w:rPr>
      <w:b/>
      <w:bCs/>
      <w:sz w:val="28"/>
      <w:szCs w:val="28"/>
    </w:rPr>
  </w:style>
  <w:style w:type="character" w:customStyle="1" w:styleId="50">
    <w:name w:val="标题 6 字符"/>
    <w:basedOn w:val="38"/>
    <w:qFormat/>
    <w:uiPriority w:val="0"/>
    <w:rPr>
      <w:rFonts w:asciiTheme="majorHAnsi" w:hAnsiTheme="majorHAnsi" w:eastAsiaTheme="majorEastAsia" w:cstheme="majorBidi"/>
      <w:b/>
      <w:bCs/>
      <w:sz w:val="24"/>
      <w:szCs w:val="24"/>
    </w:rPr>
  </w:style>
  <w:style w:type="character" w:customStyle="1" w:styleId="51">
    <w:name w:val="标题 7 Char"/>
    <w:basedOn w:val="38"/>
    <w:link w:val="10"/>
    <w:qFormat/>
    <w:uiPriority w:val="9"/>
    <w:rPr>
      <w:rFonts w:ascii="Times New Roman" w:hAnsi="Calibri" w:eastAsia="黑体" w:cs="Times New Roman"/>
      <w:b/>
      <w:bCs/>
      <w:kern w:val="0"/>
      <w:sz w:val="28"/>
      <w:szCs w:val="24"/>
    </w:rPr>
  </w:style>
  <w:style w:type="character" w:customStyle="1" w:styleId="52">
    <w:name w:val="标题 8 Char"/>
    <w:basedOn w:val="38"/>
    <w:link w:val="11"/>
    <w:qFormat/>
    <w:uiPriority w:val="9"/>
    <w:rPr>
      <w:rFonts w:ascii="Times New Roman" w:hAnsi="Calibri" w:eastAsia="黑体" w:cs="Times New Roman"/>
      <w:b/>
      <w:kern w:val="0"/>
      <w:sz w:val="28"/>
      <w:szCs w:val="24"/>
    </w:rPr>
  </w:style>
  <w:style w:type="character" w:customStyle="1" w:styleId="53">
    <w:name w:val="标题 9 Char"/>
    <w:basedOn w:val="38"/>
    <w:link w:val="12"/>
    <w:qFormat/>
    <w:uiPriority w:val="9"/>
    <w:rPr>
      <w:rFonts w:ascii="Times New Roman" w:hAnsi="Calibri" w:eastAsia="黑体" w:cs="Times New Roman"/>
      <w:b/>
      <w:kern w:val="0"/>
      <w:sz w:val="28"/>
      <w:szCs w:val="24"/>
    </w:rPr>
  </w:style>
  <w:style w:type="character" w:customStyle="1" w:styleId="54">
    <w:name w:val="正文文本缩进 字符"/>
    <w:qFormat/>
    <w:uiPriority w:val="0"/>
    <w:rPr>
      <w:rFonts w:ascii="Times New Roman" w:hAnsi="Times New Roman" w:eastAsia="宋体" w:cs="Times New Roman"/>
      <w:szCs w:val="20"/>
    </w:rPr>
  </w:style>
  <w:style w:type="character" w:customStyle="1" w:styleId="55">
    <w:name w:val="普通(网站) Char"/>
    <w:qFormat/>
    <w:locked/>
    <w:uiPriority w:val="0"/>
    <w:rPr>
      <w:rFonts w:ascii="宋体" w:hAnsi="宋体"/>
      <w:sz w:val="15"/>
      <w:szCs w:val="15"/>
    </w:rPr>
  </w:style>
  <w:style w:type="character" w:customStyle="1" w:styleId="56">
    <w:name w:val="标题 Char"/>
    <w:link w:val="33"/>
    <w:qFormat/>
    <w:uiPriority w:val="10"/>
    <w:rPr>
      <w:rFonts w:ascii="等线 Light" w:hAnsi="等线 Light" w:eastAsia="仿宋"/>
      <w:b/>
      <w:bCs/>
      <w:sz w:val="28"/>
      <w:szCs w:val="32"/>
    </w:rPr>
  </w:style>
  <w:style w:type="character" w:customStyle="1" w:styleId="57">
    <w:name w:val="日期 Char"/>
    <w:semiHidden/>
    <w:qFormat/>
    <w:uiPriority w:val="99"/>
    <w:rPr>
      <w:kern w:val="2"/>
      <w:sz w:val="21"/>
    </w:rPr>
  </w:style>
  <w:style w:type="character" w:customStyle="1" w:styleId="58">
    <w:name w:val="文档结构图 字符1"/>
    <w:semiHidden/>
    <w:qFormat/>
    <w:uiPriority w:val="99"/>
    <w:rPr>
      <w:rFonts w:ascii="Microsoft YaHei UI" w:hAnsi="Calibri" w:eastAsia="Microsoft YaHei UI" w:cs="Times New Roman"/>
      <w:kern w:val="0"/>
      <w:sz w:val="18"/>
      <w:szCs w:val="18"/>
    </w:rPr>
  </w:style>
  <w:style w:type="character" w:customStyle="1" w:styleId="59">
    <w:name w:val="批注文字 Char"/>
    <w:semiHidden/>
    <w:qFormat/>
    <w:uiPriority w:val="99"/>
    <w:rPr>
      <w:kern w:val="2"/>
      <w:sz w:val="21"/>
    </w:rPr>
  </w:style>
  <w:style w:type="character" w:customStyle="1" w:styleId="60">
    <w:name w:val="正文缩进2格 Char"/>
    <w:link w:val="61"/>
    <w:qFormat/>
    <w:uiPriority w:val="0"/>
    <w:rPr>
      <w:rFonts w:ascii="仿宋_GB2312" w:hAnsi="宋体" w:eastAsia="仿宋_GB2312"/>
      <w:sz w:val="31"/>
      <w:szCs w:val="28"/>
    </w:rPr>
  </w:style>
  <w:style w:type="paragraph" w:customStyle="1" w:styleId="61">
    <w:name w:val="正文缩进2格"/>
    <w:basedOn w:val="1"/>
    <w:link w:val="60"/>
    <w:qFormat/>
    <w:uiPriority w:val="0"/>
    <w:pPr>
      <w:spacing w:line="600" w:lineRule="exact"/>
      <w:ind w:firstLine="639" w:firstLineChars="206"/>
    </w:pPr>
    <w:rPr>
      <w:rFonts w:ascii="仿宋_GB2312" w:hAnsi="宋体" w:eastAsia="仿宋_GB2312"/>
      <w:sz w:val="31"/>
      <w:szCs w:val="28"/>
    </w:rPr>
  </w:style>
  <w:style w:type="character" w:customStyle="1" w:styleId="62">
    <w:name w:val="批注文字 字符"/>
    <w:semiHidden/>
    <w:qFormat/>
    <w:uiPriority w:val="99"/>
    <w:rPr>
      <w:rFonts w:ascii="Times New Roman" w:hAnsi="Times New Roman"/>
      <w:kern w:val="2"/>
      <w:sz w:val="24"/>
      <w:szCs w:val="24"/>
    </w:rPr>
  </w:style>
  <w:style w:type="character" w:customStyle="1" w:styleId="63">
    <w:name w:val="正文文本缩进 Char"/>
    <w:qFormat/>
    <w:uiPriority w:val="0"/>
    <w:rPr>
      <w:rFonts w:ascii="Times New Roman" w:hAnsi="Times New Roman" w:eastAsia="宋体" w:cs="Times New Roman"/>
      <w:szCs w:val="20"/>
      <w:lang w:val="en-US" w:eastAsia="zh-CN"/>
    </w:rPr>
  </w:style>
  <w:style w:type="character" w:customStyle="1" w:styleId="64">
    <w:name w:val="批注框文本 字符1"/>
    <w:semiHidden/>
    <w:qFormat/>
    <w:uiPriority w:val="99"/>
    <w:rPr>
      <w:rFonts w:ascii="宋体" w:hAnsi="Calibri" w:eastAsia="宋体" w:cs="Times New Roman"/>
      <w:kern w:val="0"/>
      <w:sz w:val="18"/>
      <w:szCs w:val="18"/>
    </w:rPr>
  </w:style>
  <w:style w:type="character" w:customStyle="1" w:styleId="65">
    <w:name w:val="List Paragraph Char"/>
    <w:link w:val="66"/>
    <w:qFormat/>
    <w:uiPriority w:val="34"/>
    <w:rPr>
      <w:rFonts w:ascii="Calibri" w:hAnsi="Calibri"/>
    </w:rPr>
  </w:style>
  <w:style w:type="paragraph" w:customStyle="1" w:styleId="66">
    <w:name w:val="列出段落1"/>
    <w:basedOn w:val="1"/>
    <w:link w:val="65"/>
    <w:qFormat/>
    <w:uiPriority w:val="34"/>
    <w:pPr>
      <w:ind w:firstLine="420" w:firstLineChars="200"/>
    </w:pPr>
    <w:rPr>
      <w:rFonts w:ascii="Calibri" w:hAnsi="Calibri"/>
    </w:rPr>
  </w:style>
  <w:style w:type="character" w:customStyle="1" w:styleId="67">
    <w:name w:val="标书正文 字符"/>
    <w:link w:val="68"/>
    <w:qFormat/>
    <w:uiPriority w:val="0"/>
    <w:rPr>
      <w:rFonts w:ascii="Calibri" w:hAnsi="Calibri" w:eastAsia="仿宋"/>
      <w:sz w:val="24"/>
      <w:szCs w:val="21"/>
    </w:rPr>
  </w:style>
  <w:style w:type="paragraph" w:customStyle="1" w:styleId="68">
    <w:name w:val="标书正文"/>
    <w:basedOn w:val="1"/>
    <w:link w:val="67"/>
    <w:qFormat/>
    <w:uiPriority w:val="0"/>
    <w:pPr>
      <w:adjustRightInd w:val="0"/>
      <w:snapToGrid w:val="0"/>
      <w:spacing w:beforeLines="50" w:line="360" w:lineRule="auto"/>
      <w:ind w:firstLine="200" w:firstLineChars="200"/>
    </w:pPr>
    <w:rPr>
      <w:rFonts w:ascii="Calibri" w:hAnsi="Calibri" w:eastAsia="仿宋"/>
      <w:sz w:val="24"/>
      <w:szCs w:val="21"/>
    </w:rPr>
  </w:style>
  <w:style w:type="character" w:customStyle="1" w:styleId="69">
    <w:name w:val="正文文本 字符"/>
    <w:semiHidden/>
    <w:qFormat/>
    <w:uiPriority w:val="99"/>
    <w:rPr>
      <w:rFonts w:ascii="Times New Roman" w:hAnsi="Times New Roman"/>
      <w:kern w:val="2"/>
      <w:sz w:val="24"/>
      <w:szCs w:val="24"/>
    </w:rPr>
  </w:style>
  <w:style w:type="character" w:customStyle="1" w:styleId="70">
    <w:name w:val="页脚 Char"/>
    <w:qFormat/>
    <w:uiPriority w:val="0"/>
    <w:rPr>
      <w:kern w:val="2"/>
      <w:sz w:val="18"/>
      <w:szCs w:val="18"/>
    </w:rPr>
  </w:style>
  <w:style w:type="character" w:customStyle="1" w:styleId="71">
    <w:name w:val="neir1"/>
    <w:qFormat/>
    <w:uiPriority w:val="0"/>
    <w:rPr>
      <w:rFonts w:hint="default" w:ascii="ˎ̥" w:hAnsi="ˎ̥"/>
      <w:color w:val="333333"/>
      <w:sz w:val="21"/>
      <w:szCs w:val="21"/>
      <w:u w:val="none"/>
    </w:rPr>
  </w:style>
  <w:style w:type="character" w:customStyle="1" w:styleId="72">
    <w:name w:val="批注框文本 Char1"/>
    <w:link w:val="24"/>
    <w:qFormat/>
    <w:uiPriority w:val="0"/>
    <w:rPr>
      <w:rFonts w:ascii="Times New Roman" w:hAnsi="Times New Roman" w:eastAsia="宋体" w:cs="Times New Roman"/>
      <w:sz w:val="18"/>
      <w:szCs w:val="18"/>
    </w:rPr>
  </w:style>
  <w:style w:type="character" w:customStyle="1" w:styleId="73">
    <w:name w:val="正文文本 3 字符1"/>
    <w:semiHidden/>
    <w:qFormat/>
    <w:uiPriority w:val="99"/>
    <w:rPr>
      <w:rFonts w:ascii="宋体" w:hAnsi="Calibri" w:eastAsia="宋体" w:cs="Times New Roman"/>
      <w:kern w:val="0"/>
      <w:sz w:val="16"/>
      <w:szCs w:val="16"/>
    </w:rPr>
  </w:style>
  <w:style w:type="character" w:customStyle="1" w:styleId="74">
    <w:name w:val="正文文本 字符3"/>
    <w:semiHidden/>
    <w:qFormat/>
    <w:uiPriority w:val="99"/>
    <w:rPr>
      <w:rFonts w:ascii="宋体" w:hAnsi="Calibri" w:eastAsia="宋体" w:cs="Times New Roman"/>
      <w:kern w:val="0"/>
      <w:sz w:val="24"/>
      <w:szCs w:val="24"/>
    </w:rPr>
  </w:style>
  <w:style w:type="character" w:customStyle="1" w:styleId="75">
    <w:name w:val="日期 字符1"/>
    <w:semiHidden/>
    <w:qFormat/>
    <w:uiPriority w:val="99"/>
    <w:rPr>
      <w:rFonts w:ascii="宋体" w:hAnsi="Calibri" w:eastAsia="宋体" w:cs="Times New Roman"/>
      <w:kern w:val="0"/>
      <w:sz w:val="24"/>
      <w:szCs w:val="24"/>
    </w:rPr>
  </w:style>
  <w:style w:type="character" w:customStyle="1" w:styleId="76">
    <w:name w:val="页脚 Char2"/>
    <w:link w:val="25"/>
    <w:qFormat/>
    <w:uiPriority w:val="99"/>
    <w:rPr>
      <w:rFonts w:ascii="宋体" w:eastAsia="宋体"/>
      <w:sz w:val="18"/>
      <w:szCs w:val="18"/>
    </w:rPr>
  </w:style>
  <w:style w:type="character" w:customStyle="1" w:styleId="77">
    <w:name w:val="吉奥正文 Char"/>
    <w:link w:val="78"/>
    <w:qFormat/>
    <w:locked/>
    <w:uiPriority w:val="0"/>
    <w:rPr>
      <w:rFonts w:eastAsia="仿宋_GB2312"/>
      <w:sz w:val="28"/>
    </w:rPr>
  </w:style>
  <w:style w:type="paragraph" w:customStyle="1" w:styleId="78">
    <w:name w:val="吉奥正文"/>
    <w:basedOn w:val="1"/>
    <w:link w:val="77"/>
    <w:qFormat/>
    <w:uiPriority w:val="0"/>
    <w:pPr>
      <w:adjustRightInd w:val="0"/>
      <w:snapToGrid w:val="0"/>
      <w:spacing w:before="120" w:line="360" w:lineRule="auto"/>
      <w:ind w:firstLine="200" w:firstLineChars="200"/>
      <w:textAlignment w:val="baseline"/>
    </w:pPr>
    <w:rPr>
      <w:rFonts w:eastAsia="仿宋_GB2312"/>
      <w:sz w:val="28"/>
    </w:rPr>
  </w:style>
  <w:style w:type="character" w:customStyle="1" w:styleId="79">
    <w:name w:val="页脚 Char1"/>
    <w:qFormat/>
    <w:uiPriority w:val="99"/>
    <w:rPr>
      <w:rFonts w:ascii="宋体" w:hAnsi="Times New Roman" w:eastAsia="宋体" w:cs="Times New Roman"/>
      <w:kern w:val="0"/>
      <w:sz w:val="18"/>
      <w:szCs w:val="18"/>
    </w:rPr>
  </w:style>
  <w:style w:type="character" w:customStyle="1" w:styleId="80">
    <w:name w:val="标题 字符"/>
    <w:qFormat/>
    <w:uiPriority w:val="10"/>
    <w:rPr>
      <w:rFonts w:ascii="Cambria" w:hAnsi="Cambria" w:eastAsia="宋体" w:cs="Times New Roman"/>
      <w:b/>
      <w:bCs/>
      <w:kern w:val="0"/>
      <w:sz w:val="32"/>
      <w:szCs w:val="32"/>
      <w:lang w:val="en-US" w:eastAsia="zh-CN"/>
    </w:rPr>
  </w:style>
  <w:style w:type="character" w:customStyle="1" w:styleId="81">
    <w:name w:val="题注 Char"/>
    <w:link w:val="14"/>
    <w:qFormat/>
    <w:uiPriority w:val="0"/>
    <w:rPr>
      <w:rFonts w:ascii="Arial" w:hAnsi="Arial" w:eastAsia="黑体" w:cs="Arial"/>
    </w:rPr>
  </w:style>
  <w:style w:type="character" w:customStyle="1" w:styleId="82">
    <w:name w:val="批注文字 字符2"/>
    <w:qFormat/>
    <w:uiPriority w:val="99"/>
    <w:rPr>
      <w:rFonts w:ascii="宋体" w:hAnsi="Times New Roman" w:eastAsia="宋体" w:cs="Times New Roman"/>
      <w:kern w:val="0"/>
      <w:sz w:val="24"/>
      <w:szCs w:val="24"/>
    </w:rPr>
  </w:style>
  <w:style w:type="character" w:customStyle="1" w:styleId="83">
    <w:name w:val="批注主题 字符1"/>
    <w:semiHidden/>
    <w:qFormat/>
    <w:uiPriority w:val="99"/>
    <w:rPr>
      <w:rFonts w:ascii="宋体" w:hAnsi="Calibri" w:eastAsia="宋体" w:cs="Times New Roman"/>
      <w:b/>
      <w:bCs/>
      <w:kern w:val="0"/>
      <w:sz w:val="24"/>
      <w:szCs w:val="24"/>
    </w:rPr>
  </w:style>
  <w:style w:type="character" w:customStyle="1" w:styleId="84">
    <w:name w:val="HTML 预设格式 Char"/>
    <w:link w:val="31"/>
    <w:qFormat/>
    <w:uiPriority w:val="99"/>
    <w:rPr>
      <w:rFonts w:ascii="Arial" w:hAnsi="Arial" w:eastAsia="宋体" w:cs="Arial"/>
      <w:szCs w:val="21"/>
    </w:rPr>
  </w:style>
  <w:style w:type="character" w:customStyle="1" w:styleId="85">
    <w:name w:val="标题 3.1 Char"/>
    <w:link w:val="86"/>
    <w:qFormat/>
    <w:uiPriority w:val="0"/>
    <w:rPr>
      <w:rFonts w:ascii="宋体" w:hAnsi="宋体"/>
      <w:b/>
      <w:bCs/>
      <w:sz w:val="32"/>
      <w:szCs w:val="32"/>
    </w:rPr>
  </w:style>
  <w:style w:type="paragraph" w:customStyle="1" w:styleId="86">
    <w:name w:val="标题 3.1"/>
    <w:basedOn w:val="5"/>
    <w:link w:val="85"/>
    <w:qFormat/>
    <w:uiPriority w:val="0"/>
    <w:pPr>
      <w:keepNext/>
      <w:keepLines/>
      <w:pageBreakBefore/>
      <w:tabs>
        <w:tab w:val="left" w:pos="1440"/>
        <w:tab w:val="left" w:pos="1620"/>
      </w:tabs>
      <w:autoSpaceDE/>
      <w:autoSpaceDN/>
      <w:adjustRightInd/>
      <w:spacing w:before="260" w:after="260" w:line="600" w:lineRule="exact"/>
      <w:jc w:val="both"/>
    </w:pPr>
    <w:rPr>
      <w:rFonts w:hAnsi="宋体" w:eastAsiaTheme="minorEastAsia" w:cstheme="minorBidi"/>
      <w:b/>
      <w:bCs/>
      <w:kern w:val="2"/>
      <w:sz w:val="32"/>
      <w:szCs w:val="32"/>
    </w:rPr>
  </w:style>
  <w:style w:type="character" w:customStyle="1" w:styleId="87">
    <w:name w:val="HTML 预设格式 Char1"/>
    <w:semiHidden/>
    <w:qFormat/>
    <w:uiPriority w:val="99"/>
    <w:rPr>
      <w:rFonts w:ascii="Courier New" w:hAnsi="Courier New" w:eastAsia="宋体" w:cs="Courier New"/>
      <w:kern w:val="0"/>
      <w:sz w:val="20"/>
      <w:szCs w:val="20"/>
    </w:rPr>
  </w:style>
  <w:style w:type="character" w:customStyle="1" w:styleId="88">
    <w:name w:val="批注文字 字符1"/>
    <w:qFormat/>
    <w:uiPriority w:val="0"/>
    <w:rPr>
      <w:rFonts w:eastAsia="宋体"/>
      <w:kern w:val="2"/>
      <w:sz w:val="24"/>
      <w:szCs w:val="24"/>
      <w:lang w:val="en-US" w:eastAsia="zh-CN" w:bidi="ar-SA"/>
    </w:rPr>
  </w:style>
  <w:style w:type="character" w:customStyle="1" w:styleId="89">
    <w:name w:val="正文文本缩进 字符2"/>
    <w:semiHidden/>
    <w:qFormat/>
    <w:uiPriority w:val="99"/>
    <w:rPr>
      <w:rFonts w:ascii="宋体" w:hAnsi="Calibri" w:eastAsia="宋体" w:cs="Times New Roman"/>
      <w:kern w:val="0"/>
      <w:sz w:val="24"/>
      <w:szCs w:val="24"/>
    </w:rPr>
  </w:style>
  <w:style w:type="character" w:customStyle="1" w:styleId="90">
    <w:name w:val="正文文本缩进 Char1"/>
    <w:link w:val="19"/>
    <w:qFormat/>
    <w:uiPriority w:val="0"/>
    <w:rPr>
      <w:rFonts w:ascii="Times New Roman" w:hAnsi="Times New Roman" w:eastAsia="宋体" w:cs="Times New Roman"/>
      <w:szCs w:val="20"/>
    </w:rPr>
  </w:style>
  <w:style w:type="character" w:customStyle="1" w:styleId="91">
    <w:name w:val="普通(网站) Char1"/>
    <w:link w:val="32"/>
    <w:qFormat/>
    <w:locked/>
    <w:uiPriority w:val="0"/>
    <w:rPr>
      <w:rFonts w:ascii="宋体" w:hAnsi="宋体"/>
      <w:sz w:val="15"/>
      <w:szCs w:val="15"/>
    </w:rPr>
  </w:style>
  <w:style w:type="character" w:customStyle="1" w:styleId="92">
    <w:name w:val="模板正文 Char"/>
    <w:link w:val="9"/>
    <w:qFormat/>
    <w:uiPriority w:val="0"/>
    <w:rPr>
      <w:rFonts w:ascii="宋体" w:eastAsia="仿宋"/>
      <w:sz w:val="24"/>
      <w:szCs w:val="21"/>
    </w:rPr>
  </w:style>
  <w:style w:type="character" w:customStyle="1" w:styleId="93">
    <w:name w:val="批注主题 Char"/>
    <w:semiHidden/>
    <w:qFormat/>
    <w:uiPriority w:val="99"/>
    <w:rPr>
      <w:b/>
      <w:bCs/>
      <w:kern w:val="2"/>
      <w:sz w:val="21"/>
    </w:rPr>
  </w:style>
  <w:style w:type="character" w:customStyle="1" w:styleId="94">
    <w:name w:val="正文文本 Char1"/>
    <w:qFormat/>
    <w:uiPriority w:val="0"/>
    <w:rPr>
      <w:rFonts w:ascii="宋体" w:hAnsi="Times New Roman" w:eastAsia="宋体" w:cs="Times New Roman"/>
      <w:kern w:val="0"/>
      <w:sz w:val="24"/>
      <w:szCs w:val="24"/>
    </w:rPr>
  </w:style>
  <w:style w:type="character" w:customStyle="1" w:styleId="95">
    <w:name w:val="正文文本 字符1"/>
    <w:qFormat/>
    <w:uiPriority w:val="99"/>
    <w:rPr>
      <w:rFonts w:ascii="宋体" w:eastAsia="宋体"/>
      <w:b/>
      <w:bCs/>
      <w:sz w:val="84"/>
      <w:szCs w:val="84"/>
      <w:lang w:val="zh-CN"/>
    </w:rPr>
  </w:style>
  <w:style w:type="character" w:customStyle="1" w:styleId="96">
    <w:name w:val="标题 1 Char"/>
    <w:qFormat/>
    <w:uiPriority w:val="9"/>
    <w:rPr>
      <w:rFonts w:ascii="宋体" w:hAnsi="Times New Roman" w:eastAsia="宋体" w:cs="Times New Roman"/>
      <w:kern w:val="0"/>
      <w:sz w:val="24"/>
      <w:szCs w:val="24"/>
    </w:rPr>
  </w:style>
  <w:style w:type="character" w:customStyle="1" w:styleId="97">
    <w:name w:val="正文文本 Char2"/>
    <w:qFormat/>
    <w:uiPriority w:val="99"/>
    <w:rPr>
      <w:rFonts w:ascii="宋体" w:eastAsia="宋体"/>
      <w:b/>
      <w:bCs/>
      <w:sz w:val="84"/>
      <w:szCs w:val="84"/>
      <w:lang w:val="zh-CN"/>
    </w:rPr>
  </w:style>
  <w:style w:type="character" w:customStyle="1" w:styleId="98">
    <w:name w:val="纯文本 Char2"/>
    <w:link w:val="21"/>
    <w:qFormat/>
    <w:uiPriority w:val="0"/>
    <w:rPr>
      <w:rFonts w:ascii="宋体" w:hAnsi="Courier New" w:eastAsia="宋体"/>
    </w:rPr>
  </w:style>
  <w:style w:type="character" w:customStyle="1" w:styleId="99">
    <w:name w:val="正文文本缩进 2 Char"/>
    <w:link w:val="23"/>
    <w:qFormat/>
    <w:uiPriority w:val="0"/>
    <w:rPr>
      <w:rFonts w:ascii="宋体" w:hAnsi="Times New Roman" w:eastAsia="宋体" w:cs="Times New Roman"/>
      <w:szCs w:val="20"/>
    </w:rPr>
  </w:style>
  <w:style w:type="character" w:customStyle="1" w:styleId="100">
    <w:name w:val="HTML Markup"/>
    <w:qFormat/>
    <w:uiPriority w:val="0"/>
    <w:rPr>
      <w:vanish/>
      <w:color w:val="FF0000"/>
    </w:rPr>
  </w:style>
  <w:style w:type="character" w:customStyle="1" w:styleId="101">
    <w:name w:val="页眉 Char1"/>
    <w:qFormat/>
    <w:uiPriority w:val="0"/>
    <w:rPr>
      <w:rFonts w:ascii="宋体" w:hAnsi="Times New Roman" w:eastAsia="宋体" w:cs="Times New Roman"/>
      <w:kern w:val="0"/>
      <w:sz w:val="18"/>
      <w:szCs w:val="18"/>
    </w:rPr>
  </w:style>
  <w:style w:type="character" w:customStyle="1" w:styleId="102">
    <w:name w:val="font11"/>
    <w:qFormat/>
    <w:uiPriority w:val="0"/>
    <w:rPr>
      <w:rFonts w:hint="eastAsia" w:ascii="宋体" w:hAnsi="宋体" w:eastAsia="宋体" w:cs="宋体"/>
      <w:color w:val="FF0000"/>
      <w:sz w:val="22"/>
      <w:szCs w:val="22"/>
      <w:u w:val="none"/>
    </w:rPr>
  </w:style>
  <w:style w:type="character" w:customStyle="1" w:styleId="103">
    <w:name w:val="style61"/>
    <w:qFormat/>
    <w:uiPriority w:val="0"/>
    <w:rPr>
      <w:b/>
      <w:bCs/>
    </w:rPr>
  </w:style>
  <w:style w:type="character" w:customStyle="1" w:styleId="104">
    <w:name w:val="表头文字 Char"/>
    <w:link w:val="105"/>
    <w:qFormat/>
    <w:uiPriority w:val="0"/>
    <w:rPr>
      <w:rFonts w:eastAsia="仿宋_GB2312"/>
      <w:b/>
      <w:sz w:val="28"/>
      <w:szCs w:val="21"/>
    </w:rPr>
  </w:style>
  <w:style w:type="paragraph" w:customStyle="1" w:styleId="105">
    <w:name w:val="表头文字"/>
    <w:basedOn w:val="1"/>
    <w:link w:val="104"/>
    <w:qFormat/>
    <w:uiPriority w:val="0"/>
    <w:pPr>
      <w:adjustRightInd w:val="0"/>
      <w:snapToGrid w:val="0"/>
      <w:spacing w:before="120" w:line="360" w:lineRule="auto"/>
      <w:jc w:val="center"/>
      <w:textAlignment w:val="baseline"/>
    </w:pPr>
    <w:rPr>
      <w:rFonts w:eastAsia="仿宋_GB2312"/>
      <w:b/>
      <w:sz w:val="28"/>
      <w:szCs w:val="21"/>
    </w:rPr>
  </w:style>
  <w:style w:type="character" w:customStyle="1" w:styleId="106">
    <w:name w:val="日期 Char1"/>
    <w:link w:val="22"/>
    <w:qFormat/>
    <w:uiPriority w:val="99"/>
    <w:rPr>
      <w:rFonts w:ascii="宋体" w:hAnsi="Times New Roman" w:eastAsia="宋体" w:cs="Times New Roman"/>
      <w:b/>
      <w:bCs/>
      <w:szCs w:val="21"/>
      <w:lang w:val="zh-CN"/>
    </w:rPr>
  </w:style>
  <w:style w:type="character" w:customStyle="1" w:styleId="107">
    <w:name w:val="纯文本 Char1"/>
    <w:qFormat/>
    <w:uiPriority w:val="0"/>
    <w:rPr>
      <w:rFonts w:ascii="宋体" w:hAnsi="Courier New" w:eastAsia="宋体" w:cs="Courier New"/>
      <w:kern w:val="0"/>
      <w:szCs w:val="21"/>
    </w:rPr>
  </w:style>
  <w:style w:type="character" w:customStyle="1" w:styleId="108">
    <w:name w:val="批注主题 Char1"/>
    <w:link w:val="34"/>
    <w:qFormat/>
    <w:uiPriority w:val="99"/>
    <w:rPr>
      <w:rFonts w:ascii="宋体" w:hAnsi="Times New Roman" w:eastAsia="宋体" w:cs="Times New Roman"/>
      <w:b/>
      <w:bCs/>
      <w:kern w:val="0"/>
      <w:sz w:val="24"/>
      <w:szCs w:val="24"/>
    </w:rPr>
  </w:style>
  <w:style w:type="character" w:customStyle="1" w:styleId="109">
    <w:name w:val="纯文本 字符"/>
    <w:qFormat/>
    <w:uiPriority w:val="99"/>
    <w:rPr>
      <w:rFonts w:ascii="宋体" w:hAnsi="Courier New" w:eastAsia="宋体" w:cs="Times New Roman"/>
      <w:szCs w:val="20"/>
      <w:lang w:val="en-US" w:eastAsia="zh-CN"/>
    </w:rPr>
  </w:style>
  <w:style w:type="character" w:customStyle="1" w:styleId="110">
    <w:name w:val="font71"/>
    <w:basedOn w:val="38"/>
    <w:qFormat/>
    <w:uiPriority w:val="0"/>
    <w:rPr>
      <w:rFonts w:hint="eastAsia" w:ascii="宋体" w:hAnsi="宋体" w:eastAsia="宋体" w:cs="宋体"/>
      <w:color w:val="FF0000"/>
      <w:sz w:val="18"/>
      <w:szCs w:val="18"/>
      <w:u w:val="none"/>
    </w:rPr>
  </w:style>
  <w:style w:type="character" w:customStyle="1" w:styleId="111">
    <w:name w:val="font21"/>
    <w:qFormat/>
    <w:uiPriority w:val="0"/>
    <w:rPr>
      <w:rFonts w:hint="eastAsia" w:ascii="宋体" w:hAnsi="宋体" w:eastAsia="宋体" w:cs="宋体"/>
      <w:b/>
      <w:color w:val="000000"/>
      <w:sz w:val="21"/>
      <w:szCs w:val="21"/>
      <w:u w:val="none"/>
    </w:rPr>
  </w:style>
  <w:style w:type="character" w:customStyle="1" w:styleId="112">
    <w:name w:val="纯文本 字符3"/>
    <w:semiHidden/>
    <w:qFormat/>
    <w:uiPriority w:val="99"/>
    <w:rPr>
      <w:rFonts w:ascii="等线" w:hAnsi="Courier New" w:cs="Courier New"/>
      <w:kern w:val="0"/>
      <w:sz w:val="24"/>
      <w:szCs w:val="24"/>
    </w:rPr>
  </w:style>
  <w:style w:type="character" w:customStyle="1" w:styleId="113">
    <w:name w:val="font31"/>
    <w:qFormat/>
    <w:uiPriority w:val="0"/>
    <w:rPr>
      <w:rFonts w:hint="eastAsia" w:ascii="宋体" w:hAnsi="宋体" w:eastAsia="宋体" w:cs="宋体"/>
      <w:color w:val="000000"/>
      <w:sz w:val="18"/>
      <w:szCs w:val="18"/>
      <w:u w:val="none"/>
    </w:rPr>
  </w:style>
  <w:style w:type="character" w:customStyle="1" w:styleId="114">
    <w:name w:val="文档结构图 Char"/>
    <w:link w:val="15"/>
    <w:semiHidden/>
    <w:qFormat/>
    <w:uiPriority w:val="99"/>
    <w:rPr>
      <w:rFonts w:ascii="宋体" w:hAnsi="Times New Roman" w:eastAsia="宋体" w:cs="Times New Roman"/>
      <w:kern w:val="0"/>
      <w:sz w:val="24"/>
      <w:szCs w:val="24"/>
      <w:shd w:val="clear" w:color="auto" w:fill="000080"/>
    </w:rPr>
  </w:style>
  <w:style w:type="character" w:customStyle="1" w:styleId="115">
    <w:name w:val="普通(网站) 字符1"/>
    <w:qFormat/>
    <w:locked/>
    <w:uiPriority w:val="0"/>
    <w:rPr>
      <w:rFonts w:ascii="宋体" w:hAnsi="宋体"/>
      <w:sz w:val="15"/>
      <w:szCs w:val="15"/>
    </w:rPr>
  </w:style>
  <w:style w:type="character" w:customStyle="1" w:styleId="116">
    <w:name w:val="正文文本 Char3"/>
    <w:link w:val="18"/>
    <w:qFormat/>
    <w:uiPriority w:val="99"/>
    <w:rPr>
      <w:rFonts w:ascii="宋体" w:eastAsia="宋体"/>
      <w:b/>
      <w:bCs/>
      <w:sz w:val="84"/>
      <w:szCs w:val="84"/>
      <w:lang w:val="zh-CN"/>
    </w:rPr>
  </w:style>
  <w:style w:type="character" w:customStyle="1" w:styleId="117">
    <w:name w:val="标题 5 Char"/>
    <w:semiHidden/>
    <w:qFormat/>
    <w:uiPriority w:val="9"/>
    <w:rPr>
      <w:b/>
      <w:bCs/>
      <w:kern w:val="2"/>
      <w:sz w:val="28"/>
      <w:szCs w:val="28"/>
    </w:rPr>
  </w:style>
  <w:style w:type="character" w:customStyle="1" w:styleId="118">
    <w:name w:val="页眉 Char2"/>
    <w:link w:val="26"/>
    <w:qFormat/>
    <w:uiPriority w:val="99"/>
    <w:rPr>
      <w:rFonts w:ascii="宋体" w:eastAsia="宋体"/>
      <w:sz w:val="18"/>
      <w:szCs w:val="18"/>
    </w:rPr>
  </w:style>
  <w:style w:type="character" w:customStyle="1" w:styleId="119">
    <w:name w:val="表格文字 Char"/>
    <w:link w:val="120"/>
    <w:qFormat/>
    <w:uiPriority w:val="0"/>
    <w:rPr>
      <w:rFonts w:eastAsia="仿宋_GB2312"/>
      <w:sz w:val="28"/>
      <w:szCs w:val="24"/>
    </w:rPr>
  </w:style>
  <w:style w:type="paragraph" w:customStyle="1" w:styleId="120">
    <w:name w:val="表格文字"/>
    <w:basedOn w:val="1"/>
    <w:link w:val="119"/>
    <w:qFormat/>
    <w:uiPriority w:val="0"/>
    <w:rPr>
      <w:rFonts w:eastAsia="仿宋_GB2312"/>
      <w:sz w:val="28"/>
      <w:szCs w:val="24"/>
    </w:rPr>
  </w:style>
  <w:style w:type="character" w:customStyle="1" w:styleId="121">
    <w:name w:val="标题 字符2"/>
    <w:qFormat/>
    <w:uiPriority w:val="10"/>
    <w:rPr>
      <w:rFonts w:ascii="等线 Light" w:hAnsi="等线 Light" w:eastAsia="等线 Light" w:cs="Times New Roman"/>
      <w:b/>
      <w:bCs/>
      <w:kern w:val="0"/>
      <w:sz w:val="32"/>
      <w:szCs w:val="32"/>
    </w:rPr>
  </w:style>
  <w:style w:type="character" w:customStyle="1" w:styleId="122">
    <w:name w:val="正文缩进2格 Char Char"/>
    <w:qFormat/>
    <w:uiPriority w:val="0"/>
    <w:rPr>
      <w:rFonts w:ascii="仿宋_GB2312" w:hAnsi="宋体" w:eastAsia="仿宋_GB2312"/>
      <w:kern w:val="2"/>
      <w:sz w:val="31"/>
      <w:szCs w:val="28"/>
      <w:lang w:val="en-US" w:eastAsia="zh-CN" w:bidi="ar-SA"/>
    </w:rPr>
  </w:style>
  <w:style w:type="character" w:customStyle="1" w:styleId="123">
    <w:name w:val="小 Char"/>
    <w:qFormat/>
    <w:uiPriority w:val="0"/>
    <w:rPr>
      <w:rFonts w:ascii="宋体" w:hAnsi="Courier New" w:eastAsia="宋体"/>
      <w:kern w:val="2"/>
      <w:sz w:val="21"/>
      <w:lang w:val="en-US" w:eastAsia="zh-CN" w:bidi="ar-SA"/>
    </w:rPr>
  </w:style>
  <w:style w:type="character" w:customStyle="1" w:styleId="124">
    <w:name w:val="themebody1"/>
    <w:qFormat/>
    <w:uiPriority w:val="0"/>
    <w:rPr>
      <w:color w:val="FFFFFF"/>
    </w:rPr>
  </w:style>
  <w:style w:type="character" w:customStyle="1" w:styleId="125">
    <w:name w:val="页脚 字符1"/>
    <w:semiHidden/>
    <w:qFormat/>
    <w:uiPriority w:val="99"/>
    <w:rPr>
      <w:rFonts w:ascii="宋体" w:hAnsi="Calibri" w:eastAsia="宋体" w:cs="Times New Roman"/>
      <w:kern w:val="0"/>
      <w:sz w:val="18"/>
      <w:szCs w:val="18"/>
    </w:rPr>
  </w:style>
  <w:style w:type="character" w:customStyle="1" w:styleId="126">
    <w:name w:val="列出段落 Char"/>
    <w:link w:val="127"/>
    <w:qFormat/>
    <w:uiPriority w:val="34"/>
    <w:rPr>
      <w:kern w:val="2"/>
      <w:sz w:val="21"/>
      <w:szCs w:val="22"/>
    </w:rPr>
  </w:style>
  <w:style w:type="paragraph" w:styleId="127">
    <w:name w:val="List Paragraph"/>
    <w:basedOn w:val="1"/>
    <w:link w:val="126"/>
    <w:qFormat/>
    <w:uiPriority w:val="34"/>
    <w:pPr>
      <w:ind w:firstLine="420" w:firstLineChars="200"/>
    </w:pPr>
  </w:style>
  <w:style w:type="character" w:customStyle="1" w:styleId="128">
    <w:name w:val="正文文本 Char"/>
    <w:qFormat/>
    <w:uiPriority w:val="99"/>
    <w:rPr>
      <w:rFonts w:ascii="宋体" w:eastAsia="宋体"/>
      <w:b/>
      <w:bCs/>
      <w:sz w:val="84"/>
      <w:szCs w:val="84"/>
      <w:lang w:val="zh-CN"/>
    </w:rPr>
  </w:style>
  <w:style w:type="character" w:customStyle="1" w:styleId="129">
    <w:name w:val="页眉 字符1"/>
    <w:semiHidden/>
    <w:qFormat/>
    <w:uiPriority w:val="99"/>
    <w:rPr>
      <w:rFonts w:ascii="宋体" w:hAnsi="Calibri" w:eastAsia="宋体" w:cs="Times New Roman"/>
      <w:kern w:val="0"/>
      <w:sz w:val="18"/>
      <w:szCs w:val="18"/>
    </w:rPr>
  </w:style>
  <w:style w:type="character" w:customStyle="1" w:styleId="130">
    <w:name w:val="标题 5 Char1"/>
    <w:link w:val="7"/>
    <w:qFormat/>
    <w:uiPriority w:val="9"/>
    <w:rPr>
      <w:rFonts w:ascii="宋体" w:hAnsi="Calibri" w:eastAsia="宋体" w:cs="Times New Roman"/>
      <w:b/>
      <w:bCs/>
      <w:kern w:val="0"/>
      <w:sz w:val="28"/>
      <w:szCs w:val="28"/>
    </w:rPr>
  </w:style>
  <w:style w:type="character" w:customStyle="1" w:styleId="131">
    <w:name w:val="keyfeatures1"/>
    <w:qFormat/>
    <w:uiPriority w:val="0"/>
    <w:rPr>
      <w:rFonts w:hint="default" w:ascii="Arial" w:hAnsi="Arial" w:cs="Arial"/>
      <w:color w:val="003366"/>
      <w:sz w:val="17"/>
      <w:szCs w:val="17"/>
      <w:u w:val="none"/>
    </w:rPr>
  </w:style>
  <w:style w:type="character" w:customStyle="1" w:styleId="132">
    <w:name w:val="题注 字符"/>
    <w:qFormat/>
    <w:uiPriority w:val="0"/>
    <w:rPr>
      <w:rFonts w:ascii="宋体" w:hAnsi="宋体" w:eastAsia="黑体" w:cs="Times New Roman"/>
      <w:b/>
      <w:szCs w:val="21"/>
    </w:rPr>
  </w:style>
  <w:style w:type="character" w:customStyle="1" w:styleId="133">
    <w:name w:val="标题 4 Char"/>
    <w:qFormat/>
    <w:uiPriority w:val="0"/>
    <w:rPr>
      <w:rFonts w:ascii="宋体" w:hAnsi="宋体" w:eastAsia="宋体"/>
      <w:b/>
      <w:kern w:val="2"/>
      <w:sz w:val="21"/>
      <w:szCs w:val="24"/>
      <w:lang w:val="en-US" w:eastAsia="zh-CN" w:bidi="ar-SA"/>
    </w:rPr>
  </w:style>
  <w:style w:type="character" w:customStyle="1" w:styleId="134">
    <w:name w:val="批注文字 字符3"/>
    <w:semiHidden/>
    <w:qFormat/>
    <w:uiPriority w:val="99"/>
    <w:rPr>
      <w:rFonts w:ascii="宋体" w:hAnsi="Calibri" w:eastAsia="宋体" w:cs="Times New Roman"/>
      <w:kern w:val="0"/>
      <w:sz w:val="24"/>
      <w:szCs w:val="24"/>
    </w:rPr>
  </w:style>
  <w:style w:type="character" w:customStyle="1" w:styleId="135">
    <w:name w:val="纯文本 字符1"/>
    <w:qFormat/>
    <w:uiPriority w:val="0"/>
    <w:rPr>
      <w:rFonts w:ascii="宋体" w:hAnsi="Courier New" w:eastAsia="宋体"/>
      <w:kern w:val="2"/>
      <w:sz w:val="21"/>
      <w:szCs w:val="24"/>
      <w:lang w:val="en-US" w:eastAsia="zh-CN" w:bidi="ar-SA"/>
    </w:rPr>
  </w:style>
  <w:style w:type="character" w:customStyle="1" w:styleId="136">
    <w:name w:val="列出段落 Char1"/>
    <w:qFormat/>
    <w:uiPriority w:val="34"/>
    <w:rPr>
      <w:rFonts w:ascii="宋体"/>
      <w:sz w:val="24"/>
      <w:szCs w:val="24"/>
    </w:rPr>
  </w:style>
  <w:style w:type="character" w:customStyle="1" w:styleId="137">
    <w:name w:val="彩色列表 - 着色 1 字符"/>
    <w:link w:val="138"/>
    <w:qFormat/>
    <w:uiPriority w:val="0"/>
    <w:rPr>
      <w:rFonts w:ascii="Calibri" w:hAnsi="Calibri"/>
    </w:rPr>
  </w:style>
  <w:style w:type="paragraph" w:customStyle="1" w:styleId="138">
    <w:name w:val="彩色列表 - 着色 11"/>
    <w:basedOn w:val="1"/>
    <w:link w:val="137"/>
    <w:qFormat/>
    <w:uiPriority w:val="0"/>
    <w:pPr>
      <w:ind w:firstLine="420" w:firstLineChars="200"/>
    </w:pPr>
    <w:rPr>
      <w:rFonts w:ascii="Calibri" w:hAnsi="Calibri"/>
    </w:rPr>
  </w:style>
  <w:style w:type="character" w:customStyle="1" w:styleId="139">
    <w:name w:val="纯文本 Char"/>
    <w:qFormat/>
    <w:uiPriority w:val="0"/>
    <w:rPr>
      <w:rFonts w:ascii="宋体" w:hAnsi="Courier New" w:eastAsia="宋体" w:cs="Times New Roman"/>
      <w:szCs w:val="20"/>
    </w:rPr>
  </w:style>
  <w:style w:type="character" w:customStyle="1" w:styleId="140">
    <w:name w:val="标题 6 Char"/>
    <w:link w:val="8"/>
    <w:qFormat/>
    <w:uiPriority w:val="9"/>
    <w:rPr>
      <w:rFonts w:ascii="Times New Roman" w:hAnsi="Calibri" w:eastAsia="黑体" w:cs="Times New Roman"/>
      <w:b/>
      <w:bCs/>
      <w:kern w:val="0"/>
      <w:sz w:val="28"/>
      <w:szCs w:val="24"/>
    </w:rPr>
  </w:style>
  <w:style w:type="character" w:customStyle="1" w:styleId="141">
    <w:name w:val="正文文本 2 Char"/>
    <w:link w:val="30"/>
    <w:qFormat/>
    <w:uiPriority w:val="0"/>
    <w:rPr>
      <w:rFonts w:ascii="Arial" w:hAnsi="Arial" w:eastAsia="宋体" w:cs="Times New Roman"/>
      <w:color w:val="000000"/>
      <w:szCs w:val="24"/>
    </w:rPr>
  </w:style>
  <w:style w:type="character" w:customStyle="1" w:styleId="142">
    <w:name w:val="标题 3 Char"/>
    <w:link w:val="5"/>
    <w:qFormat/>
    <w:uiPriority w:val="0"/>
    <w:rPr>
      <w:rFonts w:ascii="宋体" w:hAnsi="Calibri" w:eastAsia="宋体" w:cs="Times New Roman"/>
      <w:kern w:val="0"/>
      <w:sz w:val="24"/>
      <w:szCs w:val="24"/>
    </w:rPr>
  </w:style>
  <w:style w:type="character" w:customStyle="1" w:styleId="143">
    <w:name w:val="正文文本缩进 2 字符1"/>
    <w:semiHidden/>
    <w:qFormat/>
    <w:uiPriority w:val="99"/>
    <w:rPr>
      <w:rFonts w:ascii="宋体" w:hAnsi="Calibri" w:eastAsia="宋体" w:cs="Times New Roman"/>
      <w:kern w:val="0"/>
      <w:sz w:val="24"/>
      <w:szCs w:val="24"/>
    </w:rPr>
  </w:style>
  <w:style w:type="character" w:customStyle="1" w:styleId="144">
    <w:name w:val="正文文本缩进 3 字符1"/>
    <w:semiHidden/>
    <w:qFormat/>
    <w:uiPriority w:val="99"/>
    <w:rPr>
      <w:rFonts w:ascii="宋体" w:hAnsi="Calibri" w:eastAsia="宋体" w:cs="Times New Roman"/>
      <w:kern w:val="0"/>
      <w:sz w:val="16"/>
      <w:szCs w:val="16"/>
    </w:rPr>
  </w:style>
  <w:style w:type="character" w:customStyle="1" w:styleId="145">
    <w:name w:val="正文文本 2 字符1"/>
    <w:semiHidden/>
    <w:qFormat/>
    <w:uiPriority w:val="99"/>
    <w:rPr>
      <w:rFonts w:ascii="宋体" w:hAnsi="Calibri" w:eastAsia="宋体" w:cs="Times New Roman"/>
      <w:kern w:val="0"/>
      <w:sz w:val="24"/>
      <w:szCs w:val="24"/>
    </w:rPr>
  </w:style>
  <w:style w:type="character" w:customStyle="1" w:styleId="146">
    <w:name w:val="eschoolnr"/>
    <w:qFormat/>
    <w:uiPriority w:val="0"/>
    <w:rPr>
      <w:sz w:val="23"/>
      <w:szCs w:val="23"/>
    </w:rPr>
  </w:style>
  <w:style w:type="character" w:customStyle="1" w:styleId="147">
    <w:name w:val="访问过的超链接1"/>
    <w:qFormat/>
    <w:uiPriority w:val="0"/>
    <w:rPr>
      <w:rFonts w:ascii="Arial" w:hAnsi="Arial" w:cs="Arial"/>
      <w:color w:val="000000"/>
      <w:sz w:val="20"/>
      <w:szCs w:val="20"/>
      <w:u w:val="none"/>
    </w:rPr>
  </w:style>
  <w:style w:type="character" w:customStyle="1" w:styleId="148">
    <w:name w:val="标题 1 Char1"/>
    <w:link w:val="3"/>
    <w:qFormat/>
    <w:uiPriority w:val="0"/>
    <w:rPr>
      <w:rFonts w:ascii="宋体" w:hAnsi="Calibri" w:eastAsia="宋体" w:cs="Times New Roman"/>
      <w:kern w:val="0"/>
      <w:sz w:val="24"/>
      <w:szCs w:val="24"/>
    </w:rPr>
  </w:style>
  <w:style w:type="character" w:customStyle="1" w:styleId="149">
    <w:name w:val="批注文字 Char1"/>
    <w:qFormat/>
    <w:uiPriority w:val="0"/>
    <w:rPr>
      <w:kern w:val="2"/>
      <w:sz w:val="21"/>
      <w:szCs w:val="24"/>
    </w:rPr>
  </w:style>
  <w:style w:type="character" w:customStyle="1" w:styleId="150">
    <w:name w:val="批注框文本 Char"/>
    <w:semiHidden/>
    <w:qFormat/>
    <w:uiPriority w:val="99"/>
    <w:rPr>
      <w:kern w:val="2"/>
      <w:sz w:val="18"/>
      <w:szCs w:val="18"/>
    </w:rPr>
  </w:style>
  <w:style w:type="character" w:customStyle="1" w:styleId="151">
    <w:name w:val="DAS正文 Char"/>
    <w:qFormat/>
    <w:uiPriority w:val="0"/>
    <w:rPr>
      <w:rFonts w:ascii="Verdana" w:hAnsi="Verdana" w:eastAsia="宋体"/>
      <w:kern w:val="2"/>
      <w:sz w:val="21"/>
      <w:szCs w:val="21"/>
      <w:lang w:val="en-US" w:eastAsia="zh-CN" w:bidi="ar-SA"/>
    </w:rPr>
  </w:style>
  <w:style w:type="character" w:customStyle="1" w:styleId="152">
    <w:name w:val="正文文本缩进 3 Char"/>
    <w:link w:val="29"/>
    <w:qFormat/>
    <w:uiPriority w:val="0"/>
    <w:rPr>
      <w:rFonts w:ascii="宋体" w:hAnsi="Times New Roman" w:eastAsia="宋体" w:cs="Times New Roman"/>
      <w:kern w:val="0"/>
      <w:sz w:val="24"/>
      <w:szCs w:val="24"/>
    </w:rPr>
  </w:style>
  <w:style w:type="character" w:customStyle="1" w:styleId="153">
    <w:name w:val="页眉 Char"/>
    <w:qFormat/>
    <w:uiPriority w:val="99"/>
    <w:rPr>
      <w:kern w:val="2"/>
      <w:sz w:val="18"/>
      <w:szCs w:val="18"/>
    </w:rPr>
  </w:style>
  <w:style w:type="character" w:customStyle="1" w:styleId="154">
    <w:name w:val="正文文本 3 Char"/>
    <w:link w:val="17"/>
    <w:qFormat/>
    <w:uiPriority w:val="0"/>
    <w:rPr>
      <w:rFonts w:ascii="宋体" w:hAnsi="Times New Roman" w:eastAsia="宋体" w:cs="Times New Roman"/>
      <w:b/>
      <w:bCs/>
      <w:color w:val="3366FF"/>
      <w:sz w:val="52"/>
      <w:szCs w:val="52"/>
      <w:lang w:val="zh-CN"/>
    </w:rPr>
  </w:style>
  <w:style w:type="character" w:customStyle="1" w:styleId="155">
    <w:name w:val="HTML 预设格式 字符1"/>
    <w:semiHidden/>
    <w:qFormat/>
    <w:uiPriority w:val="99"/>
    <w:rPr>
      <w:rFonts w:ascii="Courier New" w:hAnsi="Courier New" w:eastAsia="宋体" w:cs="Courier New"/>
      <w:kern w:val="0"/>
      <w:sz w:val="20"/>
      <w:szCs w:val="20"/>
    </w:rPr>
  </w:style>
  <w:style w:type="character" w:customStyle="1" w:styleId="156">
    <w:name w:val="彩色列表 - 强调文字颜色 1 Char"/>
    <w:link w:val="157"/>
    <w:qFormat/>
    <w:uiPriority w:val="0"/>
    <w:rPr>
      <w:rFonts w:ascii="宋体"/>
      <w:sz w:val="24"/>
      <w:szCs w:val="24"/>
    </w:rPr>
  </w:style>
  <w:style w:type="paragraph" w:customStyle="1" w:styleId="157">
    <w:name w:val="彩色列表 - 强调文字颜色 11"/>
    <w:basedOn w:val="1"/>
    <w:link w:val="156"/>
    <w:qFormat/>
    <w:uiPriority w:val="0"/>
    <w:pPr>
      <w:autoSpaceDE w:val="0"/>
      <w:autoSpaceDN w:val="0"/>
      <w:adjustRightInd w:val="0"/>
      <w:ind w:firstLine="420" w:firstLineChars="200"/>
      <w:jc w:val="left"/>
    </w:pPr>
    <w:rPr>
      <w:rFonts w:ascii="宋体"/>
      <w:sz w:val="24"/>
      <w:szCs w:val="24"/>
    </w:rPr>
  </w:style>
  <w:style w:type="character" w:customStyle="1" w:styleId="158">
    <w:name w:val="普通(网站) 字符"/>
    <w:qFormat/>
    <w:locked/>
    <w:uiPriority w:val="99"/>
    <w:rPr>
      <w:rFonts w:ascii="宋体" w:hAnsi="宋体" w:eastAsia="宋体" w:cs="Times New Roman"/>
      <w:kern w:val="0"/>
      <w:sz w:val="15"/>
      <w:szCs w:val="15"/>
      <w:lang w:val="en-US" w:eastAsia="zh-CN"/>
    </w:rPr>
  </w:style>
  <w:style w:type="paragraph" w:customStyle="1" w:styleId="159">
    <w:name w:val="_Style 123"/>
    <w:basedOn w:val="1"/>
    <w:next w:val="127"/>
    <w:qFormat/>
    <w:uiPriority w:val="34"/>
    <w:pPr>
      <w:spacing w:line="360" w:lineRule="auto"/>
      <w:ind w:firstLine="420" w:firstLineChars="200"/>
    </w:pPr>
    <w:rPr>
      <w:rFonts w:ascii="Calibri" w:hAnsi="Calibri" w:eastAsia="宋体" w:cs="Times New Roman"/>
    </w:rPr>
  </w:style>
  <w:style w:type="character" w:customStyle="1" w:styleId="160">
    <w:name w:val="纯文本 字符4"/>
    <w:basedOn w:val="38"/>
    <w:semiHidden/>
    <w:qFormat/>
    <w:uiPriority w:val="99"/>
    <w:rPr>
      <w:rFonts w:hAnsi="Courier New" w:cs="Courier New" w:asciiTheme="minorEastAsia"/>
    </w:rPr>
  </w:style>
  <w:style w:type="character" w:customStyle="1" w:styleId="161">
    <w:name w:val="批注文字 Char2"/>
    <w:basedOn w:val="38"/>
    <w:link w:val="16"/>
    <w:semiHidden/>
    <w:qFormat/>
    <w:uiPriority w:val="99"/>
  </w:style>
  <w:style w:type="character" w:customStyle="1" w:styleId="162">
    <w:name w:val="批注主题 字符2"/>
    <w:basedOn w:val="161"/>
    <w:semiHidden/>
    <w:qFormat/>
    <w:uiPriority w:val="99"/>
    <w:rPr>
      <w:b/>
      <w:bCs/>
    </w:rPr>
  </w:style>
  <w:style w:type="character" w:customStyle="1" w:styleId="163">
    <w:name w:val="标题 字符3"/>
    <w:basedOn w:val="38"/>
    <w:qFormat/>
    <w:uiPriority w:val="10"/>
    <w:rPr>
      <w:rFonts w:asciiTheme="majorHAnsi" w:hAnsiTheme="majorHAnsi" w:eastAsiaTheme="majorEastAsia" w:cstheme="majorBidi"/>
      <w:b/>
      <w:bCs/>
      <w:sz w:val="32"/>
      <w:szCs w:val="32"/>
    </w:rPr>
  </w:style>
  <w:style w:type="character" w:customStyle="1" w:styleId="164">
    <w:name w:val="正文文本缩进 字符3"/>
    <w:basedOn w:val="38"/>
    <w:semiHidden/>
    <w:qFormat/>
    <w:uiPriority w:val="99"/>
  </w:style>
  <w:style w:type="character" w:customStyle="1" w:styleId="165">
    <w:name w:val="正文文本 字符4"/>
    <w:basedOn w:val="38"/>
    <w:semiHidden/>
    <w:qFormat/>
    <w:uiPriority w:val="99"/>
  </w:style>
  <w:style w:type="character" w:customStyle="1" w:styleId="166">
    <w:name w:val="正文文本缩进 3 字符2"/>
    <w:basedOn w:val="38"/>
    <w:semiHidden/>
    <w:qFormat/>
    <w:uiPriority w:val="99"/>
    <w:rPr>
      <w:sz w:val="16"/>
      <w:szCs w:val="16"/>
    </w:rPr>
  </w:style>
  <w:style w:type="character" w:customStyle="1" w:styleId="167">
    <w:name w:val="页眉 字符2"/>
    <w:basedOn w:val="38"/>
    <w:semiHidden/>
    <w:qFormat/>
    <w:uiPriority w:val="99"/>
    <w:rPr>
      <w:sz w:val="18"/>
      <w:szCs w:val="18"/>
    </w:rPr>
  </w:style>
  <w:style w:type="character" w:customStyle="1" w:styleId="168">
    <w:name w:val="批注框文本 字符2"/>
    <w:basedOn w:val="38"/>
    <w:semiHidden/>
    <w:qFormat/>
    <w:uiPriority w:val="99"/>
    <w:rPr>
      <w:sz w:val="18"/>
      <w:szCs w:val="18"/>
    </w:rPr>
  </w:style>
  <w:style w:type="character" w:customStyle="1" w:styleId="169">
    <w:name w:val="HTML 预设格式 字符2"/>
    <w:basedOn w:val="38"/>
    <w:semiHidden/>
    <w:qFormat/>
    <w:uiPriority w:val="99"/>
    <w:rPr>
      <w:rFonts w:ascii="Courier New" w:hAnsi="Courier New" w:cs="Courier New"/>
      <w:sz w:val="20"/>
      <w:szCs w:val="20"/>
    </w:rPr>
  </w:style>
  <w:style w:type="character" w:customStyle="1" w:styleId="170">
    <w:name w:val="页脚 字符2"/>
    <w:basedOn w:val="38"/>
    <w:semiHidden/>
    <w:qFormat/>
    <w:uiPriority w:val="99"/>
    <w:rPr>
      <w:sz w:val="18"/>
      <w:szCs w:val="18"/>
    </w:rPr>
  </w:style>
  <w:style w:type="character" w:customStyle="1" w:styleId="171">
    <w:name w:val="正文文本缩进 2 字符2"/>
    <w:basedOn w:val="38"/>
    <w:semiHidden/>
    <w:qFormat/>
    <w:uiPriority w:val="99"/>
  </w:style>
  <w:style w:type="character" w:customStyle="1" w:styleId="172">
    <w:name w:val="正文文本 3 字符2"/>
    <w:basedOn w:val="38"/>
    <w:semiHidden/>
    <w:qFormat/>
    <w:uiPriority w:val="99"/>
    <w:rPr>
      <w:sz w:val="16"/>
      <w:szCs w:val="16"/>
    </w:rPr>
  </w:style>
  <w:style w:type="character" w:customStyle="1" w:styleId="173">
    <w:name w:val="正文文本 2 字符2"/>
    <w:basedOn w:val="38"/>
    <w:semiHidden/>
    <w:qFormat/>
    <w:uiPriority w:val="99"/>
  </w:style>
  <w:style w:type="paragraph" w:customStyle="1" w:styleId="174">
    <w:name w:val="WPSOffice手动目录 3"/>
    <w:qFormat/>
    <w:uiPriority w:val="0"/>
    <w:pPr>
      <w:ind w:left="400" w:leftChars="400"/>
    </w:pPr>
    <w:rPr>
      <w:rFonts w:ascii="Calibri" w:hAnsi="Calibri" w:eastAsia="宋体" w:cs="Times New Roman"/>
      <w:lang w:val="en-US" w:eastAsia="zh-CN" w:bidi="ar-SA"/>
    </w:rPr>
  </w:style>
  <w:style w:type="paragraph" w:customStyle="1" w:styleId="175">
    <w:name w:val="列表段落1"/>
    <w:basedOn w:val="1"/>
    <w:qFormat/>
    <w:uiPriority w:val="0"/>
    <w:pPr>
      <w:ind w:firstLine="420" w:firstLineChars="200"/>
    </w:pPr>
    <w:rPr>
      <w:rFonts w:ascii="Times New Roman" w:hAnsi="Times New Roman" w:eastAsia="宋体" w:cs="Times New Roman"/>
      <w:szCs w:val="20"/>
    </w:rPr>
  </w:style>
  <w:style w:type="character" w:customStyle="1" w:styleId="176">
    <w:name w:val="文档结构图 字符2"/>
    <w:basedOn w:val="38"/>
    <w:semiHidden/>
    <w:qFormat/>
    <w:uiPriority w:val="99"/>
    <w:rPr>
      <w:rFonts w:ascii="Microsoft YaHei UI" w:eastAsia="Microsoft YaHei UI"/>
      <w:sz w:val="18"/>
      <w:szCs w:val="18"/>
    </w:rPr>
  </w:style>
  <w:style w:type="character" w:customStyle="1" w:styleId="177">
    <w:name w:val="日期 字符2"/>
    <w:basedOn w:val="38"/>
    <w:semiHidden/>
    <w:qFormat/>
    <w:uiPriority w:val="99"/>
  </w:style>
  <w:style w:type="paragraph" w:customStyle="1" w:styleId="178">
    <w:name w:val="彩色底纹 - 强调文字颜色 11"/>
    <w:semiHidden/>
    <w:qFormat/>
    <w:uiPriority w:val="99"/>
    <w:rPr>
      <w:rFonts w:ascii="宋体" w:hAnsi="Calibri" w:eastAsia="宋体" w:cs="Times New Roman"/>
      <w:sz w:val="24"/>
      <w:szCs w:val="24"/>
      <w:lang w:val="en-US" w:eastAsia="zh-CN" w:bidi="ar-SA"/>
    </w:rPr>
  </w:style>
  <w:style w:type="paragraph" w:customStyle="1" w:styleId="179">
    <w:name w:val="d"/>
    <w:basedOn w:val="1"/>
    <w:qFormat/>
    <w:uiPriority w:val="0"/>
    <w:pPr>
      <w:overflowPunct w:val="0"/>
      <w:autoSpaceDE w:val="0"/>
      <w:autoSpaceDN w:val="0"/>
      <w:adjustRightInd w:val="0"/>
      <w:snapToGrid w:val="0"/>
      <w:spacing w:line="360" w:lineRule="auto"/>
      <w:ind w:firstLine="480" w:firstLineChars="200"/>
    </w:pPr>
    <w:rPr>
      <w:rFonts w:ascii="宋体" w:hAnsi="宋体" w:eastAsia="宋体" w:cs="Arial"/>
      <w:snapToGrid w:val="0"/>
      <w:kern w:val="0"/>
      <w:sz w:val="24"/>
      <w:szCs w:val="21"/>
    </w:rPr>
  </w:style>
  <w:style w:type="paragraph" w:customStyle="1" w:styleId="180">
    <w:name w:val="修订1"/>
    <w:semiHidden/>
    <w:qFormat/>
    <w:uiPriority w:val="99"/>
    <w:rPr>
      <w:rFonts w:ascii="宋体" w:hAnsi="Calibri" w:eastAsia="宋体" w:cs="Times New Roman"/>
      <w:sz w:val="24"/>
      <w:szCs w:val="24"/>
      <w:lang w:val="en-US" w:eastAsia="zh-CN" w:bidi="ar-SA"/>
    </w:rPr>
  </w:style>
  <w:style w:type="paragraph" w:customStyle="1" w:styleId="181">
    <w:name w:val="图/图注"/>
    <w:basedOn w:val="9"/>
    <w:qFormat/>
    <w:uiPriority w:val="0"/>
    <w:pPr>
      <w:wordWrap/>
      <w:autoSpaceDE/>
      <w:autoSpaceDN/>
      <w:adjustRightInd/>
      <w:spacing w:before="50"/>
      <w:ind w:firstLine="0" w:firstLineChars="0"/>
      <w:jc w:val="center"/>
    </w:pPr>
    <w:rPr>
      <w:rFonts w:ascii="Times New Roman" w:eastAsia="黑体"/>
      <w:b/>
      <w:sz w:val="21"/>
      <w:szCs w:val="22"/>
    </w:rPr>
  </w:style>
  <w:style w:type="paragraph" w:customStyle="1" w:styleId="182">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83">
    <w:name w:val="A."/>
    <w:basedOn w:val="1"/>
    <w:qFormat/>
    <w:uiPriority w:val="0"/>
    <w:pPr>
      <w:widowControl/>
      <w:tabs>
        <w:tab w:val="left" w:pos="859"/>
        <w:tab w:val="left" w:pos="1200"/>
      </w:tabs>
      <w:spacing w:before="240" w:line="240" w:lineRule="atLeast"/>
      <w:ind w:left="859" w:hanging="453"/>
    </w:pPr>
    <w:rPr>
      <w:rFonts w:ascii="Times New Roman" w:hAnsi="Times New Roman" w:eastAsia="宋体" w:cs="Times New Roman"/>
      <w:sz w:val="24"/>
      <w:szCs w:val="24"/>
    </w:rPr>
  </w:style>
  <w:style w:type="paragraph" w:customStyle="1" w:styleId="184">
    <w:name w:val="Pa8"/>
    <w:basedOn w:val="1"/>
    <w:next w:val="1"/>
    <w:qFormat/>
    <w:uiPriority w:val="99"/>
    <w:pPr>
      <w:autoSpaceDE w:val="0"/>
      <w:autoSpaceDN w:val="0"/>
      <w:adjustRightInd w:val="0"/>
      <w:spacing w:line="181" w:lineRule="atLeast"/>
      <w:jc w:val="left"/>
    </w:pPr>
    <w:rPr>
      <w:rFonts w:ascii="FrutigerNext LT Light" w:hAnsi="Calibri" w:eastAsia="FrutigerNext LT Light" w:cs="Times New Roman"/>
      <w:kern w:val="0"/>
      <w:sz w:val="24"/>
      <w:szCs w:val="24"/>
    </w:rPr>
  </w:style>
  <w:style w:type="paragraph" w:customStyle="1" w:styleId="185">
    <w:name w:val="p0"/>
    <w:basedOn w:val="1"/>
    <w:qFormat/>
    <w:uiPriority w:val="0"/>
    <w:pPr>
      <w:widowControl/>
    </w:pPr>
    <w:rPr>
      <w:rFonts w:ascii="Times New Roman" w:hAnsi="Calibri" w:eastAsia="宋体" w:cs="Times New Roman"/>
      <w:kern w:val="0"/>
      <w:szCs w:val="20"/>
    </w:rPr>
  </w:style>
  <w:style w:type="paragraph" w:customStyle="1" w:styleId="186">
    <w:name w:val="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87">
    <w:name w:val="Char"/>
    <w:basedOn w:val="1"/>
    <w:qFormat/>
    <w:uiPriority w:val="0"/>
    <w:pPr>
      <w:widowControl/>
      <w:spacing w:after="160" w:line="240" w:lineRule="exact"/>
      <w:jc w:val="center"/>
    </w:pPr>
    <w:rPr>
      <w:rFonts w:ascii="Times New Roman" w:hAnsi="Times New Roman" w:eastAsia="宋体" w:cs="Times New Roman"/>
      <w:szCs w:val="24"/>
    </w:rPr>
  </w:style>
  <w:style w:type="paragraph" w:customStyle="1" w:styleId="188">
    <w:name w:val="网格表 32"/>
    <w:basedOn w:val="3"/>
    <w:next w:val="1"/>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89">
    <w:name w:val="WPSOffice手动目录 1"/>
    <w:qFormat/>
    <w:uiPriority w:val="0"/>
    <w:rPr>
      <w:rFonts w:ascii="Calibri" w:hAnsi="Calibri" w:eastAsia="宋体" w:cs="Times New Roman"/>
      <w:lang w:val="en-US" w:eastAsia="zh-CN" w:bidi="ar-SA"/>
    </w:rPr>
  </w:style>
  <w:style w:type="paragraph" w:customStyle="1" w:styleId="190">
    <w:name w:val="_Style 69"/>
    <w:basedOn w:val="1"/>
    <w:next w:val="127"/>
    <w:qFormat/>
    <w:uiPriority w:val="34"/>
    <w:pPr>
      <w:spacing w:line="360" w:lineRule="auto"/>
      <w:ind w:firstLine="420" w:firstLineChars="200"/>
    </w:pPr>
    <w:rPr>
      <w:rFonts w:ascii="Calibri" w:hAnsi="Calibri" w:eastAsia="宋体" w:cs="Times New Roman"/>
    </w:rPr>
  </w:style>
  <w:style w:type="paragraph" w:customStyle="1" w:styleId="191">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92">
    <w:name w:val="保留正文"/>
    <w:basedOn w:val="18"/>
    <w:qFormat/>
    <w:uiPriority w:val="0"/>
    <w:pPr>
      <w:keepNext/>
      <w:autoSpaceDE/>
      <w:autoSpaceDN/>
      <w:adjustRightInd/>
      <w:spacing w:after="160"/>
      <w:ind w:right="0"/>
      <w:jc w:val="both"/>
    </w:pPr>
    <w:rPr>
      <w:rFonts w:ascii="Times New Roman"/>
      <w:b w:val="0"/>
      <w:bCs w:val="0"/>
      <w:sz w:val="21"/>
      <w:szCs w:val="24"/>
      <w:lang w:val="en-US"/>
    </w:rPr>
  </w:style>
  <w:style w:type="paragraph" w:customStyle="1" w:styleId="193">
    <w:name w:val="彩色底纹 - 着色 11"/>
    <w:semiHidden/>
    <w:qFormat/>
    <w:uiPriority w:val="99"/>
    <w:rPr>
      <w:rFonts w:ascii="宋体" w:hAnsi="Calibri" w:eastAsia="宋体" w:cs="Times New Roman"/>
      <w:sz w:val="24"/>
      <w:szCs w:val="24"/>
      <w:lang w:val="en-US" w:eastAsia="zh-CN" w:bidi="ar-SA"/>
    </w:rPr>
  </w:style>
  <w:style w:type="paragraph" w:customStyle="1" w:styleId="194">
    <w:name w:val="WPSOffice手动目录 2"/>
    <w:qFormat/>
    <w:uiPriority w:val="0"/>
    <w:pPr>
      <w:ind w:left="200" w:leftChars="200"/>
    </w:pPr>
    <w:rPr>
      <w:rFonts w:ascii="Calibri" w:hAnsi="Calibri" w:eastAsia="宋体" w:cs="Times New Roman"/>
      <w:lang w:val="en-US" w:eastAsia="zh-CN" w:bidi="ar-SA"/>
    </w:rPr>
  </w:style>
  <w:style w:type="paragraph" w:customStyle="1" w:styleId="195">
    <w:name w:val="网格表 31"/>
    <w:basedOn w:val="3"/>
    <w:next w:val="1"/>
    <w:unhideWhenUsed/>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6">
    <w:name w:val="表格文字居中"/>
    <w:basedOn w:val="120"/>
    <w:qFormat/>
    <w:uiPriority w:val="0"/>
    <w:pPr>
      <w:jc w:val="center"/>
    </w:pPr>
    <w:rPr>
      <w:rFonts w:cs="宋体"/>
      <w:szCs w:val="20"/>
    </w:rPr>
  </w:style>
  <w:style w:type="paragraph" w:customStyle="1" w:styleId="197">
    <w:name w:val="正文缩进4格"/>
    <w:basedOn w:val="61"/>
    <w:qFormat/>
    <w:uiPriority w:val="0"/>
    <w:pPr>
      <w:spacing w:line="360" w:lineRule="auto"/>
      <w:ind w:left="964" w:leftChars="314" w:hanging="210" w:hangingChars="100"/>
    </w:pPr>
    <w:rPr>
      <w:rFonts w:ascii="宋体" w:eastAsia="宋体"/>
      <w:sz w:val="21"/>
      <w:szCs w:val="21"/>
      <w:lang w:val="zh-CN"/>
    </w:rPr>
  </w:style>
  <w:style w:type="paragraph" w:customStyle="1" w:styleId="198">
    <w:name w:val="版本说明标题"/>
    <w:basedOn w:val="1"/>
    <w:qFormat/>
    <w:uiPriority w:val="0"/>
    <w:pPr>
      <w:adjustRightInd w:val="0"/>
      <w:snapToGrid w:val="0"/>
      <w:spacing w:beforeLines="50" w:afterLines="50"/>
      <w:ind w:firstLine="560"/>
      <w:jc w:val="center"/>
      <w:textAlignment w:val="baseline"/>
    </w:pPr>
    <w:rPr>
      <w:rFonts w:ascii="Times New Roman" w:hAnsi="Calibri" w:eastAsia="仿宋_GB2312" w:cs="Times New Roman"/>
      <w:b/>
      <w:color w:val="000000"/>
      <w:sz w:val="28"/>
      <w:szCs w:val="28"/>
    </w:rPr>
  </w:style>
  <w:style w:type="character" w:customStyle="1" w:styleId="199">
    <w:name w:val="正文首行缩进 Char"/>
    <w:basedOn w:val="116"/>
    <w:link w:val="35"/>
    <w:semiHidden/>
    <w:qFormat/>
    <w:uiPriority w:val="99"/>
    <w:rPr>
      <w:rFonts w:ascii="宋体" w:eastAsia="宋体"/>
      <w:b w:val="0"/>
      <w:bCs w:val="0"/>
      <w:sz w:val="84"/>
      <w:szCs w:val="84"/>
      <w:lang w:val="zh-CN"/>
    </w:rPr>
  </w:style>
  <w:style w:type="paragraph" w:customStyle="1" w:styleId="200">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1">
    <w:name w:val="列出段落2"/>
    <w:basedOn w:val="1"/>
    <w:qFormat/>
    <w:uiPriority w:val="0"/>
    <w:pPr>
      <w:autoSpaceDE w:val="0"/>
      <w:autoSpaceDN w:val="0"/>
      <w:adjustRightInd w:val="0"/>
      <w:ind w:firstLine="420" w:firstLineChars="200"/>
      <w:jc w:val="left"/>
    </w:pPr>
    <w:rPr>
      <w:rFonts w:hint="eastAsia" w:ascii="宋体" w:hAnsi="宋体" w:eastAsia="宋体" w:cs="Times New Roman"/>
      <w:kern w:val="0"/>
      <w:sz w:val="24"/>
      <w:szCs w:val="24"/>
    </w:rPr>
  </w:style>
  <w:style w:type="paragraph" w:customStyle="1" w:styleId="202">
    <w:name w:val="普通正文"/>
    <w:basedOn w:val="1"/>
    <w:qFormat/>
    <w:uiPriority w:val="0"/>
    <w:pPr>
      <w:autoSpaceDE w:val="0"/>
      <w:autoSpaceDN w:val="0"/>
      <w:adjustRightInd w:val="0"/>
      <w:spacing w:line="360" w:lineRule="auto"/>
      <w:ind w:firstLine="480" w:firstLineChars="200"/>
      <w:jc w:val="left"/>
    </w:pPr>
    <w:rPr>
      <w:rFonts w:ascii="Times New Roman" w:hAnsi="Times New Roman" w:eastAsia="宋体" w:cs="Times New Roman"/>
      <w:kern w:val="0"/>
      <w:sz w:val="20"/>
      <w:szCs w:val="20"/>
    </w:rPr>
  </w:style>
  <w:style w:type="character" w:customStyle="1" w:styleId="203">
    <w:name w:val="font61"/>
    <w:basedOn w:val="38"/>
    <w:qFormat/>
    <w:uiPriority w:val="0"/>
    <w:rPr>
      <w:rFonts w:hint="eastAsia" w:ascii="宋体" w:hAnsi="宋体" w:eastAsia="宋体" w:cs="宋体"/>
      <w:color w:val="000000"/>
      <w:sz w:val="21"/>
      <w:szCs w:val="21"/>
      <w:u w:val="none"/>
    </w:rPr>
  </w:style>
  <w:style w:type="character" w:customStyle="1" w:styleId="204">
    <w:name w:val="font81"/>
    <w:basedOn w:val="38"/>
    <w:qFormat/>
    <w:uiPriority w:val="0"/>
    <w:rPr>
      <w:rFonts w:hint="default" w:ascii="Times New Roman" w:hAnsi="Times New Roman" w:cs="Times New Roman"/>
      <w:color w:val="000000"/>
      <w:sz w:val="21"/>
      <w:szCs w:val="21"/>
      <w:u w:val="none"/>
    </w:rPr>
  </w:style>
  <w:style w:type="character" w:customStyle="1" w:styleId="205">
    <w:name w:val="font91"/>
    <w:basedOn w:val="38"/>
    <w:qFormat/>
    <w:uiPriority w:val="0"/>
    <w:rPr>
      <w:rFonts w:hint="default" w:ascii="Times New Roman" w:hAnsi="Times New Roman" w:cs="Times New Roman"/>
      <w:color w:val="000000"/>
      <w:sz w:val="21"/>
      <w:szCs w:val="21"/>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contractReview xmlns="http://schemas.wps.cn/vas-ai-hub/contract-review">
  <reviewItems>
    <reviewItem>
      <errorID>adeea4f0-14ba-4520-9a69-21a8238f248f</errorID>
      <errorWord>(</errorWord>
      <group>L1_Format</group>
      <groupName>格式问题</groupName>
      <ability>L2_HalfPunc</ability>
      <abilityName>全半角检查</abilityName>
      <candidateList>
        <item>（</item>
      </candidateList>
      <explain>文本全半角错误。</explain>
      <paraID>38589339</paraID>
      <start>100</start>
      <end>101</end>
      <status>unmodified</status>
      <modifiedWord/>
      <trackRevisions>false</trackRevisions>
    </reviewItem>
    <reviewItem>
      <errorID>3be70c38-9124-469e-a1f3-baa7ff0248b4</errorID>
      <errorWord>)</errorWord>
      <group>L1_Format</group>
      <groupName>格式问题</groupName>
      <ability>L2_HalfPunc</ability>
      <abilityName>全半角检查</abilityName>
      <candidateList>
        <item>）</item>
      </candidateList>
      <explain>文本全半角错误。</explain>
      <paraID>38589339</paraID>
      <start>115</start>
      <end>116</end>
      <status>unmodified</status>
      <modifiedWord/>
      <trackRevisions>false</trackRevisions>
    </reviewItem>
    <reviewItem>
      <errorID>d166e997-b1de-4bf8-8294-7043931f4a86</errorID>
      <errorWord>网</errorWord>
      <group>L1_Word</group>
      <groupName>字词问题</groupName>
      <ability>L2_Typo</ability>
      <abilityName>字词错误</abilityName>
      <candidateList>
        <item>网站</item>
      </candidateList>
      <explain/>
      <paraID>5FC7953A</paraID>
      <start>122</start>
      <end>123</end>
      <status>unmodified</status>
      <modifiedWord/>
      <trackRevisions>false</trackRevisions>
    </reviewItem>
    <reviewItem>
      <errorID>51844c7f-355c-4635-80e8-35a839ed9393</errorID>
      <errorWord>须是</errorWord>
      <group>L1_Word</group>
      <groupName>字词问题</groupName>
      <ability>L2_Typo</ability>
      <abilityName>字词错误</abilityName>
      <candidateList>
        <item>须</item>
      </candidateList>
      <explain>（鬚）xū❶原来指长在下巴上的胡子，后来泛指胡须：～发｜～眉。❷须子：触～｜花～。</explain>
      <paraID>786947CA</paraID>
      <start>50</start>
      <end>52</end>
      <status>unmodified</status>
      <modifiedWord/>
      <trackRevisions>false</trackRevisions>
    </reviewItem>
    <reviewItem>
      <errorID>d9d2df5c-4f96-46cd-bf69-d848808e703c</errorID>
      <errorWord>其它</errorWord>
      <group>L1_Word</group>
      <groupName>字词问题</groupName>
      <ability>L2_Alias</ability>
      <abilityName>也作/曾用词</abilityName>
      <candidateList>
        <item>其他</item>
      </candidateList>
      <explain>词汇[其它]为不规范表述或旧称，其规范书面表述为[其他]。</explain>
      <paraID>3C932511</paraID>
      <start>58</start>
      <end>60</end>
      <status>unmodified</status>
      <modifiedWord/>
      <trackRevisions>false</trackRevisions>
    </reviewItem>
    <reviewItem>
      <errorID>96cbf4b6-55d0-442b-b797-2be4c79f72a9</errorID>
      <errorWord>其它</errorWord>
      <group>L1_Word</group>
      <groupName>字词问题</groupName>
      <ability>L2_Alias</ability>
      <abilityName>也作/曾用词</abilityName>
      <candidateList>
        <item>其他</item>
      </candidateList>
      <explain>词汇[其它]为不规范表述或旧称，其规范书面表述为[其他]。</explain>
      <paraID>6E4AF00A</paraID>
      <start>2</start>
      <end>4</end>
      <status>unmodified</status>
      <modifiedWord/>
      <trackRevisions>false</trackRevisions>
    </reviewItem>
    <reviewItem>
      <errorID>f9497780-d576-40e3-b038-f63f2608aafc</errorID>
      <errorWord>做</errorWord>
      <group>L1_Word</group>
      <groupName>字词问题</groupName>
      <ability>L2_Typo</ability>
      <abilityName>字词错误</abilityName>
      <candidateList>
        <item>作</item>
      </candidateList>
      <explain>存在发音相同字词的误用。</explain>
      <paraID>26888ED6</paraID>
      <start>51</start>
      <end>52</end>
      <status>unmodified</status>
      <modifiedWord/>
      <trackRevisions>false</trackRevisions>
    </reviewItem>
    <reviewItem>
      <errorID>117ecfe0-a766-4ebc-888b-cc3b93379c75</errorID>
      <errorWord>(</errorWord>
      <group>L1_Format</group>
      <groupName>格式问题</groupName>
      <ability>L2_HalfPunc</ability>
      <abilityName>全半角检查</abilityName>
      <candidateList>
        <item>（</item>
      </candidateList>
      <explain>文本全半角错误。</explain>
      <paraID> BFADDDA</paraID>
      <start>8</start>
      <end>9</end>
      <status>unmodified</status>
      <modifiedWord/>
      <trackRevisions>false</trackRevisions>
    </reviewItem>
    <reviewItem>
      <errorID>65dcac12-1e70-434c-8baa-8c3ae5bdd54c</errorID>
      <errorWord>)</errorWord>
      <group>L1_Format</group>
      <groupName>格式问题</groupName>
      <ability>L2_HalfPunc</ability>
      <abilityName>全半角检查</abilityName>
      <candidateList>
        <item>）</item>
      </candidateList>
      <explain>文本全半角错误。</explain>
      <paraID> BFADDDA</paraID>
      <start>23</start>
      <end>24</end>
      <status>unmodified</status>
      <modifiedWord/>
      <trackRevisions>false</trackRevisions>
    </reviewItem>
    <reviewItem>
      <errorID>363c0b53-3488-4e5b-ab44-15fad844bd9d</errorID>
      <errorWord>做</errorWord>
      <group>L1_Word</group>
      <groupName>字词问题</groupName>
      <ability>L2_Typo</ability>
      <abilityName>字词错误</abilityName>
      <candidateList>
        <item>作</item>
      </candidateList>
      <explain>存在发音相同字词的误用。</explain>
      <paraID>2F32CA57</paraID>
      <start>99</start>
      <end>100</end>
      <status>unmodified</status>
      <modifiedWord/>
      <trackRevisions>false</trackRevisions>
    </reviewItem>
    <reviewItem>
      <errorID>7c7bac24-41b7-4b96-9ccc-ac0990e06f4d</errorID>
      <errorWord>国家工业和信息化部</errorWord>
      <group>L1_Political</group>
      <groupName>政治性问题</groupName>
      <ability>L2_Unpolitical</ability>
      <abilityName>政治敏感错误</abilityName>
      <candidateList>
        <item>工业和信息化部</item>
      </candidateList>
      <explain/>
      <paraID>2BD64152</paraID>
      <start>31</start>
      <end>40</end>
      <status>unmodified</status>
      <modifiedWord/>
      <trackRevisions>false</trackRevisions>
    </reviewItem>
    <reviewItem>
      <errorID>cc4cb6c7-b8bb-4cb6-a578-088d53bf8521</errorID>
      <errorWord>)</errorWord>
      <group>L1_Format</group>
      <groupName>格式问题</groupName>
      <ability>L2_HalfPunc</ability>
      <abilityName>全半角检查</abilityName>
      <candidateList>
        <item>）</item>
      </candidateList>
      <explain>文本全半角错误。</explain>
      <paraID>79094F68</paraID>
      <start>27</start>
      <end>28</end>
      <status>unmodified</status>
      <modifiedWord/>
      <trackRevisions>false</trackRevisions>
    </reviewItem>
    <reviewItem>
      <errorID>7d16621c-bdda-487c-8a67-0714304723a6</errorID>
      <errorWord>其它</errorWord>
      <group>L1_Word</group>
      <groupName>字词问题</groupName>
      <ability>L2_Alias</ability>
      <abilityName>也作/曾用词</abilityName>
      <candidateList>
        <item>其他</item>
      </candidateList>
      <explain>词汇[其它]为不规范表述或旧称，其规范书面表述为[其他]。</explain>
      <paraID>7DE56885</paraID>
      <start>14</start>
      <end>16</end>
      <status>unmodified</status>
      <modifiedWord/>
      <trackRevisions>false</trackRevisions>
    </reviewItem>
    <reviewItem>
      <errorID>7bb65a1a-55fb-4b53-ac89-f7e27de4cffa</errorID>
      <errorWord>获</errorWord>
      <group>L1_Word</group>
      <groupName>字词问题</groupName>
      <ability>L2_Typo</ability>
      <abilityName>字词错误</abilityName>
      <candidateList>
        <item>获得</item>
      </candidateList>
      <explain>〈动〉取得；得到（多用于抽象事物）：～好评｜～宝贵的经验｜～显著的成绩。</explain>
      <paraID>28A2015D</paraID>
      <start>52</start>
      <end>53</end>
      <status>unmodified</status>
      <modifiedWord/>
      <trackRevisions>false</trackRevisions>
    </reviewItem>
    <reviewItem>
      <errorID>3d0b860a-de00-4be9-b480-6c7acfeffb55</errorID>
      <errorWord>已</errorWord>
      <group>L1_Word</group>
      <groupName>字词问题</groupName>
      <ability>L2_Typo</ability>
      <abilityName>字词错误</abilityName>
      <candidateList>
        <item>已包</item>
      </candidateList>
      <explain/>
      <paraID>6EA0122F</paraID>
      <start>14</start>
      <end>15</end>
      <status>unmodified</status>
      <modifiedWord/>
      <trackRevisions>false</trackRevisions>
    </reviewItem>
    <reviewItem>
      <errorID>277a2af4-dbed-491f-8f51-dd9159a280fd</errorID>
      <errorWord>》</errorWord>
      <group>L1_Word</group>
      <groupName>字词问题</groupName>
      <ability>L2_Typo</ability>
      <abilityName>字词错误</abilityName>
      <candidateList>
        <item>》和</item>
      </candidateList>
      <explain/>
      <paraID>3D73997E</paraID>
      <start>18</start>
      <end>19</end>
      <status>unmodified</status>
      <modifiedWord/>
      <trackRevisions>false</trackRevisions>
    </reviewItem>
    <reviewItem>
      <errorID>0e1d65af-d95d-471e-b160-d13cbddf8acc</errorID>
      <errorWord>》</errorWord>
      <group>L1_Word</group>
      <groupName>字词问题</groupName>
      <ability>L2_Typo</ability>
      <abilityName>字词错误</abilityName>
      <candidateList>
        <item>》等</item>
      </candidateList>
      <explain/>
      <paraID>3D73997E</paraID>
      <start>36</start>
      <end>37</end>
      <status>unmodified</status>
      <modifiedWord/>
      <trackRevisions>false</trackRevisions>
    </reviewItem>
    <reviewItem>
      <errorID>0ba4e3d5-49f7-4fd1-8a72-81d66c8e7808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3F071EE0</paraID>
      <start>128</start>
      <end>129</end>
      <status>unmodified</status>
      <modifiedWord/>
      <trackRevisions>false</trackRevisions>
    </reviewItem>
    <reviewItem>
      <errorID>9be5ac76-455a-46a1-ab84-5afc72ec71a4</errorID>
      <errorWord>(</errorWord>
      <group>L1_Format</group>
      <groupName>格式问题</groupName>
      <ability>L2_HalfPunc</ability>
      <abilityName>全半角检查</abilityName>
      <candidateList>
        <item>（</item>
      </candidateList>
      <explain>文本全半角错误。</explain>
      <paraID>3F071EE0</paraID>
      <start>200</start>
      <end>201</end>
      <status>unmodified</status>
      <modifiedWord/>
      <trackRevisions>false</trackRevisions>
    </reviewItem>
    <reviewItem>
      <errorID>6d89e127-c85d-411c-b272-3fe5ff150695</errorID>
      <errorWord>)</errorWord>
      <group>L1_Format</group>
      <groupName>格式问题</groupName>
      <ability>L2_HalfPunc</ability>
      <abilityName>全半角检查</abilityName>
      <candidateList>
        <item>）</item>
      </candidateList>
      <explain>文本全半角错误。</explain>
      <paraID>3F071EE0</paraID>
      <start>204</start>
      <end>205</end>
      <status>unmodified</status>
      <modifiedWord/>
      <trackRevisions>false</trackRevisions>
    </reviewItem>
    <reviewItem>
      <errorID>05e9b805-223b-4506-8e1f-c13e1625b6d2</errorID>
      <errorWord>法律、法规</errorWord>
      <group>L1_Word</group>
      <groupName>字词问题</groupName>
      <ability>L2_Typo</ability>
      <abilityName>字词错误</abilityName>
      <candidateList>
        <item>法律法规</item>
      </candidateList>
      <explain/>
      <paraID>308D3A02</paraID>
      <start>40</start>
      <end>45</end>
      <status>unmodified</status>
      <modifiedWord/>
      <trackRevisions>false</trackRevisions>
    </reviewItem>
    <reviewItem>
      <errorID>7ca77185-c95c-4277-928f-6438233e2d31</errorID>
      <errorWord>作必要</errorWord>
      <group>L1_Word</group>
      <groupName>字词问题</groupName>
      <ability>L2_Typo</ability>
      <abilityName>字词错误</abilityName>
      <candidateList>
        <item>做必要</item>
      </candidateList>
      <explain/>
      <paraID>2B31E3FE</paraID>
      <start>12</start>
      <end>15</end>
      <status>unmodified</status>
      <modifiedWord/>
      <trackRevisions>false</trackRevisions>
    </reviewItem>
    <reviewItem>
      <errorID>83599cb5-d44c-4f8c-904c-0f17056076ab</errorID>
      <errorWord>,</errorWord>
      <group>L1_Format</group>
      <groupName>格式问题</groupName>
      <ability>L2_HalfPunc</ability>
      <abilityName>全半角检查</abilityName>
      <candidateList>
        <item>，</item>
      </candidateList>
      <explain>文本全半角错误。</explain>
      <paraID>73F86331</paraID>
      <start>46</start>
      <end>47</end>
      <status>unmodified</status>
      <modifiedWord/>
      <trackRevisions>false</trackRevisions>
    </reviewItem>
    <reviewItem>
      <errorID>6c216548-3e46-4461-85a3-ec81447046b2</errorID>
      <errorWord>、以及</errorWord>
      <group>L1_Punc</group>
      <groupName>标点问题</groupName>
      <ability>L2_Punc</ability>
      <abilityName>标点符号检查</abilityName>
      <candidateList>
        <item>，以及</item>
      </candidateList>
      <explain>连接词前后不宜使用顿号，建议使用逗号。</explain>
      <paraID>6042BB0E</paraID>
      <start>113</start>
      <end>116</end>
      <status>unmodified</status>
      <modifiedWord/>
      <trackRevisions>false</trackRevisions>
    </reviewItem>
    <reviewItem>
      <errorID>6dbfbc60-5dbe-4f6e-b83e-a40891815430</errorID>
      <errorWord>)</errorWord>
      <group>L1_Format</group>
      <groupName>格式问题</groupName>
      <ability>L2_HalfPunc</ability>
      <abilityName>全半角检查</abilityName>
      <candidateList>
        <item>）</item>
      </candidateList>
      <explain>文本全半角错误。</explain>
      <paraID>76CBA5C5</paraID>
      <start>104</start>
      <end>105</end>
      <status>unmodified</status>
      <modifiedWord/>
      <trackRevisions>false</trackRevisions>
    </reviewItem>
    <reviewItem>
      <errorID>b78eceff-6ee6-443d-90af-406b97bf0501</errorID>
      <errorWord>间</errorWord>
      <group>L1_Word</group>
      <groupName>字词问题</groupName>
      <ability>L2_Typo</ability>
      <abilityName>字词错误</abilityName>
      <candidateList>
        <item>间内</item>
      </candidateList>
      <explain/>
      <paraID>76CBA5C5</paraID>
      <start>112</start>
      <end>113</end>
      <status>unmodified</status>
      <modifiedWord/>
      <trackRevisions>false</trackRevisions>
    </reviewItem>
    <reviewItem>
      <errorID>d5e8b63c-bb1b-4cff-97a2-aa5b45aee986</errorID>
      <errorWord>(</errorWord>
      <group>L1_Format</group>
      <groupName>格式问题</groupName>
      <ability>L2_HalfPunc</ability>
      <abilityName>全半角检查</abilityName>
      <candidateList>
        <item>（</item>
      </candidateList>
      <explain>文本全半角错误。</explain>
      <paraID>76CBA5C5</paraID>
      <start>113</start>
      <end>114</end>
      <status>unmodified</status>
      <modifiedWord/>
      <trackRevisions>false</trackRevisions>
    </reviewItem>
    <reviewItem>
      <errorID>b3b83b4b-3d2a-498b-a9bd-9a3c7b704c24</errorID>
      <errorWord>)</errorWord>
      <group>L1_Format</group>
      <groupName>格式问题</groupName>
      <ability>L2_HalfPunc</ability>
      <abilityName>全半角检查</abilityName>
      <candidateList>
        <item>）</item>
      </candidateList>
      <explain>文本全半角错误。</explain>
      <paraID>76CBA5C5</paraID>
      <start>124</start>
      <end>125</end>
      <status>unmodified</status>
      <modifiedWord/>
      <trackRevisions>false</trackRevisions>
    </reviewItem>
    <reviewItem>
      <errorID>285695fe-d315-43c1-9386-38dd7b118389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712704A</paraID>
      <start>28</start>
      <end>30</end>
      <status>unmodified</status>
      <modifiedWord/>
      <trackRevisions>false</trackRevisions>
    </reviewItem>
    <reviewItem>
      <errorID>ae8b0fee-45c3-4983-83ce-accfe210e0ab</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605018C3</paraID>
      <start>25</start>
      <end>27</end>
      <status>unmodified</status>
      <modifiedWord/>
      <trackRevisions>false</trackRevisions>
    </reviewItem>
    <reviewItem>
      <errorID>4bf862e8-4f80-4179-9118-5ce58fe9e11e</errorID>
      <errorWord>法律、法规</errorWord>
      <group>L1_Word</group>
      <groupName>字词问题</groupName>
      <ability>L2_Typo</ability>
      <abilityName>字词错误</abilityName>
      <candidateList>
        <item>法律法规</item>
      </candidateList>
      <explain/>
      <paraID>3DDD9113</paraID>
      <start>90</start>
      <end>95</end>
      <status>unmodified</status>
      <modifiedWord/>
      <trackRevisions>false</trackRevisions>
    </reviewItem>
    <reviewItem>
      <errorID>e9182d08-985e-4783-9443-915ca3923653</errorID>
      <errorWord>，</errorWord>
      <group>L1_Word</group>
      <groupName>字词问题</groupName>
      <ability>L2_Typo</ability>
      <abilityName>字词错误</abilityName>
      <candidateList>
        <item>，除</item>
      </candidateList>
      <explain/>
      <paraID>1A30FF6B</paraID>
      <start>58</start>
      <end>59</end>
      <status>unmodified</status>
      <modifiedWord/>
      <trackRevisions>false</trackRevisions>
    </reviewItem>
    <reviewItem>
      <errorID>bbe13610-dd89-43bd-bcfb-422341177b23</errorID>
      <errorWord>雇用</errorWord>
      <group>L1_Word</group>
      <groupName>字词问题</groupName>
      <ability>L2_Typo</ability>
      <abilityName>字词错误</abilityName>
      <candidateList>
        <item>雇佣</item>
      </candidateList>
      <explain>存在发音相同字词的误用。</explain>
      <paraID>1D8C777A</paraID>
      <start>74</start>
      <end>76</end>
      <status>unmodified</status>
      <modifiedWord/>
      <trackRevisions>false</trackRevisions>
    </reviewItem>
    <reviewItem>
      <errorID>3c4f635e-a8c7-4745-a6ed-6c3f5f5ffec8</errorID>
      <errorWord>，</errorWord>
      <group>L1_Word</group>
      <groupName>字词问题</groupName>
      <ability>L2_Typo</ability>
      <abilityName>字词错误</abilityName>
      <candidateList>
        <item>，需</item>
      </candidateList>
      <explain/>
      <paraID> 3586549</paraID>
      <start>75</start>
      <end>76</end>
      <status>unmodified</status>
      <modifiedWord/>
      <trackRevisions>false</trackRevisions>
    </reviewItem>
    <reviewItem>
      <errorID>5d8d683d-b7f1-4c2d-99bd-0b0e7852c327</errorID>
      <errorWord>和其它单位</errorWord>
      <group>L1_Word</group>
      <groupName>字词问题</groupName>
      <ability>L2_Alias</ability>
      <abilityName>也作/曾用词</abilityName>
      <candidateList>
        <item>和其他单位</item>
      </candidateList>
      <explain>词汇[和其它单位]为不规范表述或旧称，其规范书面表述为[和其他单位]。</explain>
      <paraID> 3586549</paraID>
      <start>98</start>
      <end>103</end>
      <status>unmodified</status>
      <modifiedWord/>
      <trackRevisions>false</trackRevisions>
    </reviewItem>
    <reviewItem>
      <errorID>571df69c-d9ed-4440-9279-1cd8e20c4907</errorID>
      <errorWord>一式二份</errorWord>
      <group>L1_Word</group>
      <groupName>字词问题</groupName>
      <ability>L2_Typo</ability>
      <abilityName>字词错误</abilityName>
      <candidateList>
        <item>一式两份</item>
      </candidateList>
      <explain/>
      <paraID>16E205C4</paraID>
      <start>68</start>
      <end>72</end>
      <status>unmodified</status>
      <modifiedWord/>
      <trackRevisions>false</trackRevisions>
    </reviewItem>
    <reviewItem>
      <errorID>a10b881c-b3ac-4dd6-8308-28447e53d56c</errorID>
      <errorWord>5—10亿</errorWord>
      <group>L1_Knowledge</group>
      <groupName>知识性问题</groupName>
      <ability>L2_Knowledge</ability>
      <abilityName>其他知识</abilityName>
      <candidateList>
        <item>5亿—10亿</item>
      </candidateList>
      <explain>1. “5—10亿”中的单位“亿”仅出现在后一个数字上，容易引起歧义；根据《现代汉语标点符号数字用法规范手册》，数字表示范围两边需要使用统一的格式。2. 根据标点国标 4.13 中的规则，数字、时间或地域连接符应使用（视觉上更长的）“—”或“～”。</explain>
      <paraID>7A592626</paraID>
      <start>60</start>
      <end>65</end>
      <status>unmodified</status>
      <modifiedWord/>
      <trackRevisions>false</trackRevisions>
    </reviewItem>
    <reviewItem>
      <errorID>03eea9a7-2ca5-4b6d-a423-801dd0203521</errorID>
      <errorWord>10—50亿</errorWord>
      <group>L1_Knowledge</group>
      <groupName>知识性问题</groupName>
      <ability>L2_Knowledge</ability>
      <abilityName>其他知识</abilityName>
      <candidateList>
        <item>10亿—50亿</item>
      </candidateList>
      <explain>1. “10—50亿”中的单位“亿”仅出现在后一个数字上，容易引起歧义；根据《现代汉语标点符号数字用法规范手册》，数字表示范围两边需要使用统一的格式。2. 根据标点国标 4.13 中的规则，数字、时间或地域连接符应使用（视觉上更长的）“—”或“～”。</explain>
      <paraID>7A592626</paraID>
      <start>75</start>
      <end>81</end>
      <status>unmodified</status>
      <modifiedWord/>
      <trackRevisions>false</trackRevisions>
    </reviewItem>
    <reviewItem>
      <errorID>874f35c1-c87a-43c1-aa51-2f1aaae85666</errorID>
      <errorWord>50—100亿</errorWord>
      <group>L1_Knowledge</group>
      <groupName>知识性问题</groupName>
      <ability>L2_Knowledge</ability>
      <abilityName>其他知识</abilityName>
      <candidateList>
        <item>50亿—100亿</item>
      </candidateList>
      <explain>1. “50—100亿”中的单位“亿”仅出现在后一个数字上，容易引起歧义；根据《现代汉语标点符号数字用法规范手册》，数字表示范围两边需要使用统一的格式。2. 根据标点国标 4.13 中的规则，数字、时间或地域连接符应使用（视觉上更长的）“—”或“～”。</explain>
      <paraID>7A592626</paraID>
      <start>91</start>
      <end>98</end>
      <status>unmodified</status>
      <modifiedWord/>
      <trackRevisions>false</trackRevisions>
    </reviewItem>
    <reviewItem>
      <errorID>9a16175f-18cc-49a8-b425-70e0dae96d56</errorID>
      <errorWord>)</errorWord>
      <group>L1_Format</group>
      <groupName>格式问题</groupName>
      <ability>L2_HalfPunc</ability>
      <abilityName>全半角检查</abilityName>
      <candidateList>
        <item>）</item>
      </candidateList>
      <explain>文本全半角错误。</explain>
      <paraID>2ADDD1C6</paraID>
      <start>33</start>
      <end>34</end>
      <status>unmodified</status>
      <modifiedWord/>
      <trackRevisions>false</trackRevisions>
    </reviewItem>
    <reviewItem>
      <errorID>89ade82e-379e-4f71-945e-b8dd5563af23</errorID>
      <errorWord>,</errorWord>
      <group>L1_Format</group>
      <groupName>格式问题</groupName>
      <ability>L2_HalfPunc</ability>
      <abilityName>全半角检查</abilityName>
      <candidateList>
        <item>，</item>
      </candidateList>
      <explain>文本全半角错误。</explain>
      <paraID>72582FFC</paraID>
      <start>91</start>
      <end>92</end>
      <status>unmodified</status>
      <modifiedWord/>
      <trackRevisions>false</trackRevisions>
    </reviewItem>
    <reviewItem>
      <errorID>cddb7ca7-bdd0-4a78-8ed3-ae47daea935a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206B2154</paraID>
      <start>4</start>
      <end>5</end>
      <status>unmodified</status>
      <modifiedWord/>
      <trackRevisions>false</trackRevisions>
    </reviewItem>
    <reviewItem>
      <errorID>2be591e8-c954-4514-ba52-d03bdc76987c</errorID>
      <errorWord>:</errorWord>
      <group>L1_Format</group>
      <groupName>格式问题</groupName>
      <ability>L2_HalfPunc</ability>
      <abilityName>全半角检查</abilityName>
      <candidateList>
        <item>：</item>
      </candidateList>
      <explain>文本全半角错误。</explain>
      <paraID>15E45E6D</paraID>
      <start>6</start>
      <end>7</end>
      <status>unmodified</status>
      <modifiedWord/>
      <trackRevisions>false</trackRevisions>
    </reviewItem>
    <reviewItem>
      <errorID>5c6eebcf-b7d3-4243-ada8-32206f473056</errorID>
      <errorWord>)</errorWord>
      <group>L1_Format</group>
      <groupName>格式问题</groupName>
      <ability>L2_HalfPunc</ability>
      <abilityName>全半角检查</abilityName>
      <candidateList>
        <item>）</item>
      </candidateList>
      <explain>文本全半角错误。</explain>
      <paraID>15E45E6D</paraID>
      <start>28</start>
      <end>29</end>
      <status>unmodified</status>
      <modifiedWord/>
      <trackRevisions>false</trackRevisions>
    </reviewItem>
    <reviewItem>
      <errorID>b993c6b2-5213-4411-8794-edbca351a8f3</errorID>
      <errorWord>国家工业和信息化部</errorWord>
      <group>L1_Political</group>
      <groupName>政治性问题</groupName>
      <ability>L2_Unpolitical</ability>
      <abilityName>政治敏感错误</abilityName>
      <candidateList>
        <item>工业和信息化部</item>
      </candidateList>
      <explain/>
      <paraID>5160927E</paraID>
      <start>33</start>
      <end>42</end>
      <status>unmodified</status>
      <modifiedWord/>
      <trackRevisions>false</trackRevisions>
    </reviewItem>
    <reviewItem>
      <errorID>28a8190a-9387-4564-ae27-ab310952c352</errorID>
      <errorWord>国家工业和信息化部</errorWord>
      <group>L1_Political</group>
      <groupName>政治性问题</groupName>
      <ability>L2_Unpolitical</ability>
      <abilityName>政治敏感错误</abilityName>
      <candidateList>
        <item>工业和信息化部</item>
      </candidateList>
      <explain/>
      <paraID>5160927E</paraID>
      <start>113</start>
      <end>122</end>
      <status>unmodified</status>
      <modifiedWord/>
      <trackRevisions>false</trackRevisions>
    </reviewItem>
    <reviewItem>
      <errorID>5e1d6daf-ff8f-4942-adf9-4eb152f665f9</errorID>
      <errorWord>)</errorWord>
      <group>L1_Format</group>
      <groupName>格式问题</groupName>
      <ability>L2_HalfPunc</ability>
      <abilityName>全半角检查</abilityName>
      <candidateList>
        <item>）</item>
      </candidateList>
      <explain>文本全半角错误。</explain>
      <paraID> 5BFCB34</paraID>
      <start>27</start>
      <end>28</end>
      <status>unmodified</status>
      <modifiedWord/>
      <trackRevisions>false</trackRevisions>
    </reviewItem>
    <reviewItem>
      <errorID>eac98592-2048-428c-8e77-3d84bf702849</errorID>
      <errorWord>)</errorWord>
      <group>L1_Format</group>
      <groupName>格式问题</groupName>
      <ability>L2_HalfPunc</ability>
      <abilityName>全半角检查</abilityName>
      <candidateList>
        <item>）</item>
      </candidateList>
      <explain>文本全半角错误。</explain>
      <paraID> 5BFCB34</paraID>
      <start>54</start>
      <end>55</end>
      <status>unmodified</status>
      <modifiedWord/>
      <trackRevisions>false</trackRevisions>
    </reviewItem>
    <reviewItem>
      <errorID>4cc5ab71-b7a1-4862-a9e2-a6a3df02f48a</errorID>
      <errorWord>，</errorWord>
      <group>L1_Word</group>
      <groupName>字词问题</groupName>
      <ability>L2_Typo</ability>
      <abilityName>字词错误</abilityName>
      <candidateList>
        <item>，以</item>
      </candidateList>
      <explain/>
      <paraID>22E2DE7B</paraID>
      <start>168</start>
      <end>169</end>
      <status>unmodified</status>
      <modifiedWord/>
      <trackRevisions>false</trackRevisions>
    </reviewItem>
    <reviewItem>
      <errorID>09402f4e-2207-4a7a-ad0d-0f7a5f11a872</errorID>
      <errorWord>,</errorWord>
      <group>L1_Format</group>
      <groupName>格式问题</groupName>
      <ability>L2_HalfPunc</ability>
      <abilityName>全半角检查</abilityName>
      <candidateList>
        <item>，</item>
      </candidateList>
      <explain>文本全半角错误。</explain>
      <paraID>6AD4BFE4</paraID>
      <start>38</start>
      <end>39</end>
      <status>unmodified</status>
      <modifiedWord/>
      <trackRevisions>false</trackRevisions>
    </reviewItem>
    <reviewItem>
      <errorID>5303a3ce-062e-4d39-b1f6-2e928bd4e0ad</errorID>
      <errorWord>回</errorWord>
      <group>L1_Word</group>
      <groupName>字词问题</groupName>
      <ability>L2_Typo</ability>
      <abilityName>字词错误</abilityName>
      <candidateList>
        <item>向</item>
      </candidateList>
      <explain>〈副〉向来：～有研究｜～无此例。</explain>
      <paraID>3B5FCD17</paraID>
      <start>76</start>
      <end>77</end>
      <status>unmodified</status>
      <modifiedWord/>
      <trackRevisions>false</trackRevisions>
    </reviewItem>
    <reviewItem>
      <errorID>90c562da-3c9f-42d3-99c5-39f5f7cbb637</errorID>
      <errorWord>资料移</errorWord>
      <group>L1_Word</group>
      <groupName>字词问题</groupName>
      <ability>L2_Typo</ability>
      <abilityName>字词错误</abilityName>
      <candidateList>
        <item>资料</item>
      </candidateList>
      <explain>〈名〉❶生产、生活中必需的东西：生产～｜生活～。❷用作参考或依据的材料：收集～｜参考～｜统计～｜谈笑的～。</explain>
      <paraID>798CC49F</paraID>
      <start>67</start>
      <end>70</end>
      <status>unmodified</status>
      <modifiedWord/>
      <trackRevisions>false</trackRevisions>
    </reviewItem>
    <reviewItem>
      <errorID>b471a2f5-0948-44f6-a82a-163ccc6d269d</errorID>
      <errorWord>费</errorWord>
      <group>L1_Word</group>
      <groupName>字词问题</groupName>
      <ability>L2_Typo</ability>
      <abilityName>字词错误</abilityName>
      <candidateList>
        <item>费用</item>
      </candidateList>
      <explain/>
      <paraID>526E6C2B</paraID>
      <start>142</start>
      <end>143</end>
      <status>unmodified</status>
      <modifiedWord/>
      <trackRevisions>false</trackRevisions>
    </reviewItem>
    <reviewItem>
      <errorID>b93ad21f-15c5-426e-bea7-eeb918dd6961</errorID>
      <errorWord>用</errorWord>
      <group>L1_Word</group>
      <groupName>字词问题</groupName>
      <ability>L2_Typo</ability>
      <abilityName>字词错误</abilityName>
      <candidateList>
        <item>用由</item>
      </candidateList>
      <explain/>
      <paraID>526E6C2B</paraID>
      <start>162</start>
      <end>163</end>
      <status>unmodified</status>
      <modifiedWord/>
      <trackRevisions>false</trackRevisions>
    </reviewItem>
    <reviewItem>
      <errorID>df70beb0-62ff-4783-a3d0-903fe60eda9b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2D9A285B</paraID>
      <start>0</start>
      <end>2</end>
      <status>unmodified</status>
      <modifiedWord/>
      <trackRevisions>false</trackRevisions>
    </reviewItem>
    <reviewItem>
      <errorID>de2e629d-937b-4892-b356-745d5dc555e8</errorID>
      <errorWord>按按</errorWord>
      <group>L1_Word</group>
      <groupName>字词问题</groupName>
      <ability>L2_Typo</ability>
      <abilityName>字词错误</abilityName>
      <candidateList>
        <item>按</item>
      </candidateList>
      <explain>（案）àn❶〈书〉考查；核对：有原文可～。❷（编者、作者等）加按语：编者～。</explain>
      <paraID>  13C948</paraID>
      <start>154</start>
      <end>156</end>
      <status>unmodified</status>
      <modifiedWord/>
      <trackRevisions>false</trackRevisions>
    </reviewItem>
    <reviewItem>
      <errorID>5bbc5826-adb4-40b6-a0d6-e1665b4840bc</errorID>
      <errorWord>，</errorWord>
      <group>L1_Word</group>
      <groupName>字词问题</groupName>
      <ability>L2_Typo</ability>
      <abilityName>字词错误</abilityName>
      <candidateList>
        <item>，经</item>
      </candidateList>
      <explain/>
      <paraID>534A62ED</paraID>
      <start>118</start>
      <end>119</end>
      <status>unmodified</status>
      <modifiedWord/>
      <trackRevisions>false</trackRevisions>
    </reviewItem>
    <reviewItem>
      <errorID>ed95874f-10ae-4110-9aed-7191e730614c</errorID>
      <errorWord>其它</errorWord>
      <group>L1_Word</group>
      <groupName>字词问题</groupName>
      <ability>L2_Alias</ability>
      <abilityName>也作/曾用词</abilityName>
      <candidateList>
        <item>其他</item>
      </candidateList>
      <explain>词汇[其它]为不规范表述或旧称，其规范书面表述为[其他]。</explain>
      <paraID>264A78D3</paraID>
      <start>182</start>
      <end>184</end>
      <status>unmodified</status>
      <modifiedWord/>
      <trackRevisions>false</trackRevisions>
    </reviewItem>
    <reviewItem>
      <errorID>ffd60a15-a86a-4701-ab46-3e38371f99b9</errorID>
      <errorWord>人</errorWord>
      <group>L1_Word</group>
      <groupName>字词问题</groupName>
      <ability>L2_Typo</ability>
      <abilityName>字词错误</abilityName>
      <candidateList>
        <item>人在</item>
      </candidateList>
      <explain/>
      <paraID>5C29979F</paraID>
      <start>5</start>
      <end>6</end>
      <status>unmodified</status>
      <modifiedWord/>
      <trackRevisions>false</trackRevisions>
    </reviewItem>
    <reviewItem>
      <errorID>05e68739-d44e-45a1-bd53-a1049596eab3</errorID>
      <errorWord>称</errorWord>
      <group>L1_Word</group>
      <groupName>字词问题</groupName>
      <ability>L2_Typo</ability>
      <abilityName>字词错误</abilityName>
      <candidateList>
        <item>称和</item>
      </candidateList>
      <explain/>
      <paraID>59FEF47F</paraID>
      <start>132</start>
      <end>133</end>
      <status>unmodified</status>
      <modifiedWord/>
      <trackRevisions>false</trackRevisions>
    </reviewItem>
    <reviewItem>
      <errorID>59f2b2fa-b84f-42cf-b8f2-69d4dbd6414f</errorID>
      <errorWord>造成的</errorWord>
      <group>L1_Word</group>
      <groupName>字词问题</groupName>
      <ability>L2_Typo</ability>
      <abilityName>字词错误</abilityName>
      <candidateList>
        <item>造成</item>
      </candidateList>
      <explain/>
      <paraID> 5CE3861</paraID>
      <start>66</start>
      <end>69</end>
      <status>unmodified</status>
      <modifiedWord/>
      <trackRevisions>false</trackRevisions>
    </reviewItem>
    <reviewItem>
      <errorID>7707fe1f-0588-45fd-9bc6-dbbf12e4fb5f</errorID>
      <errorWord>(</errorWord>
      <group>L1_Format</group>
      <groupName>格式问题</groupName>
      <ability>L2_HalfPunc</ability>
      <abilityName>全半角检查</abilityName>
      <candidateList>
        <item>（</item>
      </candidateList>
      <explain>文本全半角错误。</explain>
      <paraID>2E3B2093</paraID>
      <start>73</start>
      <end>74</end>
      <status>unmodified</status>
      <modifiedWord/>
      <trackRevisions>false</trackRevisions>
    </reviewItem>
    <reviewItem>
      <errorID>5d2eb519-4f2e-473b-9317-1fffc144e647</errorID>
      <errorWord>)</errorWord>
      <group>L1_Format</group>
      <groupName>格式问题</groupName>
      <ability>L2_HalfPunc</ability>
      <abilityName>全半角检查</abilityName>
      <candidateList>
        <item>）</item>
      </candidateList>
      <explain>文本全半角错误。</explain>
      <paraID>2E3B2093</paraID>
      <start>88</start>
      <end>89</end>
      <status>unmodified</status>
      <modifiedWord/>
      <trackRevisions>false</trackRevisions>
    </reviewItem>
    <reviewItem>
      <errorID>8b99161f-de35-406e-9bb4-4da8a426b124</errorID>
      <errorWord>发</errorWord>
      <group>L1_Word</group>
      <groupName>字词问题</groupName>
      <ability>L2_Typo</ability>
      <abilityName>字词错误</abilityName>
      <candidateList>
        <item>发出</item>
      </candidateList>
      <explain>〈动〉❶发生（声音、气味等）：～笑声。❷发布（命令、指示）：～号召｜～通告。❸送出（货物、信件等）；开出（车辆等）。</explain>
      <paraID> 4E753FB</paraID>
      <start>76</start>
      <end>77</end>
      <status>unmodified</status>
      <modifiedWord/>
      <trackRevisions>false</trackRevisions>
    </reviewItem>
    <reviewItem>
      <errorID>4dd77074-e5fa-4dcc-bc6f-84676c149509</errorID>
      <errorWord>车车</errorWord>
      <group>L1_Word</group>
      <groupName>字词问题</groupName>
      <ability>L2_Typo</ability>
      <abilityName>字词错误</abilityName>
      <candidateList>
        <item>车</item>
      </candidateList>
      <explain/>
      <paraID>40DE4350</paraID>
      <start>9</start>
      <end>11</end>
      <status>unmodified</status>
      <modifiedWord/>
      <trackRevisions>false</trackRevisions>
    </reviewItem>
    <reviewItem>
      <errorID>f4970407-be23-4fa1-93cf-beb9bea859d4</errorID>
      <errorWord>法律、法规</errorWord>
      <group>L1_Word</group>
      <groupName>字词问题</groupName>
      <ability>L2_Typo</ability>
      <abilityName>字词错误</abilityName>
      <candidateList>
        <item>法律法规</item>
      </candidateList>
      <explain/>
      <paraID>2B69BC1B</paraID>
      <start>17</start>
      <end>22</end>
      <status>unmodified</status>
      <modifiedWord/>
      <trackRevisions>false</trackRevisions>
    </reviewItem>
    <reviewItem>
      <errorID>b0c41c15-f0d2-47b2-84a2-f95a8986b923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4A682946</paraID>
      <start>0</start>
      <end>2</end>
      <status>unmodified</status>
      <modifiedWord/>
      <trackRevisions>false</trackRevisions>
    </reviewItem>
    <reviewItem>
      <errorID>57c3ef19-f5e1-4d45-ba93-cc6298f6916a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1BD9BD8A</paraID>
      <start>0</start>
      <end>2</end>
      <status>unmodified</status>
      <modifiedWord/>
      <trackRevisions>false</trackRevisions>
    </reviewItem>
    <reviewItem>
      <errorID>78f57bbf-751d-4627-8df3-3b73ca4905ef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1D0064C5</paraID>
      <start>0</start>
      <end>2</end>
      <status>unmodified</status>
      <modifiedWord/>
      <trackRevisions>false</trackRevisions>
    </reviewItem>
    <reviewItem>
      <errorID>6f5bdc5a-6efa-4b50-be68-c30007a1887e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23A9C0B4</paraID>
      <start>0</start>
      <end>2</end>
      <status>unmodified</status>
      <modifiedWord/>
      <trackRevisions>false</trackRevisions>
    </reviewItem>
    <reviewItem>
      <errorID>95e25f1e-72a9-4bd8-a74e-1eb6be24fcea</errorID>
      <errorWord>(</errorWord>
      <group>L1_Format</group>
      <groupName>格式问题</groupName>
      <ability>L2_HalfPunc</ability>
      <abilityName>全半角检查</abilityName>
      <candidateList>
        <item>（</item>
      </candidateList>
      <explain>文本全半角错误。</explain>
      <paraID>23A9C0B4</paraID>
      <start>24</start>
      <end>25</end>
      <status>unmodified</status>
      <modifiedWord/>
      <trackRevisions>false</trackRevisions>
    </reviewItem>
    <reviewItem>
      <errorID>bcd7ffcb-88d5-4489-969c-78a2efb52953</errorID>
      <errorWord>)</errorWord>
      <group>L1_Format</group>
      <groupName>格式问题</groupName>
      <ability>L2_HalfPunc</ability>
      <abilityName>全半角检查</abilityName>
      <candidateList>
        <item>）</item>
      </candidateList>
      <explain>文本全半角错误。</explain>
      <paraID>23A9C0B4</paraID>
      <start>38</start>
      <end>39</end>
      <status>unmodified</status>
      <modifiedWord/>
      <trackRevisions>false</trackRevisions>
    </reviewItem>
    <reviewItem>
      <errorID>a54a7c07-8714-43a7-a5eb-761c87eb8e26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4C07EB2B</paraID>
      <start>0</start>
      <end>2</end>
      <status>unmodified</status>
      <modifiedWord/>
      <trackRevisions>false</trackRevisions>
    </reviewItem>
    <reviewItem>
      <errorID>96a67885-0467-4cdf-866f-4c97b25a898d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5AE51D93</paraID>
      <start>0</start>
      <end>2</end>
      <status>unmodified</status>
      <modifiedWord/>
      <trackRevisions>false</trackRevisions>
    </reviewItem>
    <reviewItem>
      <errorID>839dd0a0-4ce4-48bc-ae82-092cbfc5d4b5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3D786D8B</paraID>
      <start>0</start>
      <end>2</end>
      <status>unmodified</status>
      <modifiedWord/>
      <trackRevisions>false</trackRevisions>
    </reviewItem>
    <reviewItem>
      <errorID>341a404f-17b8-4f6c-8b27-ca9ffa984ca5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4E6EF92F</paraID>
      <start>0</start>
      <end>2</end>
      <status>unmodified</status>
      <modifiedWord/>
      <trackRevisions>false</trackRevisions>
    </reviewItem>
    <reviewItem>
      <errorID>cd58d199-bec2-4a7d-8678-940e92f7a79d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3C7CCDEC</paraID>
      <start>0</start>
      <end>2</end>
      <status>unmodified</status>
      <modifiedWord/>
      <trackRevisions>false</trackRevisions>
    </reviewItem>
    <reviewItem>
      <errorID>b203bc57-3b23-4a23-a344-9efd8b85fcf4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5186A559</paraID>
      <start>0</start>
      <end>2</end>
      <status>unmodified</status>
      <modifiedWord/>
      <trackRevisions>false</trackRevisions>
    </reviewItem>
    <reviewItem>
      <errorID>1d8f9f46-12a9-4b72-9534-16818df2dd32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243C625F</paraID>
      <start>0</start>
      <end>2</end>
      <status>unmodified</status>
      <modifiedWord/>
      <trackRevisions>false</trackRevisions>
    </reviewItem>
    <reviewItem>
      <errorID>a79a9bee-d40d-4b63-867d-538ab71e5da6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46CB052B</paraID>
      <start>0</start>
      <end>2</end>
      <status>unmodified</status>
      <modifiedWord/>
      <trackRevisions>false</trackRevisions>
    </reviewItem>
    <reviewItem>
      <errorID>8b5e2dfa-ac35-476c-b95e-8c0cc4a16ba5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4DE0B3F2</paraID>
      <start>0</start>
      <end>2</end>
      <status>unmodified</status>
      <modifiedWord/>
      <trackRevisions>false</trackRevisions>
    </reviewItem>
    <reviewItem>
      <errorID>45266e08-814d-419b-8d8a-ac5a2abe09d6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49C4B2BD</paraID>
      <start>0</start>
      <end>2</end>
      <status>unmodified</status>
      <modifiedWord/>
      <trackRevisions>false</trackRevisions>
    </reviewItem>
    <reviewItem>
      <errorID>4bff7441-b119-4df2-9373-c28dab002bea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2C29708F</paraID>
      <start>0</start>
      <end>2</end>
      <status>unmodified</status>
      <modifiedWord/>
      <trackRevisions>false</trackRevisions>
    </reviewItem>
    <reviewItem>
      <errorID>187ecd1a-b554-44c0-9121-6754fbb8455f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61F8F20F</paraID>
      <start>0</start>
      <end>2</end>
      <status>unmodified</status>
      <modifiedWord/>
      <trackRevisions>false</trackRevisions>
    </reviewItem>
    <reviewItem>
      <errorID>7f6a61f4-15e3-4d3b-959c-ec8a6100265c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4741B13C</paraID>
      <start>0</start>
      <end>2</end>
      <status>unmodified</status>
      <modifiedWord/>
      <trackRevisions>false</trackRevisions>
    </reviewItem>
    <reviewItem>
      <errorID>1db71260-27c4-464f-8511-10c5b8e61da5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489A7CF0</paraID>
      <start>0</start>
      <end>2</end>
      <status>unmodified</status>
      <modifiedWord/>
      <trackRevisions>false</trackRevisions>
    </reviewItem>
    <reviewItem>
      <errorID>c0fbe4c7-260f-4ff7-ab1f-29376a456538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33C91F7E</paraID>
      <start>0</start>
      <end>2</end>
      <status>unmodified</status>
      <modifiedWord/>
      <trackRevisions>false</trackRevisions>
    </reviewItem>
    <reviewItem>
      <errorID>21da1e7b-8bce-4d7e-a38c-7f14c03f2050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1F762255</paraID>
      <start>0</start>
      <end>2</end>
      <status>unmodified</status>
      <modifiedWord/>
      <trackRevisions>false</trackRevisions>
    </reviewItem>
    <reviewItem>
      <errorID>c7962a42-c2f1-4a22-b01b-52e4894855dc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C187F27</paraID>
      <start>0</start>
      <end>2</end>
      <status>unmodified</status>
      <modifiedWord/>
      <trackRevisions>false</trackRevisions>
    </reviewItem>
    <reviewItem>
      <errorID>d75cddea-2268-453b-b413-3bdf1528465d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4E4D93C5</paraID>
      <start>0</start>
      <end>2</end>
      <status>unmodified</status>
      <modifiedWord/>
      <trackRevisions>false</trackRevisions>
    </reviewItem>
    <reviewItem>
      <errorID>67ab6b45-05b4-4867-a824-3f1ee645dfdc</errorID>
      <errorWord>,</errorWord>
      <group>L1_Format</group>
      <groupName>格式问题</groupName>
      <ability>L2_HalfPunc</ability>
      <abilityName>全半角检查</abilityName>
      <candidateList>
        <item>，</item>
      </candidateList>
      <explain>文本全半角错误。</explain>
      <paraID>4E4D93C5</paraID>
      <start>37</start>
      <end>38</end>
      <status>unmodified</status>
      <modifiedWord/>
      <trackRevisions>false</trackRevisions>
    </reviewItem>
    <reviewItem>
      <errorID>2e05ae69-033a-4969-a820-c70a387c801b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4D522904</paraID>
      <start>0</start>
      <end>2</end>
      <status>unmodified</status>
      <modifiedWord/>
      <trackRevisions>false</trackRevisions>
    </reviewItem>
    <reviewItem>
      <errorID>788d5eea-59f9-4db2-ba84-032b234eacca</errorID>
      <errorWord>:</errorWord>
      <group>L1_Format</group>
      <groupName>格式问题</groupName>
      <ability>L2_HalfPunc</ability>
      <abilityName>全半角检查</abilityName>
      <candidateList>
        <item>：</item>
      </candidateList>
      <explain>文本全半角错误。</explain>
      <paraID>4D522904</paraID>
      <start>6</start>
      <end>7</end>
      <status>unmodified</status>
      <modifiedWord/>
      <trackRevisions>false</trackRevisions>
    </reviewItem>
    <reviewItem>
      <errorID>1c80781e-d254-4fbc-940b-ba2b973af8af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42588304</paraID>
      <start>0</start>
      <end>2</end>
      <status>unmodified</status>
      <modifiedWord/>
      <trackRevisions>false</trackRevisions>
    </reviewItem>
    <reviewItem>
      <errorID>4fe442fd-aae8-4632-b8dc-cb3949c1fd49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193282A2</paraID>
      <start>0</start>
      <end>2</end>
      <status>unmodified</status>
      <modifiedWord/>
      <trackRevisions>false</trackRevisions>
    </reviewItem>
    <reviewItem>
      <errorID>32c613c1-dee5-48fa-ac45-1946669db144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55883267</paraID>
      <start>0</start>
      <end>2</end>
      <status>unmodified</status>
      <modifiedWord/>
      <trackRevisions>false</trackRevisions>
    </reviewItem>
    <reviewItem>
      <errorID>b320b49c-842d-45ce-b298-7b1bc359070c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317C3D73</paraID>
      <start>0</start>
      <end>2</end>
      <status>unmodified</status>
      <modifiedWord/>
      <trackRevisions>false</trackRevisions>
    </reviewItem>
    <reviewItem>
      <errorID>7d4ebae5-8fc8-44e6-ba1a-b00209cfbbf8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50C23DD3</paraID>
      <start>0</start>
      <end>2</end>
      <status>unmodified</status>
      <modifiedWord/>
      <trackRevisions>false</trackRevisions>
    </reviewItem>
    <reviewItem>
      <errorID>fab0a08f-65cd-411d-8c2d-a19c11666cd1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724A4FF</paraID>
      <start>0</start>
      <end>2</end>
      <status>unmodified</status>
      <modifiedWord/>
      <trackRevisions>false</trackRevisions>
    </reviewItem>
    <reviewItem>
      <errorID>d5bdf3ed-2ba7-4c5b-9ec8-7b34b6ff0b62</errorID>
      <errorWord>费</errorWord>
      <group>L1_Word</group>
      <groupName>字词问题</groupName>
      <ability>L2_Typo</ability>
      <abilityName>字词错误</abilityName>
      <candidateList>
        <item>费用</item>
      </candidateList>
      <explain/>
      <paraID> 724A4FF</paraID>
      <start>139</start>
      <end>140</end>
      <status>unmodified</status>
      <modifiedWord/>
      <trackRevisions>false</trackRevisions>
    </reviewItem>
    <reviewItem>
      <errorID>81ed1aed-1e26-40b3-adac-f8916f7b9d69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C934743</paraID>
      <start>0</start>
      <end>2</end>
      <status>unmodified</status>
      <modifiedWord/>
      <trackRevisions>false</trackRevisions>
    </reviewItem>
    <reviewItem>
      <errorID>6ca159ab-fbd8-4b6f-970f-4c2478b970c9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5E59FEDF</paraID>
      <start>0</start>
      <end>2</end>
      <status>unmodified</status>
      <modifiedWord/>
      <trackRevisions>false</trackRevisions>
    </reviewItem>
    <reviewItem>
      <errorID>56bcc895-a79c-4393-87ef-4b9d5387839b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7E1681DF</paraID>
      <start>0</start>
      <end>2</end>
      <status>unmodified</status>
      <modifiedWord/>
      <trackRevisions>false</trackRevisions>
    </reviewItem>
    <reviewItem>
      <errorID>7c7fc232-1643-4792-8f7d-4151768cfe0d</errorID>
      <errorWord>简称为</errorWord>
      <group>L1_Word</group>
      <groupName>字词问题</groupName>
      <ability>L2_Typo</ability>
      <abilityName>字词错误</abilityName>
      <candidateList>
        <item>简称</item>
      </candidateList>
      <explain/>
      <paraID>7E1681DF</paraID>
      <start>48</start>
      <end>51</end>
      <status>unmodified</status>
      <modifiedWord/>
      <trackRevisions>false</trackRevisions>
    </reviewItem>
    <reviewItem>
      <errorID>ea7e48fe-fe64-4164-8e17-3ad6efb48af1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3150B1B6</paraID>
      <start>0</start>
      <end>2</end>
      <status>unmodified</status>
      <modifiedWord/>
      <trackRevisions>false</trackRevisions>
    </reviewItem>
    <reviewItem>
      <errorID>00d27b90-ff8c-4cdf-884b-6fa30a8bb4f0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76C3C871</paraID>
      <start>0</start>
      <end>2</end>
      <status>unmodified</status>
      <modifiedWord/>
      <trackRevisions>false</trackRevisions>
    </reviewItem>
    <reviewItem>
      <errorID>ef2750e1-346a-4591-b7d6-ddeebbc97219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5C4FF86D</paraID>
      <start>0</start>
      <end>2</end>
      <status>unmodified</status>
      <modifiedWord/>
      <trackRevisions>false</trackRevisions>
    </reviewItem>
    <reviewItem>
      <errorID>2dbfaaaf-c9fe-428a-99ed-d3eb8ff0581e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44954EAC</paraID>
      <start>0</start>
      <end>2</end>
      <status>unmodified</status>
      <modifiedWord/>
      <trackRevisions>false</trackRevisions>
    </reviewItem>
    <reviewItem>
      <errorID>6e585796-46ce-4130-9031-bef4ca86bc28</errorID>
      <errorWord>称</errorWord>
      <group>L1_Word</group>
      <groupName>字词问题</groupName>
      <ability>L2_Typo</ability>
      <abilityName>字词错误</abilityName>
      <candidateList>
        <item>称和</item>
      </candidateList>
      <explain/>
      <paraID>4B043CDE</paraID>
      <start>156</start>
      <end>157</end>
      <status>unmodified</status>
      <modifiedWord/>
      <trackRevisions>false</trackRevisions>
    </reviewItem>
    <reviewItem>
      <errorID>882f09e9-7ae0-409b-8eb9-d25a032b58f2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254E418C</paraID>
      <start>0</start>
      <end>2</end>
      <status>unmodified</status>
      <modifiedWord/>
      <trackRevisions>false</trackRevisions>
    </reviewItem>
    <reviewItem>
      <errorID>9372951b-0c53-441d-8166-ef0886e29ce3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3E5B2E52</paraID>
      <start>0</start>
      <end>2</end>
      <status>unmodified</status>
      <modifiedWord/>
      <trackRevisions>false</trackRevisions>
    </reviewItem>
    <reviewItem>
      <errorID>725828bc-0772-456a-9a78-890a709f50cb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2E318505</paraID>
      <start>0</start>
      <end>2</end>
      <status>unmodified</status>
      <modifiedWord/>
      <trackRevisions>false</trackRevisions>
    </reviewItem>
    <reviewItem>
      <errorID>e2c9bfae-174b-4450-92ee-e1c6455654de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75615713</paraID>
      <start>0</start>
      <end>2</end>
      <status>unmodified</status>
      <modifiedWord/>
      <trackRevisions>false</trackRevisions>
    </reviewItem>
    <reviewItem>
      <errorID>d1e312ef-f26f-41ae-a574-6b2d404085ab</errorID>
      <errorWord>其它</errorWord>
      <group>L1_Word</group>
      <groupName>字词问题</groupName>
      <ability>L2_Alias</ability>
      <abilityName>也作/曾用词</abilityName>
      <candidateList>
        <item>其他</item>
      </candidateList>
      <explain>词汇[其它]为不规范表述或旧称，其规范书面表述为[其他]。</explain>
      <paraID>75615713</paraID>
      <start>177</start>
      <end>179</end>
      <status>unmodified</status>
      <modifiedWord/>
      <trackRevisions>false</trackRevisions>
    </reviewItem>
    <reviewItem>
      <errorID>89a916ea-8e3c-43a0-b7cb-42154702a35f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F11A653</paraID>
      <start>0</start>
      <end>2</end>
      <status>unmodified</status>
      <modifiedWord/>
      <trackRevisions>false</trackRevisions>
    </reviewItem>
    <reviewItem>
      <errorID>3b82c2b0-f645-4140-bbe9-26c8e1e9be96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3F0DFFAB</paraID>
      <start>0</start>
      <end>2</end>
      <status>unmodified</status>
      <modifiedWord/>
      <trackRevisions>false</trackRevisions>
    </reviewItem>
    <reviewItem>
      <errorID>d9f72b24-c973-4999-bf1f-b92ac44cc4f7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49F51C65</paraID>
      <start>0</start>
      <end>2</end>
      <status>unmodified</status>
      <modifiedWord/>
      <trackRevisions>false</trackRevisions>
    </reviewItem>
    <reviewItem>
      <errorID>40beca75-d075-4ae2-9a37-141628e7321b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5B0C25FE</paraID>
      <start>0</start>
      <end>2</end>
      <status>unmodified</status>
      <modifiedWord/>
      <trackRevisions>false</trackRevisions>
    </reviewItem>
    <reviewItem>
      <errorID>feedd595-4e2b-4ecd-8328-c5247a5de593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40D1911E</paraID>
      <start>0</start>
      <end>2</end>
      <status>unmodified</status>
      <modifiedWord/>
      <trackRevisions>false</trackRevisions>
    </reviewItem>
    <reviewItem>
      <errorID>11084f6a-acab-4a12-b242-31d901172a2b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688C563D</paraID>
      <start>0</start>
      <end>2</end>
      <status>unmodified</status>
      <modifiedWord/>
      <trackRevisions>false</trackRevisions>
    </reviewItem>
    <reviewItem>
      <errorID>ce355955-0c67-4849-aa39-6426ee8350f2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447F8736</paraID>
      <start>0</start>
      <end>2</end>
      <status>unmodified</status>
      <modifiedWord/>
      <trackRevisions>false</trackRevisions>
    </reviewItem>
    <reviewItem>
      <errorID>eb71d08e-6183-4471-8900-6a9323e3fd62</errorID>
      <errorWord>缺陷汽车产品召回管理规定</errorWord>
      <group>L1_Knowledge</group>
      <groupName>知识性问题</groupName>
      <ability>L2_Knowledge</ability>
      <abilityName>其他知识</abilityName>
      <candidateList>
        <item>缺陷汽车产品召回管理条例</item>
      </candidateList>
      <explain>当前法律法规未收录或尚未生效，注意核查是否正确。</explain>
      <paraID>447F8736</paraID>
      <start>41</start>
      <end>53</end>
      <status>unmodified</status>
      <modifiedWord/>
      <trackRevisions>false</trackRevisions>
    </reviewItem>
    <reviewItem>
      <errorID>27028579-54c7-4a15-abad-954eda21f5e7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7A78FC3A</paraID>
      <start>0</start>
      <end>2</end>
      <status>unmodified</status>
      <modifiedWord/>
      <trackRevisions>false</trackRevisions>
    </reviewItem>
    <reviewItem>
      <errorID>279c8a48-c2b7-4e17-93b5-468c485190c9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30B33AAB</paraID>
      <start>0</start>
      <end>2</end>
      <status>unmodified</status>
      <modifiedWord/>
      <trackRevisions>false</trackRevisions>
    </reviewItem>
    <reviewItem>
      <errorID>0d1be702-7600-48f3-b1e0-647981ed772d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1E65D848</paraID>
      <start>0</start>
      <end>2</end>
      <status>unmodified</status>
      <modifiedWord/>
      <trackRevisions>false</trackRevisions>
    </reviewItem>
    <reviewItem>
      <errorID>864274f3-ddde-47c7-aa59-7adc22dfda60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511AFE00</paraID>
      <start>0</start>
      <end>2</end>
      <status>unmodified</status>
      <modifiedWord/>
      <trackRevisions>false</trackRevisions>
    </reviewItem>
    <reviewItem>
      <errorID>607cc8d9-fda0-48d1-9087-d765ba771263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1F9A84C9</paraID>
      <start>0</start>
      <end>2</end>
      <status>unmodified</status>
      <modifiedWord/>
      <trackRevisions>false</trackRevisions>
    </reviewItem>
    <reviewItem>
      <errorID>3f85b94d-7723-44e0-b360-760ccd3c5615</errorID>
      <errorWord>（</errorWord>
      <group>L1_Punc</group>
      <groupName>标点问题</groupName>
      <ability>L2_Punc</ability>
      <abilityName>标点符号检查</abilityName>
      <candidateList/>
      <explain>同一形式括号套用。</explain>
      <paraID>49CC61B3</paraID>
      <start>41</start>
      <end>42</end>
      <status>unmodified</status>
      <modifiedWord/>
      <trackRevisions>false</trackRevisions>
    </reviewItem>
    <reviewItem>
      <errorID>5c85e2e2-2c0a-4e6e-9896-a81b40822d36</errorID>
      <errorWord>）</errorWord>
      <group>L1_Punc</group>
      <groupName>标点问题</groupName>
      <ability>L2_Punc</ability>
      <abilityName>标点符号检查</abilityName>
      <candidateList/>
      <explain>同一形式括号套用。</explain>
      <paraID>49CC61B3</paraID>
      <start>46</start>
      <end>47</end>
      <status>unmodified</status>
      <modifiedWord/>
      <trackRevisions>false</trackRevisions>
    </reviewItem>
    <reviewItem>
      <errorID>18b5382c-209a-412e-b3f9-f030524f8140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23DA9E06</paraID>
      <start>0</start>
      <end>2</end>
      <status>unmodified</status>
      <modifiedWord/>
      <trackRevisions>false</trackRevisions>
    </reviewItem>
    <reviewItem>
      <errorID>165dfc43-4f21-4c91-a1f3-56ba211487e4</errorID>
      <errorWord>（</errorWord>
      <group>L1_Word</group>
      <groupName>字词问题</groupName>
      <ability>L2_Typo</ability>
      <abilityName>字词错误</abilityName>
      <candidateList>
        <item>（以</item>
      </candidateList>
      <explain/>
      <paraID>23DA9E06</paraID>
      <start>93</start>
      <end>94</end>
      <status>unmodified</status>
      <modifiedWord/>
      <trackRevisions>false</trackRevisions>
    </reviewItem>
    <reviewItem>
      <errorID>a53af726-36b7-4854-95d7-7f5264384e9d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330C0642</paraID>
      <start>0</start>
      <end>2</end>
      <status>unmodified</status>
      <modifiedWord/>
      <trackRevisions>false</trackRevisions>
    </reviewItem>
    <reviewItem>
      <errorID>863b1d26-219f-4c9b-8476-79797b6a7c14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627D37D0</paraID>
      <start>0</start>
      <end>2</end>
      <status>unmodified</status>
      <modifiedWord/>
      <trackRevisions>false</trackRevisions>
    </reviewItem>
    <reviewItem>
      <errorID>55ed112c-e704-42ef-8da0-d5d0cdd1e224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5F6D4167</paraID>
      <start>0</start>
      <end>2</end>
      <status>unmodified</status>
      <modifiedWord/>
      <trackRevisions>false</trackRevisions>
    </reviewItem>
    <reviewItem>
      <errorID>61fd734c-6fbe-443c-9f5b-499cb330293f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1ECF7260</paraID>
      <start>0</start>
      <end>2</end>
      <status>unmodified</status>
      <modifiedWord/>
      <trackRevisions>false</trackRevisions>
    </reviewItem>
    <reviewItem>
      <errorID>e5e4c86e-10a2-452e-9d84-35d6fd0486f0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5080E9F7</paraID>
      <start>0</start>
      <end>2</end>
      <status>unmodified</status>
      <modifiedWord/>
      <trackRevisions>false</trackRevisions>
    </reviewItem>
    <reviewItem>
      <errorID>9610e540-078e-43e3-97f4-1ab97ea737b1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32700E39</paraID>
      <start>0</start>
      <end>2</end>
      <status>unmodified</status>
      <modifiedWord/>
      <trackRevisions>false</trackRevisions>
    </reviewItem>
    <reviewItem>
      <errorID>09e1608c-9a8e-4d7d-980f-6d7e09da5f0c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736B33B8</paraID>
      <start>0</start>
      <end>2</end>
      <status>unmodified</status>
      <modifiedWord/>
      <trackRevisions>false</trackRevisions>
    </reviewItem>
    <reviewItem>
      <errorID>a44a7035-d0a7-4fd4-b6f5-e7e9cde4d539</errorID>
      <errorWord>日</errorWord>
      <group>L1_Word</group>
      <groupName>字词问题</groupName>
      <ability>L2_Typo</ability>
      <abilityName>字词错误</abilityName>
      <candidateList>
        <item>日内</item>
      </candidateList>
      <explain/>
      <paraID>736B33B8</paraID>
      <start>43</start>
      <end>44</end>
      <status>unmodified</status>
      <modifiedWord/>
      <trackRevisions>false</trackRevisions>
    </reviewItem>
    <reviewItem>
      <errorID>83eded5d-ee0c-45f3-866f-f5c6cbb798d5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17772621</paraID>
      <start>0</start>
      <end>2</end>
      <status>unmodified</status>
      <modifiedWord/>
      <trackRevisions>false</trackRevisions>
    </reviewItem>
    <reviewItem>
      <errorID>5bdf7bbc-afdf-45b7-82db-1a2ebe86ca0b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21001BE</paraID>
      <start>0</start>
      <end>2</end>
      <status>unmodified</status>
      <modifiedWord/>
      <trackRevisions>false</trackRevisions>
    </reviewItem>
    <reviewItem>
      <errorID>ed44251d-6291-4e13-a2ed-7182e91ba64f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4D4EE228</paraID>
      <start>0</start>
      <end>2</end>
      <status>unmodified</status>
      <modifiedWord/>
      <trackRevisions>false</trackRevisions>
    </reviewItem>
    <reviewItem>
      <errorID>49a3d1b9-4fd3-450f-97b4-997a5be9ecdc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55F0B326</paraID>
      <start>0</start>
      <end>2</end>
      <status>unmodified</status>
      <modifiedWord/>
      <trackRevisions>false</trackRevisions>
    </reviewItem>
    <reviewItem>
      <errorID>8f8b806a-22d2-4da1-a39f-380776072848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2263D144</paraID>
      <start>0</start>
      <end>2</end>
      <status>unmodified</status>
      <modifiedWord/>
      <trackRevisions>false</trackRevisions>
    </reviewItem>
    <reviewItem>
      <errorID>35ee1d74-8d10-41cb-a319-458317e19e27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3131763B</paraID>
      <start>0</start>
      <end>2</end>
      <status>unmodified</status>
      <modifiedWord/>
      <trackRevisions>false</trackRevisions>
    </reviewItem>
    <reviewItem>
      <errorID>456903f6-dedc-432c-8814-e93e96277bc9</errorID>
      <errorWord>发</errorWord>
      <group>L1_Word</group>
      <groupName>字词问题</groupName>
      <ability>L2_Typo</ability>
      <abilityName>字词错误</abilityName>
      <candidateList>
        <item>发出</item>
      </candidateList>
      <explain>〈动〉❶发生（声音、气味等）：～笑声。❷发布（命令、指示）：～号召｜～通告。❸送出（货物、信件等）；开出（车辆等）。</explain>
      <paraID>3131763B</paraID>
      <start>75</start>
      <end>76</end>
      <status>unmodified</status>
      <modifiedWord/>
      <trackRevisions>false</trackRevisions>
    </reviewItem>
    <reviewItem>
      <errorID>7f65ce20-8de5-4ef5-bb29-8def38ab6f5d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457E5F52</paraID>
      <start>0</start>
      <end>2</end>
      <status>unmodified</status>
      <modifiedWord/>
      <trackRevisions>false</trackRevisions>
    </reviewItem>
    <reviewItem>
      <errorID>706b5663-7c65-4113-bd61-c705c1c34028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5E036D07</paraID>
      <start>0</start>
      <end>2</end>
      <status>unmodified</status>
      <modifiedWord/>
      <trackRevisions>false</trackRevisions>
    </reviewItem>
    <reviewItem>
      <errorID>85dd1d4b-b108-4587-b798-e59f37cd30cc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4405FC60</paraID>
      <start>0</start>
      <end>2</end>
      <status>unmodified</status>
      <modifiedWord/>
      <trackRevisions>false</trackRevisions>
    </reviewItem>
    <reviewItem>
      <errorID>10c24d1a-a957-468b-99dd-6ad34f620517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5842A9EA</paraID>
      <start>0</start>
      <end>2</end>
      <status>unmodified</status>
      <modifiedWord/>
      <trackRevisions>false</trackRevisions>
    </reviewItem>
    <reviewItem>
      <errorID>a610150a-420a-4498-8386-b4a0e84c92e0</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393CA237</paraID>
      <start>0</start>
      <end>3</end>
      <status>unmodified</status>
      <modifiedWord/>
      <trackRevisions>false</trackRevisions>
    </reviewItem>
    <reviewItem>
      <errorID>0c87ba51-9629-4719-a769-d3467924ac6e</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216A57CC</paraID>
      <start>0</start>
      <end>3</end>
      <status>unmodified</status>
      <modifiedWord/>
      <trackRevisions>false</trackRevisions>
    </reviewItem>
    <reviewItem>
      <errorID>6ab8b00b-ed0f-47c8-b8e4-c5c5c876fd05</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6C1887B6</paraID>
      <start>0</start>
      <end>3</end>
      <status>unmodified</status>
      <modifiedWord/>
      <trackRevisions>false</trackRevisions>
    </reviewItem>
    <reviewItem>
      <errorID>32e46245-a451-4683-95fa-f53c1bff972e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5F6E7E88</paraID>
      <start>0</start>
      <end>2</end>
      <status>unmodified</status>
      <modifiedWord/>
      <trackRevisions>false</trackRevisions>
    </reviewItem>
    <reviewItem>
      <errorID>2add6306-d28c-45b5-89ea-9e813a765d42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3E940FC4</paraID>
      <start>0</start>
      <end>2</end>
      <status>unmodified</status>
      <modifiedWord/>
      <trackRevisions>false</trackRevisions>
    </reviewItem>
    <reviewItem>
      <errorID>c4290793-de8d-4db9-823c-9a7eba1ae297</errorID>
      <errorWord>(</errorWord>
      <group>L1_Format</group>
      <groupName>格式问题</groupName>
      <ability>L2_HalfPunc</ability>
      <abilityName>全半角检查</abilityName>
      <candidateList>
        <item>（</item>
      </candidateList>
      <explain>文本全半角错误。</explain>
      <paraID>3E940FC4</paraID>
      <start>98</start>
      <end>99</end>
      <status>unmodified</status>
      <modifiedWord/>
      <trackRevisions>false</trackRevisions>
    </reviewItem>
    <reviewItem>
      <errorID>4813a179-f79e-4fb6-b0b2-99f063c0cfee</errorID>
      <errorWord>)</errorWord>
      <group>L1_Format</group>
      <groupName>格式问题</groupName>
      <ability>L2_HalfPunc</ability>
      <abilityName>全半角检查</abilityName>
      <candidateList>
        <item>）</item>
      </candidateList>
      <explain>文本全半角错误。</explain>
      <paraID>3E940FC4</paraID>
      <start>113</start>
      <end>114</end>
      <status>unmodified</status>
      <modifiedWord/>
      <trackRevisions>false</trackRevisions>
    </reviewItem>
    <reviewItem>
      <errorID>c597bc6b-616d-48c4-bff5-197186b8f22f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286BC0A7</paraID>
      <start>0</start>
      <end>2</end>
      <status>unmodified</status>
      <modifiedWord/>
      <trackRevisions>false</trackRevisions>
    </reviewItem>
    <reviewItem>
      <errorID>3bf485fa-827f-4376-bd13-24d10915c18f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10A5E90A</paraID>
      <start>0</start>
      <end>2</end>
      <status>unmodified</status>
      <modifiedWord/>
      <trackRevisions>false</trackRevisions>
    </reviewItem>
    <reviewItem>
      <errorID>778bac04-a727-4e76-aa7c-211bffc401c4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74E88767</paraID>
      <start>0</start>
      <end>2</end>
      <status>unmodified</status>
      <modifiedWord/>
      <trackRevisions>false</trackRevisions>
    </reviewItem>
    <reviewItem>
      <errorID>a547dd74-ebbc-4bbb-981a-595f4d0dda89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3131AB25</paraID>
      <start>0</start>
      <end>2</end>
      <status>unmodified</status>
      <modifiedWord/>
      <trackRevisions>false</trackRevisions>
    </reviewItem>
    <reviewItem>
      <errorID>270a0ed2-fdbf-457b-aeb9-9bbb65d3c085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5620929B</paraID>
      <start>0</start>
      <end>2</end>
      <status>unmodified</status>
      <modifiedWord/>
      <trackRevisions>false</trackRevisions>
    </reviewItem>
    <reviewItem>
      <errorID>8695508e-8661-4151-9c5a-676d6f44ac07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68BA4333</paraID>
      <start>0</start>
      <end>2</end>
      <status>unmodified</status>
      <modifiedWord/>
      <trackRevisions>false</trackRevisions>
    </reviewItem>
    <reviewItem>
      <errorID>f3632c19-c63b-4bfc-a2de-c07b9aae86cb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D7DD409</paraID>
      <start>0</start>
      <end>2</end>
      <status>unmodified</status>
      <modifiedWord/>
      <trackRevisions>false</trackRevisions>
    </reviewItem>
    <reviewItem>
      <errorID>c96c86aa-967f-4e77-9ced-964d2a5addc8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50F9EA27</paraID>
      <start>0</start>
      <end>2</end>
      <status>unmodified</status>
      <modifiedWord/>
      <trackRevisions>false</trackRevisions>
    </reviewItem>
    <reviewItem>
      <errorID>577e99ce-4f22-49dc-819f-d51d691ba66a</errorID>
      <errorWord>防止或避免</errorWord>
      <group>L1_Grammar</group>
      <groupName>语法问题</groupName>
      <ability>L2_Grammar</ability>
      <abilityName>语法错误</abilityName>
      <candidateList>
        <item>防止或</item>
      </candidateList>
      <explain/>
      <paraID>1A17E914</paraID>
      <start>32</start>
      <end>37</end>
      <status>unmodified</status>
      <modifiedWord/>
      <trackRevisions>false</trackRevisions>
    </reviewItem>
    <reviewItem>
      <errorID>a36c4568-62e6-4fc5-8eaa-f98cb4b63998</errorID>
      <errorWord>、或者</errorWord>
      <group>L1_Word</group>
      <groupName>字词问题</groupName>
      <ability>L2_Typo</ability>
      <abilityName>字词错误</abilityName>
      <candidateList>
        <item>，或者</item>
      </candidateList>
      <explain/>
      <paraID>1A17E914</paraID>
      <start>148</start>
      <end>151</end>
      <status>unmodified</status>
      <modifiedWord/>
      <trackRevisions>false</trackRevisions>
    </reviewItem>
    <reviewItem>
      <errorID>a2f1840d-1730-4ed9-82c3-a7d2270a4d93</errorID>
      <errorWord>、或者</errorWord>
      <group>L1_Word</group>
      <groupName>字词问题</groupName>
      <ability>L2_Typo</ability>
      <abilityName>字词错误</abilityName>
      <candidateList>
        <item>，或者</item>
      </candidateList>
      <explain/>
      <paraID>1A17E914</paraID>
      <start>157</start>
      <end>160</end>
      <status>unmodified</status>
      <modifiedWord/>
      <trackRevisions>false</trackRevisions>
    </reviewItem>
    <reviewItem>
      <errorID>22d720d9-e0b0-4267-b224-cdb336b30405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CB68B11</paraID>
      <start>0</start>
      <end>2</end>
      <status>unmodified</status>
      <modifiedWord/>
      <trackRevisions>false</trackRevisions>
    </reviewItem>
    <reviewItem>
      <errorID>48391ec8-a47b-489f-b960-f4ab33ea4add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753DC7F7</paraID>
      <start>0</start>
      <end>2</end>
      <status>unmodified</status>
      <modifiedWord/>
      <trackRevisions>false</trackRevisions>
    </reviewItem>
    <reviewItem>
      <errorID>047ce5ff-067a-4b96-a61d-25dccb71d9e8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67321A6F</paraID>
      <start>0</start>
      <end>2</end>
      <status>unmodified</status>
      <modifiedWord/>
      <trackRevisions>false</trackRevisions>
    </reviewItem>
    <reviewItem>
      <errorID>04b7ffaf-b1e9-40aa-82e0-a0624062bc96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3D7694D1</paraID>
      <start>0</start>
      <end>2</end>
      <status>unmodified</status>
      <modifiedWord/>
      <trackRevisions>false</trackRevisions>
    </reviewItem>
    <reviewItem>
      <errorID>eb94bb1e-cd9b-4065-b075-53e95d5d17f8</errorID>
      <errorWord>其它</errorWord>
      <group>L1_Word</group>
      <groupName>字词问题</groupName>
      <ability>L2_Alias</ability>
      <abilityName>也作/曾用词</abilityName>
      <candidateList>
        <item>其他</item>
      </candidateList>
      <explain>词汇[其它]为不规范表述或旧称，其规范书面表述为[其他]。</explain>
      <paraID>4659F880</paraID>
      <start>3</start>
      <end>5</end>
      <status>unmodified</status>
      <modifiedWord/>
      <trackRevisions>false</trackRevisions>
    </reviewItem>
    <reviewItem>
      <errorID>1519d659-4b66-45cd-a780-4fe573f25aaa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106B23A2</paraID>
      <start>0</start>
      <end>2</end>
      <status>unmodified</status>
      <modifiedWord/>
      <trackRevisions>false</trackRevisions>
    </reviewItem>
    <reviewItem>
      <errorID>606b6e0c-2321-45de-8bd9-0a88d599f72e</errorID>
      <errorWord>之日期</errorWord>
      <group>L1_Word</group>
      <groupName>字词问题</groupName>
      <ability>L2_Typo</ability>
      <abilityName>字词错误</abilityName>
      <candidateList>
        <item>之日起</item>
      </candidateList>
      <explain>存在发音相同字词的误用。</explain>
      <paraID>106B23A2</paraID>
      <start>111</start>
      <end>114</end>
      <status>unmodified</status>
      <modifiedWord/>
      <trackRevisions>false</trackRevisions>
    </reviewItem>
    <reviewItem>
      <errorID>dc372be0-35d9-41ab-9f5d-ee17f7e37eca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1F59E796</paraID>
      <start>0</start>
      <end>2</end>
      <status>unmodified</status>
      <modifiedWord/>
      <trackRevisions>false</trackRevisions>
    </reviewItem>
    <reviewItem>
      <errorID>0942bbbb-b6b9-410b-8dea-e4d3240cdbda</errorID>
      <errorWord>,</errorWord>
      <group>L1_Format</group>
      <groupName>格式问题</groupName>
      <ability>L2_HalfPunc</ability>
      <abilityName>全半角检查</abilityName>
      <candidateList>
        <item>，</item>
      </candidateList>
      <explain>文本全半角错误。</explain>
      <paraID>1F59E796</paraID>
      <start>28</start>
      <end>29</end>
      <status>unmodified</status>
      <modifiedWord/>
      <trackRevisions>false</trackRevisions>
    </reviewItem>
    <reviewItem>
      <errorID>551a133e-34e0-4b1a-bc6f-dc91d544436d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41468AE5</paraID>
      <start>0</start>
      <end>2</end>
      <status>unmodified</status>
      <modifiedWord/>
      <trackRevisions>false</trackRevisions>
    </reviewItem>
    <reviewItem>
      <errorID>08044b63-baf0-4b19-8394-3b923390e65b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69C03572</paraID>
      <start>0</start>
      <end>2</end>
      <status>unmodified</status>
      <modifiedWord/>
      <trackRevisions>false</trackRevisions>
    </reviewItem>
    <reviewItem>
      <errorID>29de9ef6-470d-4883-b9de-a659ad81dafa</errorID>
      <errorWord>(</errorWord>
      <group>L1_Format</group>
      <groupName>格式问题</groupName>
      <ability>L2_HalfPunc</ability>
      <abilityName>全半角检查</abilityName>
      <candidateList>
        <item>（</item>
      </candidateList>
      <explain>文本全半角错误。</explain>
      <paraID>4A1CFD2F</paraID>
      <start>10</start>
      <end>11</end>
      <status>unmodified</status>
      <modifiedWord/>
      <trackRevisions>false</trackRevisions>
    </reviewItem>
    <reviewItem>
      <errorID>cca02b01-4670-46cd-848b-47ef4403a0d0</errorID>
      <errorWord>)</errorWord>
      <group>L1_Format</group>
      <groupName>格式问题</groupName>
      <ability>L2_HalfPunc</ability>
      <abilityName>全半角检查</abilityName>
      <candidateList>
        <item>）</item>
      </candidateList>
      <explain>文本全半角错误。</explain>
      <paraID>4A1CFD2F</paraID>
      <start>13</start>
      <end>14</end>
      <status>unmodified</status>
      <modifiedWord/>
      <trackRevisions>false</trackRevisions>
    </reviewItem>
    <reviewItem>
      <errorID>85210efd-0fd4-4d2c-be1b-543650af546f</errorID>
      <errorWord>法律、法规</errorWord>
      <group>L1_Word</group>
      <groupName>字词问题</groupName>
      <ability>L2_Typo</ability>
      <abilityName>字词错误</abilityName>
      <candidateList>
        <item>法律法规</item>
      </candidateList>
      <explain/>
      <paraID>  7F156F</paraID>
      <start>75</start>
      <end>80</end>
      <status>unmodified</status>
      <modifiedWord/>
      <trackRevisions>false</trackRevisions>
    </reviewItem>
    <reviewItem>
      <errorID>2df7cf02-8efa-410b-a03d-2f855f80e2da</errorID>
      <errorWord>从事于</errorWord>
      <group>L1_Word</group>
      <groupName>字词问题</groupName>
      <ability>L2_Typo</ability>
      <abilityName>字词错误</abilityName>
      <candidateList>
        <item>从事</item>
      </candidateList>
      <explain/>
      <paraID>492936A1</paraID>
      <start>39</start>
      <end>42</end>
      <status>unmodified</status>
      <modifiedWord/>
      <trackRevisions>false</trackRevisions>
    </reviewItem>
    <reviewItem>
      <errorID>6c25d3d0-42f3-4abb-a542-a8fb9a27d806</errorID>
      <errorWord>一</errorWord>
      <group>L1_Word</group>
      <groupName>字词问题</groupName>
      <ability>L2_Typo</ability>
      <abilityName>字词错误</abilityName>
      <candidateList>
        <item>一条</item>
      </candidateList>
      <explain/>
      <paraID>74A29A15</paraID>
      <start>35</start>
      <end>36</end>
      <status>unmodified</status>
      <modifiedWord/>
      <trackRevisions>false</trackRevisions>
    </reviewItem>
    <reviewItem>
      <errorID>1df7f639-427d-4b41-9a29-d93c7a83e372</errorID>
      <errorWord>，</errorWord>
      <group>L1_Word</group>
      <groupName>字词问题</groupName>
      <ability>L2_Typo</ability>
      <abilityName>字词错误</abilityName>
      <candidateList>
        <item>，以</item>
      </candidateList>
      <explain/>
      <paraID>1B64B878</paraID>
      <start>36</start>
      <end>37</end>
      <status>unmodified</status>
      <modifiedWord/>
      <trackRevisions>false</trackRevisions>
    </reviewItem>
    <reviewItem>
      <errorID>9f8ce0b6-7c43-4d24-aa1a-31c035f61973</errorID>
      <errorWord>:</errorWord>
      <group>L1_Format</group>
      <groupName>格式问题</groupName>
      <ability>L2_HalfPunc</ability>
      <abilityName>全半角检查</abilityName>
      <candidateList>
        <item>：</item>
      </candidateList>
      <explain>文本全半角错误。</explain>
      <paraID>5B103693</paraID>
      <start>9</start>
      <end>10</end>
      <status>unmodified</status>
      <modifiedWord/>
      <trackRevisions>false</trackRevisions>
    </reviewItem>
    <reviewItem>
      <errorID>0ad7beaa-635f-4fd6-9229-806da4ebd706</errorID>
      <errorWord>:</errorWord>
      <group>L1_Format</group>
      <groupName>格式问题</groupName>
      <ability>L2_HalfPunc</ability>
      <abilityName>全半角检查</abilityName>
      <candidateList>
        <item>：</item>
      </candidateList>
      <explain>文本全半角错误。</explain>
      <paraID>7FED0387</paraID>
      <start>7</start>
      <end>8</end>
      <status>unmodified</status>
      <modifiedWord/>
      <trackRevisions>false</trackRevisions>
    </reviewItem>
    <reviewItem>
      <errorID>8f7802e0-235d-44da-aa4f-8f18513191d6</errorID>
      <errorWord>:</errorWord>
      <group>L1_Format</group>
      <groupName>格式问题</groupName>
      <ability>L2_HalfPunc</ability>
      <abilityName>全半角检查</abilityName>
      <candidateList>
        <item>：</item>
      </candidateList>
      <explain>文本全半角错误。</explain>
      <paraID> A975986</paraID>
      <start>7</start>
      <end>8</end>
      <status>unmodified</status>
      <modifiedWord/>
      <trackRevisions>false</trackRevisions>
    </reviewItem>
    <reviewItem>
      <errorID>da8b43eb-1cf1-43bb-86ff-84f12ba86822</errorID>
      <errorWord>:</errorWord>
      <group>L1_Format</group>
      <groupName>格式问题</groupName>
      <ability>L2_HalfPunc</ability>
      <abilityName>全半角检查</abilityName>
      <candidateList>
        <item>：</item>
      </candidateList>
      <explain>文本全半角错误。</explain>
      <paraID> 359C7E8</paraID>
      <start>7</start>
      <end>8</end>
      <status>unmodified</status>
      <modifiedWord/>
      <trackRevisions>false</trackRevisions>
    </reviewItem>
    <reviewItem>
      <errorID>44c76ce2-4b1f-49ae-a47d-0f8fb8e67893</errorID>
      <errorWord>做出</errorWord>
      <group>L1_Word</group>
      <groupName>字词问题</groupName>
      <ability>L2_Typo</ability>
      <abilityName>字词错误</abilityName>
      <candidateList>
        <item>作出</item>
      </candidateList>
      <explain/>
      <paraID> B119130</paraID>
      <start>65</start>
      <end>67</end>
      <status>unmodified</status>
      <modifiedWord/>
      <trackRevisions>false</trackRevisions>
    </reviewItem>
    <reviewItem>
      <errorID>bd176763-c940-4974-bb92-52a503539776</errorID>
      <errorWord>(</errorWord>
      <group>L1_Format</group>
      <groupName>格式问题</groupName>
      <ability>L2_HalfPunc</ability>
      <abilityName>全半角检查</abilityName>
      <candidateList>
        <item>（</item>
      </candidateList>
      <explain>文本全半角错误。</explain>
      <paraID>75C5A95C</paraID>
      <start>32</start>
      <end>33</end>
      <status>unmodified</status>
      <modifiedWord/>
      <trackRevisions>false</trackRevisions>
    </reviewItem>
    <reviewItem>
      <errorID>3fc78aad-a345-4c59-9326-a871cbe8910d</errorID>
      <errorWord>)</errorWord>
      <group>L1_Format</group>
      <groupName>格式问题</groupName>
      <ability>L2_HalfPunc</ability>
      <abilityName>全半角检查</abilityName>
      <candidateList>
        <item>）</item>
      </candidateList>
      <explain>文本全半角错误。</explain>
      <paraID>75C5A95C</paraID>
      <start>35</start>
      <end>36</end>
      <status>unmodified</status>
      <modifiedWord/>
      <trackRevisions>false</trackRevisions>
    </reviewItem>
    <reviewItem>
      <errorID>e36b8ec8-b1ad-4add-a202-8da4221bd0b7</errorID>
      <errorWord>(</errorWord>
      <group>L1_Format</group>
      <groupName>格式问题</groupName>
      <ability>L2_HalfPunc</ability>
      <abilityName>全半角检查</abilityName>
      <candidateList>
        <item>（</item>
      </candidateList>
      <explain>文本全半角错误。</explain>
      <paraID>416BB81D</paraID>
      <start>21</start>
      <end>22</end>
      <status>unmodified</status>
      <modifiedWord/>
      <trackRevisions>false</trackRevisions>
    </reviewItem>
    <reviewItem>
      <errorID>66722f5a-4eab-407f-9456-4d9483cd63b8</errorID>
      <errorWord>)</errorWord>
      <group>L1_Format</group>
      <groupName>格式问题</groupName>
      <ability>L2_HalfPunc</ability>
      <abilityName>全半角检查</abilityName>
      <candidateList>
        <item>）</item>
      </candidateList>
      <explain>文本全半角错误。</explain>
      <paraID>416BB81D</paraID>
      <start>24</start>
      <end>25</end>
      <status>unmodified</status>
      <modifiedWord/>
      <trackRevisions>false</trackRevisions>
    </reviewItem>
    <reviewItem>
      <errorID>ed99aaed-d578-407c-800b-fac1aa20cc53</errorID>
      <errorWord>(</errorWord>
      <group>L1_Format</group>
      <groupName>格式问题</groupName>
      <ability>L2_HalfPunc</ability>
      <abilityName>全半角检查</abilityName>
      <candidateList>
        <item>（</item>
      </candidateList>
      <explain>文本全半角错误。</explain>
      <paraID>206E5BE8</paraID>
      <start>7</start>
      <end>8</end>
      <status>unmodified</status>
      <modifiedWord/>
      <trackRevisions>false</trackRevisions>
    </reviewItem>
    <reviewItem>
      <errorID>9e0813c5-512a-419c-8a2f-1bc8bfda118a</errorID>
      <errorWord>)</errorWord>
      <group>L1_Format</group>
      <groupName>格式问题</groupName>
      <ability>L2_HalfPunc</ability>
      <abilityName>全半角检查</abilityName>
      <candidateList>
        <item>）</item>
      </candidateList>
      <explain>文本全半角错误。</explain>
      <paraID>206E5BE8</paraID>
      <start>10</start>
      <end>11</end>
      <status>unmodified</status>
      <modifiedWord/>
      <trackRevisions>false</trackRevisions>
    </reviewItem>
    <reviewItem>
      <errorID>ce69a013-87a7-4f08-ae35-1b14587a0f4d</errorID>
      <errorWord>(</errorWord>
      <group>L1_Format</group>
      <groupName>格式问题</groupName>
      <ability>L2_HalfPunc</ability>
      <abilityName>全半角检查</abilityName>
      <candidateList>
        <item>（</item>
      </candidateList>
      <explain>文本全半角错误。</explain>
      <paraID>1EAA16C0</paraID>
      <start>7</start>
      <end>8</end>
      <status>unmodified</status>
      <modifiedWord/>
      <trackRevisions>false</trackRevisions>
    </reviewItem>
    <reviewItem>
      <errorID>1e27c293-1e1c-4be6-88fe-d1ba80fba2cb</errorID>
      <errorWord>)</errorWord>
      <group>L1_Format</group>
      <groupName>格式问题</groupName>
      <ability>L2_HalfPunc</ability>
      <abilityName>全半角检查</abilityName>
      <candidateList>
        <item>）</item>
      </candidateList>
      <explain>文本全半角错误。</explain>
      <paraID>1EAA16C0</paraID>
      <start>10</start>
      <end>11</end>
      <status>unmodified</status>
      <modifiedWord/>
      <trackRevisions>false</trackRevisions>
    </reviewItem>
    <reviewItem>
      <errorID>d9947fe7-51bc-4f79-88b2-b32809966b58</errorID>
      <errorWord>(</errorWord>
      <group>L1_Format</group>
      <groupName>格式问题</groupName>
      <ability>L2_HalfPunc</ability>
      <abilityName>全半角检查</abilityName>
      <candidateList>
        <item>（</item>
      </candidateList>
      <explain>文本全半角错误。</explain>
      <paraID> AA69956</paraID>
      <start>32</start>
      <end>33</end>
      <status>unmodified</status>
      <modifiedWord/>
      <trackRevisions>false</trackRevisions>
    </reviewItem>
    <reviewItem>
      <errorID>99812c3f-0d5a-4339-93c6-5b9ab11128fd</errorID>
      <errorWord>)</errorWord>
      <group>L1_Format</group>
      <groupName>格式问题</groupName>
      <ability>L2_HalfPunc</ability>
      <abilityName>全半角检查</abilityName>
      <candidateList>
        <item>）</item>
      </candidateList>
      <explain>文本全半角错误。</explain>
      <paraID> AA69956</paraID>
      <start>35</start>
      <end>36</end>
      <status>unmodified</status>
      <modifiedWord/>
      <trackRevisions>false</trackRevisions>
    </reviewItem>
    <reviewItem>
      <errorID>dd7b4ea4-945b-472f-be5f-d2f97d21d2e7</errorID>
      <errorWord>(</errorWord>
      <group>L1_Format</group>
      <groupName>格式问题</groupName>
      <ability>L2_HalfPunc</ability>
      <abilityName>全半角检查</abilityName>
      <candidateList>
        <item>（</item>
      </candidateList>
      <explain>文本全半角错误。</explain>
      <paraID>185585CD</paraID>
      <start>21</start>
      <end>22</end>
      <status>unmodified</status>
      <modifiedWord/>
      <trackRevisions>false</trackRevisions>
    </reviewItem>
    <reviewItem>
      <errorID>e70dc180-0a8b-40c8-a5dc-ae37f90b3f81</errorID>
      <errorWord>)</errorWord>
      <group>L1_Format</group>
      <groupName>格式问题</groupName>
      <ability>L2_HalfPunc</ability>
      <abilityName>全半角检查</abilityName>
      <candidateList>
        <item>）</item>
      </candidateList>
      <explain>文本全半角错误。</explain>
      <paraID>185585CD</paraID>
      <start>24</start>
      <end>25</end>
      <status>unmodified</status>
      <modifiedWord/>
      <trackRevisions>false</trackRevisions>
    </reviewItem>
    <reviewItem>
      <errorID>a5e62584-9318-4bed-acad-59c30b4eb8b2</errorID>
      <errorWord>(</errorWord>
      <group>L1_Format</group>
      <groupName>格式问题</groupName>
      <ability>L2_HalfPunc</ability>
      <abilityName>全半角检查</abilityName>
      <candidateList>
        <item>（</item>
      </candidateList>
      <explain>文本全半角错误。</explain>
      <paraID> DC1C423</paraID>
      <start>7</start>
      <end>8</end>
      <status>unmodified</status>
      <modifiedWord/>
      <trackRevisions>false</trackRevisions>
    </reviewItem>
    <reviewItem>
      <errorID>90d88a82-2fac-4216-9d27-d1e20902dc26</errorID>
      <errorWord>)</errorWord>
      <group>L1_Format</group>
      <groupName>格式问题</groupName>
      <ability>L2_HalfPunc</ability>
      <abilityName>全半角检查</abilityName>
      <candidateList>
        <item>）</item>
      </candidateList>
      <explain>文本全半角错误。</explain>
      <paraID> DC1C423</paraID>
      <start>10</start>
      <end>11</end>
      <status>unmodified</status>
      <modifiedWord/>
      <trackRevisions>false</trackRevisions>
    </reviewItem>
    <reviewItem>
      <errorID>9ae27451-3713-4f90-b822-394cb6b6f9ce</errorID>
      <errorWord>(</errorWord>
      <group>L1_Format</group>
      <groupName>格式问题</groupName>
      <ability>L2_HalfPunc</ability>
      <abilityName>全半角检查</abilityName>
      <candidateList>
        <item>（</item>
      </candidateList>
      <explain>文本全半角错误。</explain>
      <paraID>12F9629C</paraID>
      <start>7</start>
      <end>8</end>
      <status>unmodified</status>
      <modifiedWord/>
      <trackRevisions>false</trackRevisions>
    </reviewItem>
    <reviewItem>
      <errorID>b8af4193-f4f8-492f-96c9-a439a012feba</errorID>
      <errorWord>)</errorWord>
      <group>L1_Format</group>
      <groupName>格式问题</groupName>
      <ability>L2_HalfPunc</ability>
      <abilityName>全半角检查</abilityName>
      <candidateList>
        <item>）</item>
      </candidateList>
      <explain>文本全半角错误。</explain>
      <paraID>12F9629C</paraID>
      <start>10</start>
      <end>11</end>
      <status>unmodified</status>
      <modifiedWord/>
      <trackRevisions>false</trackRevisions>
    </reviewItem>
    <reviewItem>
      <errorID>6d2a369c-fe89-43b2-b233-e864f181d934</errorID>
      <errorWord>(</errorWord>
      <group>L1_Format</group>
      <groupName>格式问题</groupName>
      <ability>L2_HalfPunc</ability>
      <abilityName>全半角检查</abilityName>
      <candidateList>
        <item>（</item>
      </candidateList>
      <explain>文本全半角错误。</explain>
      <paraID>352429DE</paraID>
      <start>45</start>
      <end>46</end>
      <status>unmodified</status>
      <modifiedWord/>
      <trackRevisions>false</trackRevisions>
    </reviewItem>
    <reviewItem>
      <errorID>068525a4-8205-4651-a02d-032367f59a99</errorID>
      <errorWord>)</errorWord>
      <group>L1_Format</group>
      <groupName>格式问题</groupName>
      <ability>L2_HalfPunc</ability>
      <abilityName>全半角检查</abilityName>
      <candidateList>
        <item>）</item>
      </candidateList>
      <explain>文本全半角错误。</explain>
      <paraID>352429DE</paraID>
      <start>60</start>
      <end>61</end>
      <status>unmodified</status>
      <modifiedWord/>
      <trackRevisions>false</trackRevisions>
    </reviewItem>
    <reviewItem>
      <errorID>88f37a6a-891a-4810-a9b7-eb22d1b9eeb4</errorID>
      <errorWord>，</errorWord>
      <group>L1_Word</group>
      <groupName>字词问题</groupName>
      <ability>L2_Typo</ability>
      <abilityName>字词错误</abilityName>
      <candidateList>
        <item>，在</item>
      </candidateList>
      <explain/>
      <paraID>31C19AAD</paraID>
      <start>29</start>
      <end>30</end>
      <status>unmodified</status>
      <modifiedWord/>
      <trackRevisions>false</trackRevisions>
    </reviewItem>
    <reviewItem>
      <errorID>bc2f4ee2-bbb9-41c9-af0d-bbcaabcf3263</errorID>
      <errorWord>其它数据</errorWord>
      <group>L1_Word</group>
      <groupName>字词问题</groupName>
      <ability>L2_Alias</ability>
      <abilityName>也作/曾用词</abilityName>
      <candidateList>
        <item>其他数据</item>
      </candidateList>
      <explain>词汇[其它数据]为不规范表述或旧称，其规范书面表述为[其他数据]。</explain>
      <paraID>  E86538</paraID>
      <start>29</start>
      <end>33</end>
      <status>unmodified</status>
      <modifiedWord/>
      <trackRevisions>false</trackRevisions>
    </reviewItem>
    <reviewItem>
      <errorID>b2ef0358-a7e6-4755-b8d1-fe82eb7fd0c3</errorID>
      <errorWord>(</errorWord>
      <group>L1_Format</group>
      <groupName>格式问题</groupName>
      <ability>L2_HalfPunc</ability>
      <abilityName>全半角检查</abilityName>
      <candidateList>
        <item>（</item>
      </candidateList>
      <explain>文本全半角错误。</explain>
      <paraID>242E4367</paraID>
      <start>66</start>
      <end>67</end>
      <status>unmodified</status>
      <modifiedWord/>
      <trackRevisions>false</trackRevisions>
    </reviewItem>
    <reviewItem>
      <errorID>6c56f6c2-41d4-4b93-b098-7f3cec2fce0a</errorID>
      <errorWord>)</errorWord>
      <group>L1_Format</group>
      <groupName>格式问题</groupName>
      <ability>L2_HalfPunc</ability>
      <abilityName>全半角检查</abilityName>
      <candidateList>
        <item>）</item>
      </candidateList>
      <explain>文本全半角错误。</explain>
      <paraID>242E4367</paraID>
      <start>81</start>
      <end>82</end>
      <status>unmodified</status>
      <modifiedWord/>
      <trackRevisions>false</trackRevisions>
    </reviewItem>
    <reviewItem>
      <errorID>8404d5a7-379a-4285-93fb-2b9ca63a6b5d</errorID>
      <errorWord>(</errorWord>
      <group>L1_Format</group>
      <groupName>格式问题</groupName>
      <ability>L2_HalfPunc</ability>
      <abilityName>全半角检查</abilityName>
      <candidateList>
        <item>（</item>
      </candidateList>
      <explain>文本全半角错误。</explain>
      <paraID>73848479</paraID>
      <start>77</start>
      <end>78</end>
      <status>unmodified</status>
      <modifiedWord/>
      <trackRevisions>false</trackRevisions>
    </reviewItem>
    <reviewItem>
      <errorID>1a6145c2-366d-4780-a3d5-b97364dedcb8</errorID>
      <errorWord>)</errorWord>
      <group>L1_Format</group>
      <groupName>格式问题</groupName>
      <ability>L2_HalfPunc</ability>
      <abilityName>全半角检查</abilityName>
      <candidateList>
        <item>）</item>
      </candidateList>
      <explain>文本全半角错误。</explain>
      <paraID>73848479</paraID>
      <start>92</start>
      <end>93</end>
      <status>unmodified</status>
      <modifiedWord/>
      <trackRevisions>false</trackRevisions>
    </reviewItem>
    <reviewItem>
      <errorID>97173462-3bf1-4177-87fc-da92773c31d8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394ADB8B</paraID>
      <start>0</start>
      <end>2</end>
      <status>unmodified</status>
      <modifiedWord/>
      <trackRevisions>false</trackRevisions>
    </reviewItem>
    <reviewItem>
      <errorID>f6b9c3ff-38d8-4ac4-89c6-7d808037264f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2BD10B38</paraID>
      <start>0</start>
      <end>2</end>
      <status>unmodified</status>
      <modifiedWord/>
      <trackRevisions>false</trackRevisions>
    </reviewItem>
    <reviewItem>
      <errorID>c443804f-103a-4b05-b560-fd84f2c654a5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1467F05E</paraID>
      <start>0</start>
      <end>2</end>
      <status>unmodified</status>
      <modifiedWord/>
      <trackRevisions>false</trackRevisions>
    </reviewItem>
    <reviewItem>
      <errorID>6dd90311-d90e-46fb-964b-218ad5c2877f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645DA85E</paraID>
      <start>0</start>
      <end>2</end>
      <status>unmodified</status>
      <modifiedWord/>
      <trackRevisions>false</trackRevisions>
    </reviewItem>
    <reviewItem>
      <errorID>05012b6a-5ff6-44e4-a291-d2c19bc11c38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56D141B</paraID>
      <start>0</start>
      <end>2</end>
      <status>unmodified</status>
      <modifiedWord/>
      <trackRevisions>false</trackRevisions>
    </reviewItem>
    <reviewItem>
      <errorID>665b4d62-28d7-4334-bbbc-26ed192169e5</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 56D141B</paraID>
      <start>21</start>
      <end>23</end>
      <status>unmodified</status>
      <modifiedWord/>
      <trackRevisions>false</trackRevisions>
    </reviewItem>
    <reviewItem>
      <errorID>52e96ee7-ab91-4481-81a3-ba14cfd871c5</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 56D141B</paraID>
      <start>46</start>
      <end>48</end>
      <status>unmodified</status>
      <modifiedWord/>
      <trackRevisions>false</trackRevisions>
    </reviewItem>
    <reviewItem>
      <errorID>79544f80-beb9-42a7-864c-2914965df798</errorID>
      <errorWord>涉及到</errorWord>
      <group>L1_Grammar</group>
      <groupName>语法问题</groupName>
      <ability>L2_Grammar</ability>
      <abilityName>语法错误</abilityName>
      <candidateList>
        <item>涉及</item>
      </candidateList>
      <explain>〈动〉牵涉到；关联到：案子～好几个人｜这个问题～面很广。</explain>
      <paraID> 56D141B</paraID>
      <start>93</start>
      <end>96</end>
      <status>unmodified</status>
      <modifiedWord/>
      <trackRevisions>false</trackRevisions>
    </reviewItem>
    <reviewItem>
      <errorID>94ceb4c5-8733-42e9-b102-2ee9b0b07af3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56969928</paraID>
      <start>0</start>
      <end>2</end>
      <status>unmodified</status>
      <modifiedWord/>
      <trackRevisions>false</trackRevisions>
    </reviewItem>
    <reviewItem>
      <errorID>3984d8e2-b911-438c-b826-de1d604eec08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4BBC4893</paraID>
      <start>0</start>
      <end>2</end>
      <status>unmodified</status>
      <modifiedWord/>
      <trackRevisions>false</trackRevisions>
    </reviewItem>
    <reviewItem>
      <errorID>2d0acdb2-c9d7-4fd4-9dd5-3e6bfb5576d9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258DC5FF</paraID>
      <start>0</start>
      <end>2</end>
      <status>unmodified</status>
      <modifiedWord/>
      <trackRevisions>false</trackRevisions>
    </reviewItem>
    <reviewItem>
      <errorID>9a9e4d3f-0192-45ec-b3f3-02eaee792550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2F1ACAB7</paraID>
      <start>0</start>
      <end>2</end>
      <status>unmodified</status>
      <modifiedWord/>
      <trackRevisions>false</trackRevisions>
    </reviewItem>
    <reviewItem>
      <errorID>278080d1-6b13-4160-827a-4ae51dca70d8</errorID>
      <errorWord>人</errorWord>
      <group>L1_Word</group>
      <groupName>字词问题</groupName>
      <ability>L2_Typo</ability>
      <abilityName>字词错误</abilityName>
      <candidateList>
        <item>专人</item>
      </candidateList>
      <explain/>
      <paraID>2F1ACAB7</paraID>
      <start>29</start>
      <end>30</end>
      <status>unmodified</status>
      <modifiedWord/>
      <trackRevisions>false</trackRevisions>
    </reviewItem>
    <reviewItem>
      <errorID>7efa4818-ed06-4a3a-98b6-dd8d7f8f6923</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74A9370A</paraID>
      <start>0</start>
      <end>3</end>
      <status>unmodified</status>
      <modifiedWord/>
      <trackRevisions>false</trackRevisions>
    </reviewItem>
    <reviewItem>
      <errorID>e60f8b3e-0b1f-4b20-81b1-368e2c944cc9</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3645002</paraID>
      <start>0</start>
      <end>3</end>
      <status>unmodified</status>
      <modifiedWord/>
      <trackRevisions>false</trackRevisions>
    </reviewItem>
    <reviewItem>
      <errorID>8bcc5083-ab47-429d-83b0-258c43a52fbe</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1A014BAB</paraID>
      <start>0</start>
      <end>3</end>
      <status>unmodified</status>
      <modifiedWord/>
      <trackRevisions>false</trackRevisions>
    </reviewItem>
    <reviewItem>
      <errorID>2ea5cb6a-8953-4204-a635-8a9abe493677</errorID>
      <errorWord>气割</errorWord>
      <group>L1_Word</group>
      <groupName>字词问题</groupName>
      <ability>L2_Typo</ability>
      <abilityName>字词错误</abilityName>
      <candidateList>
        <item>切割</item>
      </candidateList>
      <explain/>
      <paraID>3F9431F0</paraID>
      <start>8</start>
      <end>10</end>
      <status>unmodified</status>
      <modifiedWord/>
      <trackRevisions>false</trackRevisions>
    </reviewItem>
    <reviewItem>
      <errorID>f95d5688-e786-4087-84d3-ee57dc6ab4fa</errorID>
      <errorWord>其它</errorWord>
      <group>L1_Word</group>
      <groupName>字词问题</groupName>
      <ability>L2_Alias</ability>
      <abilityName>也作/曾用词</abilityName>
      <candidateList>
        <item>其他</item>
      </candidateList>
      <explain>词汇[其它]为不规范表述或旧称，其规范书面表述为[其他]。</explain>
      <paraID>3F9431F0</paraID>
      <start>43</start>
      <end>45</end>
      <status>unmodified</status>
      <modifiedWord/>
      <trackRevisions>false</trackRevisions>
    </reviewItem>
    <reviewItem>
      <errorID>bc966095-d213-44b7-ad93-41995d5d909a</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7C1D9B7B</paraID>
      <start>0</start>
      <end>3</end>
      <status>unmodified</status>
      <modifiedWord/>
      <trackRevisions>false</trackRevisions>
    </reviewItem>
    <reviewItem>
      <errorID>8fe2b836-f6b9-4935-acf2-bda02368f295</errorID>
      <errorWord>一式二份</errorWord>
      <group>L1_Word</group>
      <groupName>字词问题</groupName>
      <ability>L2_Typo</ability>
      <abilityName>字词错误</abilityName>
      <candidateList>
        <item>一式两份</item>
      </candidateList>
      <explain/>
      <paraID> ADA84E4</paraID>
      <start>5</start>
      <end>9</end>
      <status>unmodified</status>
      <modifiedWord/>
      <trackRevisions>false</trackRevisions>
    </reviewItem>
    <reviewItem>
      <errorID>0028cfe5-468e-49f0-95f1-3006cd71e04f</errorID>
      <errorWord>予以</errorWord>
      <group>L1_Word</group>
      <groupName>字词问题</groupName>
      <ability>L2_Typo</ability>
      <abilityName>字词错误</abilityName>
      <candidateList>
        <item>予</item>
      </candidateList>
      <explain/>
      <paraID>448C012C</paraID>
      <start>70</start>
      <end>72</end>
      <status>unmodified</status>
      <modifiedWord/>
      <trackRevisions>false</trackRevisions>
    </reviewItem>
    <reviewItem>
      <errorID>6a7dd204-1b02-46ab-8771-567e27f85e2a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44A57067</paraID>
      <start>0</start>
      <end>2</end>
      <status>unmodified</status>
      <modifiedWord/>
      <trackRevisions>false</trackRevisions>
    </reviewItem>
    <reviewItem>
      <errorID>75c5f77f-f31e-4a20-8895-4dc55a935201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60337108</paraID>
      <start>0</start>
      <end>2</end>
      <status>unmodified</status>
      <modifiedWord/>
      <trackRevisions>false</trackRevisions>
    </reviewItem>
    <reviewItem>
      <errorID>adf0558e-9b95-453f-ad60-30b835924a9b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3A3098EE</paraID>
      <start>0</start>
      <end>2</end>
      <status>unmodified</status>
      <modifiedWord/>
      <trackRevisions>false</trackRevisions>
    </reviewItem>
    <reviewItem>
      <errorID>949c57f8-8b9b-4ad4-8126-de3e55698b91</errorID>
      <errorWord>从其它</errorWord>
      <group>L1_Word</group>
      <groupName>字词问题</groupName>
      <ability>L2_Alias</ability>
      <abilityName>也作/曾用词</abilityName>
      <candidateList>
        <item>从其他</item>
      </candidateList>
      <explain>词汇[从其它]为不规范表述或旧称，其规范书面表述为[从其他]。</explain>
      <paraID>3A3098EE</paraID>
      <start>17</start>
      <end>20</end>
      <status>unmodified</status>
      <modifiedWord/>
      <trackRevisions>false</trackRevisions>
    </reviewItem>
    <reviewItem>
      <errorID>4f1ab510-35c0-408d-96b8-e00458f810fb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6F249A70</paraID>
      <start>0</start>
      <end>2</end>
      <status>unmodified</status>
      <modifiedWord/>
      <trackRevisions>false</trackRevisions>
    </reviewItem>
    <reviewItem>
      <errorID>ad1e073c-651a-4478-ba29-7fe06a8c434a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1159EC5E</paraID>
      <start>0</start>
      <end>2</end>
      <status>unmodified</status>
      <modifiedWord/>
      <trackRevisions>false</trackRevisions>
    </reviewItem>
    <reviewItem>
      <errorID>83c4e00b-2886-4ac1-8e20-c370a0100357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56A3026F</paraID>
      <start>0</start>
      <end>2</end>
      <status>unmodified</status>
      <modifiedWord/>
      <trackRevisions>false</trackRevisions>
    </reviewItem>
    <reviewItem>
      <errorID>3ab962db-f40a-495d-aa5e-a3398798b445</errorID>
      <errorWord>(</errorWord>
      <group>L1_Format</group>
      <groupName>格式问题</groupName>
      <ability>L2_HalfPunc</ability>
      <abilityName>全半角检查</abilityName>
      <candidateList>
        <item>（</item>
      </candidateList>
      <explain>文本全半角错误。</explain>
      <paraID>56A3026F</paraID>
      <start>7</start>
      <end>8</end>
      <status>unmodified</status>
      <modifiedWord/>
      <trackRevisions>false</trackRevisions>
    </reviewItem>
    <reviewItem>
      <errorID>168be442-6a71-425b-bd1e-861cfcc15dc2</errorID>
      <errorWord>)</errorWord>
      <group>L1_Format</group>
      <groupName>格式问题</groupName>
      <ability>L2_HalfPunc</ability>
      <abilityName>全半角检查</abilityName>
      <candidateList>
        <item>）</item>
      </candidateList>
      <explain>文本全半角错误。</explain>
      <paraID>56A3026F</paraID>
      <start>32</start>
      <end>33</end>
      <status>unmodified</status>
      <modifiedWord/>
      <trackRevisions>false</trackRevisions>
    </reviewItem>
    <reviewItem>
      <errorID>20b3309c-58e7-408e-af06-68ca94a53108</errorID>
      <errorWord>:</errorWord>
      <group>L1_Format</group>
      <groupName>格式问题</groupName>
      <ability>L2_HalfPunc</ability>
      <abilityName>全半角检查</abilityName>
      <candidateList>
        <item>：</item>
      </candidateList>
      <explain>文本全半角错误。</explain>
      <paraID>2E4E29B7</paraID>
      <start>2</start>
      <end>3</end>
      <status>unmodified</status>
      <modifiedWord/>
      <trackRevisions>false</trackRevisions>
    </reviewItem>
    <reviewItem>
      <errorID>c48e6333-6668-4d52-ac31-f5b52675f3aa</errorID>
      <errorWord>内</errorWord>
      <group>L1_Word</group>
      <groupName>字词问题</groupName>
      <ability>L2_Typo</ability>
      <abilityName>字词错误</abilityName>
      <candidateList>
        <item>内容</item>
      </candidateList>
      <explain>〈名〉事物内部所含的实质或存在的情况：这次谈话的～牵涉的面很广｜这个刊物～丰富。</explain>
      <paraID>48FC97E8</paraID>
      <start>73</start>
      <end>74</end>
      <status>unmodified</status>
      <modifiedWord/>
      <trackRevisions>false</trackRevisions>
    </reviewItem>
    <reviewItem>
      <errorID>3e4c7470-d73f-4ce8-88b5-d9b6d9447f32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463B334D</paraID>
      <start>0</start>
      <end>2</end>
      <status>unmodified</status>
      <modifiedWord/>
      <trackRevisions>false</trackRevisions>
    </reviewItem>
    <reviewItem>
      <errorID>67bf5401-cc58-4007-8c5d-c32911e96002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195E869C</paraID>
      <start>0</start>
      <end>2</end>
      <status>unmodified</status>
      <modifiedWord/>
      <trackRevisions>false</trackRevisions>
    </reviewItem>
    <reviewItem>
      <errorID>bee32892-22f8-4dbd-82cd-adbebc525f53</errorID>
      <errorWord>:</errorWord>
      <group>L1_Format</group>
      <groupName>格式问题</groupName>
      <ability>L2_HalfPunc</ability>
      <abilityName>全半角检查</abilityName>
      <candidateList>
        <item>：</item>
      </candidateList>
      <explain>文本全半角错误。</explain>
      <paraID>34B5F31D</paraID>
      <start>2</start>
      <end>3</end>
      <status>unmodified</status>
      <modifiedWord/>
      <trackRevisions>false</trackRevisions>
    </reviewItem>
    <reviewItem>
      <errorID>7ad1d7fb-ba5d-4b7e-a80f-e121da4a2efd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6FBDE41B</paraID>
      <start>0</start>
      <end>2</end>
      <status>unmodified</status>
      <modifiedWord/>
      <trackRevisions>false</trackRevisions>
    </reviewItem>
    <reviewItem>
      <errorID>d782d26e-bc80-4250-bdb7-95ca755161fb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58D61935</paraID>
      <start>0</start>
      <end>2</end>
      <status>unmodified</status>
      <modifiedWord/>
      <trackRevisions>false</trackRevisions>
    </reviewItem>
    <reviewItem>
      <errorID>97f85073-6463-44f5-82f3-ede83cf2be5a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68D5859A</paraID>
      <start>0</start>
      <end>2</end>
      <status>unmodified</status>
      <modifiedWord/>
      <trackRevisions>false</trackRevisions>
    </reviewItem>
    <reviewItem>
      <errorID>d1aef471-2860-450b-8b1c-a3957329f74d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ED9A18C</paraID>
      <start>0</start>
      <end>2</end>
      <status>unmodified</status>
      <modifiedWord/>
      <trackRevisions>false</trackRevisions>
    </reviewItem>
    <reviewItem>
      <errorID>de424b26-1116-4b62-95c1-049f9eaf0e56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39357DC6</paraID>
      <start>0</start>
      <end>2</end>
      <status>unmodified</status>
      <modifiedWord/>
      <trackRevisions>false</trackRevisions>
    </reviewItem>
    <reviewItem>
      <errorID>9b4b69d7-3da4-4297-85bd-636980fe765d</errorID>
      <errorWord>(</errorWord>
      <group>L1_Format</group>
      <groupName>格式问题</groupName>
      <ability>L2_HalfPunc</ability>
      <abilityName>全半角检查</abilityName>
      <candidateList>
        <item>（</item>
      </candidateList>
      <explain>文本全半角错误。</explain>
      <paraID> F81B8E3</paraID>
      <start>10</start>
      <end>11</end>
      <status>unmodified</status>
      <modifiedWord/>
      <trackRevisions>false</trackRevisions>
    </reviewItem>
    <reviewItem>
      <errorID>73fb19e3-25e2-4196-b980-d6c6822b4827</errorID>
      <errorWord>)</errorWord>
      <group>L1_Format</group>
      <groupName>格式问题</groupName>
      <ability>L2_HalfPunc</ability>
      <abilityName>全半角检查</abilityName>
      <candidateList>
        <item>）</item>
      </candidateList>
      <explain>文本全半角错误。</explain>
      <paraID> F81B8E3</paraID>
      <start>78</start>
      <end>79</end>
      <status>unmodified</status>
      <modifiedWord/>
      <trackRevisions>false</trackRevisions>
    </reviewItem>
    <reviewItem>
      <errorID>27c2ecf3-7961-4eb8-95d2-cf8798954cd8</errorID>
      <errorWord>,</errorWord>
      <group>L1_Format</group>
      <groupName>格式问题</groupName>
      <ability>L2_HalfPunc</ability>
      <abilityName>全半角检查</abilityName>
      <candidateList>
        <item>，</item>
      </candidateList>
      <explain>文本全半角错误。</explain>
      <paraID> 1006083</paraID>
      <start>87</start>
      <end>88</end>
      <status>unmodified</status>
      <modifiedWord/>
      <trackRevisions>false</trackRevisions>
    </reviewItem>
    <reviewItem>
      <errorID>c9b2d76c-3433-4463-9ab7-e820770f49d4</errorID>
      <errorWord>,</errorWord>
      <group>L1_Format</group>
      <groupName>格式问题</groupName>
      <ability>L2_HalfPunc</ability>
      <abilityName>全半角检查</abilityName>
      <candidateList>
        <item>，</item>
      </candidateList>
      <explain>文本全半角错误。</explain>
      <paraID> 1006083</paraID>
      <start>102</start>
      <end>103</end>
      <status>unmodified</status>
      <modifiedWord/>
      <trackRevisions>false</trackRevisions>
    </reviewItem>
    <reviewItem>
      <errorID>b3802204-273d-429d-8f44-06b76b40a49f</errorID>
      <errorWord>(</errorWord>
      <group>L1_Format</group>
      <groupName>格式问题</groupName>
      <ability>L2_HalfPunc</ability>
      <abilityName>全半角检查</abilityName>
      <candidateList>
        <item>（</item>
      </candidateList>
      <explain>文本全半角错误。</explain>
      <paraID> 1006083</paraID>
      <start>113</start>
      <end>114</end>
      <status>unmodified</status>
      <modifiedWord/>
      <trackRevisions>false</trackRevisions>
    </reviewItem>
    <reviewItem>
      <errorID>d8a69634-0391-4635-99f1-edf09fb931fa</errorID>
      <errorWord>)</errorWord>
      <group>L1_Format</group>
      <groupName>格式问题</groupName>
      <ability>L2_HalfPunc</ability>
      <abilityName>全半角检查</abilityName>
      <candidateList>
        <item>）</item>
      </candidateList>
      <explain>文本全半角错误。</explain>
      <paraID> 1006083</paraID>
      <start>117</start>
      <end>118</end>
      <status>unmodified</status>
      <modifiedWord/>
      <trackRevisions>false</trackRevisions>
    </reviewItem>
    <reviewItem>
      <errorID>addc4d15-3eb0-4539-b741-a1e07751eb2c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1CC84550</paraID>
      <start>0</start>
      <end>2</end>
      <status>unmodified</status>
      <modifiedWord/>
      <trackRevisions>false</trackRevisions>
    </reviewItem>
    <reviewItem>
      <errorID>39d26e6f-68b3-400c-9c0f-c41731293d15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742659B5</paraID>
      <start>0</start>
      <end>2</end>
      <status>unmodified</status>
      <modifiedWord/>
      <trackRevisions>false</trackRevisions>
    </reviewItem>
    <reviewItem>
      <errorID>bde9f1d9-1c32-4f93-b0f2-23449b0b0313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6AB24587</paraID>
      <start>4</start>
      <end>6</end>
      <status>unmodified</status>
      <modifiedWord/>
      <trackRevisions>false</trackRevisions>
    </reviewItem>
    <reviewItem>
      <errorID>df3db57e-d4b4-41ce-81cf-4824bd56c91c</errorID>
      <errorWord>“/</errorWord>
      <group>L1_Punc</group>
      <groupName>标点问题</groupName>
      <ability>L2_Punc</ability>
      <abilityName>标点符号检查</abilityName>
      <candidateList>
        <item>“</item>
      </candidateList>
      <explain/>
      <paraID>6F0A9A84</paraID>
      <start>75</start>
      <end>77</end>
      <status>unmodified</status>
      <modifiedWord/>
      <trackRevisions>false</trackRevisions>
    </reviewItem>
    <reviewItem>
      <errorID>e6824c5a-1e26-468a-84fd-c0c6e87928ad</errorID>
      <errorWord>)</errorWord>
      <group>L1_Format</group>
      <groupName>格式问题</groupName>
      <ability>L2_HalfPunc</ability>
      <abilityName>全半角检查</abilityName>
      <candidateList>
        <item>）</item>
      </candidateList>
      <explain>文本全半角错误。</explain>
      <paraID>4B712222</paraID>
      <start>68</start>
      <end>69</end>
      <status>unmodified</status>
      <modifiedWord/>
      <trackRevisions>false</trackRevisions>
    </reviewItem>
    <reviewItem>
      <errorID>27077449-bf27-490e-9307-111774d5c3c8</errorID>
      <errorWord>{</errorWord>
      <group>L1_Format</group>
      <groupName>格式问题</groupName>
      <ability>L2_HalfPunc</ability>
      <abilityName>全半角检查</abilityName>
      <candidateList>
        <item>｛</item>
      </candidateList>
      <explain>文本全半角错误。</explain>
      <paraID>4B712222</paraID>
      <start>75</start>
      <end>76</end>
      <status>unmodified</status>
      <modifiedWord/>
      <trackRevisions>false</trackRevisions>
    </reviewItem>
    <reviewItem>
      <errorID>fffec827-8146-46b8-8db3-02861f6c4a5b</errorID>
      <errorWord>}</errorWord>
      <group>L1_Format</group>
      <groupName>格式问题</groupName>
      <ability>L2_HalfPunc</ability>
      <abilityName>全半角检查</abilityName>
      <candidateList>
        <item>｝</item>
      </candidateList>
      <explain>文本全半角错误。</explain>
      <paraID>4B712222</paraID>
      <start>124</start>
      <end>125</end>
      <status>unmodified</status>
      <modifiedWord/>
      <trackRevisions>false</trackRevisions>
    </reviewItem>
    <reviewItem>
      <errorID>a89bd6b6-3c99-4b75-8ab3-93439ae6ea52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68DDB3B5</paraID>
      <start>0</start>
      <end>2</end>
      <status>unmodified</status>
      <modifiedWord/>
      <trackRevisions>false</trackRevisions>
    </reviewItem>
    <reviewItem>
      <errorID>02f5d6de-86eb-433e-bd84-f9158b1c309d</errorID>
      <errorWord>做</errorWord>
      <group>L1_Word</group>
      <groupName>字词问题</groupName>
      <ability>L2_Typo</ability>
      <abilityName>字词错误</abilityName>
      <candidateList>
        <item>作</item>
      </candidateList>
      <explain>存在发音相同字词的误用。</explain>
      <paraID>723FA47D</paraID>
      <start>98</start>
      <end>99</end>
      <status>unmodified</status>
      <modifiedWord/>
      <trackRevisions>false</trackRevisions>
    </reviewItem>
    <reviewItem>
      <errorID>9f0f5821-ac8f-4a9c-ac1b-2f52a96aa18d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4266F85B</paraID>
      <start>0</start>
      <end>2</end>
      <status>unmodified</status>
      <modifiedWord/>
      <trackRevisions>false</trackRevisions>
    </reviewItem>
    <reviewItem>
      <errorID>80c89215-51bd-413a-b8d2-e0df27073387</errorID>
      <errorWord>国家工业和信息化部</errorWord>
      <group>L1_Political</group>
      <groupName>政治性问题</groupName>
      <ability>L2_Unpolitical</ability>
      <abilityName>政治敏感错误</abilityName>
      <candidateList>
        <item>工业和信息化部</item>
      </candidateList>
      <explain/>
      <paraID>58B78A5C</paraID>
      <start>32</start>
      <end>41</end>
      <status>unmodified</status>
      <modifiedWord/>
      <trackRevisions>false</trackRevisions>
    </reviewItem>
    <reviewItem>
      <errorID>9448c48c-91de-489e-bfc2-9746cc530cfe</errorID>
      <errorWord>)</errorWord>
      <group>L1_Format</group>
      <groupName>格式问题</groupName>
      <ability>L2_HalfPunc</ability>
      <abilityName>全半角检查</abilityName>
      <candidateList>
        <item>）</item>
      </candidateList>
      <explain>文本全半角错误。</explain>
      <paraID>67FBAFBB</paraID>
      <start>28</start>
      <end>29</end>
      <status>unmodified</status>
      <modifiedWord/>
      <trackRevisions>false</trackRevisions>
    </reviewItem>
    <reviewItem>
      <errorID>029e6df1-28a6-42c2-bd9a-d49910d925ba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4BE8BA48</paraID>
      <start>0</start>
      <end>2</end>
      <status>unmodified</status>
      <modifiedWord/>
      <trackRevisions>false</trackRevisions>
    </reviewItem>
    <reviewItem>
      <errorID>1dce80d6-9a4a-477b-9e35-b749954fbdcc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10E8AC58</paraID>
      <start>0</start>
      <end>2</end>
      <status>unmodified</status>
      <modifiedWord/>
      <trackRevisions>false</trackRevisions>
    </reviewItem>
    <reviewItem>
      <errorID>71ab8d26-2866-4780-89ef-196ce6c1068c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5B9A787</paraID>
      <start>0</start>
      <end>2</end>
      <status>unmodified</status>
      <modifiedWord/>
      <trackRevisions>false</trackRevisions>
    </reviewItem>
    <reviewItem>
      <errorID>1ba81eca-da08-4606-8ff7-69da63ac5be6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742CD192</paraID>
      <start>0</start>
      <end>2</end>
      <status>unmodified</status>
      <modifiedWord/>
      <trackRevisions>false</trackRevisions>
    </reviewItem>
    <reviewItem>
      <errorID>dcf2ec94-21f7-4259-aa2e-7457598e0ce5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25C53602</paraID>
      <start>0</start>
      <end>2</end>
      <status>unmodified</status>
      <modifiedWord/>
      <trackRevisions>false</trackRevisions>
    </reviewItem>
    <reviewItem>
      <errorID>c539f021-0be6-4978-9a0c-66ccd1a5c523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310C1717</paraID>
      <start>0</start>
      <end>2</end>
      <status>unmodified</status>
      <modifiedWord/>
      <trackRevisions>false</trackRevisions>
    </reviewItem>
    <reviewItem>
      <errorID>17f64be3-e546-413f-a20e-a13477af9c47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3DC74F98</paraID>
      <start>0</start>
      <end>2</end>
      <status>unmodified</status>
      <modifiedWord/>
      <trackRevisions>false</trackRevisions>
    </reviewItem>
    <reviewItem>
      <errorID>935da6d5-d1e1-4a2d-81b9-53a52b816990</errorID>
      <errorWord>其它</errorWord>
      <group>L1_Word</group>
      <groupName>字词问题</groupName>
      <ability>L2_Alias</ability>
      <abilityName>也作/曾用词</abilityName>
      <candidateList>
        <item>其他</item>
      </candidateList>
      <explain>词汇[其它]为不规范表述或旧称，其规范书面表述为[其他]。</explain>
      <paraID>3DC74F98</paraID>
      <start>13</start>
      <end>15</end>
      <status>unmodified</status>
      <modifiedWord/>
      <trackRevisions>false</trackRevisions>
    </reviewItem>
    <reviewItem>
      <errorID>3d06587c-c32f-4091-a9bf-8635ad1018f2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1EEE6721</paraID>
      <start>12</start>
      <end>13</end>
      <status>unmodified</status>
      <modifiedWord/>
      <trackRevisions>false</trackRevisions>
    </reviewItem>
    <reviewItem>
      <errorID>31d80ae3-6306-4652-92be-fa06041e679a</errorID>
      <errorWord>国家工业和信息化部</errorWord>
      <group>L1_Political</group>
      <groupName>政治性问题</groupName>
      <ability>L2_Unpolitical</ability>
      <abilityName>政治敏感错误</abilityName>
      <candidateList>
        <item>工业和信息化部</item>
      </candidateList>
      <explain/>
      <paraID>4A564D69</paraID>
      <start>33</start>
      <end>42</end>
      <status>unmodified</status>
      <modifiedWord/>
      <trackRevisions>false</trackRevisions>
    </reviewItem>
    <reviewItem>
      <errorID>1ce71d6e-cc9c-4193-96fd-c6c297fc1ded</errorID>
      <errorWord>国家工业和信息化部</errorWord>
      <group>L1_Political</group>
      <groupName>政治性问题</groupName>
      <ability>L2_Unpolitical</ability>
      <abilityName>政治敏感错误</abilityName>
      <candidateList>
        <item>工业和信息化部</item>
      </candidateList>
      <explain/>
      <paraID>4A564D69</paraID>
      <start>113</start>
      <end>122</end>
      <status>unmodified</status>
      <modifiedWord/>
      <trackRevisions>false</trackRevisions>
    </reviewItem>
    <reviewItem>
      <errorID>e37d6d04-6d0b-40f9-89eb-c3250687e91b</errorID>
      <errorWord>)</errorWord>
      <group>L1_Format</group>
      <groupName>格式问题</groupName>
      <ability>L2_HalfPunc</ability>
      <abilityName>全半角检查</abilityName>
      <candidateList>
        <item>）</item>
      </candidateList>
      <explain>文本全半角错误。</explain>
      <paraID>27EED609</paraID>
      <start>27</start>
      <end>28</end>
      <status>unmodified</status>
      <modifiedWord/>
      <trackRevisions>false</trackRevisions>
    </reviewItem>
    <reviewItem>
      <errorID>02e2876f-9ac1-4f29-9e68-240b8c9345c0</errorID>
      <errorWord>)</errorWord>
      <group>L1_Format</group>
      <groupName>格式问题</groupName>
      <ability>L2_HalfPunc</ability>
      <abilityName>全半角检查</abilityName>
      <candidateList>
        <item>）</item>
      </candidateList>
      <explain>文本全半角错误。</explain>
      <paraID>27EED609</paraID>
      <start>54</start>
      <end>55</end>
      <status>unmodified</status>
      <modifiedWord/>
      <trackRevisions>false</trackRevisions>
    </reviewItem>
    <reviewItem>
      <errorID>5711ecc7-cca7-4539-bc82-cc9b28e57425</errorID>
      <errorWord>，</errorWord>
      <group>L1_Word</group>
      <groupName>字词问题</groupName>
      <ability>L2_Typo</ability>
      <abilityName>字词错误</abilityName>
      <candidateList>
        <item>，以</item>
      </candidateList>
      <explain/>
      <paraID>28CE75F5</paraID>
      <start>168</start>
      <end>169</end>
      <status>unmodified</status>
      <modifiedWord/>
      <trackRevisions>false</trackRevisions>
    </reviewItem>
    <reviewItem>
      <errorID>d04f7b55-fcd5-446f-9014-b6c7c101734e</errorID>
      <errorWord>（二）、</errorWord>
      <group>L1_Punc</group>
      <groupName>标点问题</groupName>
      <ability>L2_Punc</ability>
      <abilityName>标点符号检查</abilityName>
      <candidateList>
        <item>（二）</item>
      </candidateList>
      <explain>根据国标GB/T 15834-2011《标点符号用法》中的4.5.3.3节，带括号的汉字数字或阿拉伯数字表次序时，后面通常不加顿号。如“（一）指导思想”“（二）行动指南”。</explain>
      <paraID>6331B5F7</paraID>
      <start>2</start>
      <end>6</end>
      <status>unmodified</status>
      <modifiedWord/>
      <trackRevisions>false</trackRevisions>
    </reviewItem>
    <reviewItem>
      <errorID>f3fecaf7-5fb9-4567-9e0d-20ccdad9ac7f</errorID>
      <errorWord>（2）、</errorWord>
      <group>L1_Punc</group>
      <groupName>标点问题</groupName>
      <ability>L2_Punc</ability>
      <abilityName>标点符号检查</abilityName>
      <candidateList>
        <item>（2）</item>
      </candidateList>
      <explain>根据国标GB/T 15834-2011《标点符号用法》中的4.5.3.3节，带括号的汉字数字或阿拉伯数字表次序时，后面通常不加顿号。如“（一）指导思想”“（二）行动指南”。</explain>
      <paraID>6331B5F7</paraID>
      <start>8</start>
      <end>12</end>
      <status>unmodified</status>
      <modifiedWord/>
      <trackRevisions>false</trackRevisions>
    </reviewItem>
    <reviewItem>
      <errorID>e6077935-c800-401a-ae0e-5e9ba346b048</errorID>
      <errorWord>按按</errorWord>
      <group>L1_Word</group>
      <groupName>字词问题</groupName>
      <ability>L2_Typo</ability>
      <abilityName>字词错误</abilityName>
      <candidateList>
        <item>按</item>
      </candidateList>
      <explain>（案）àn❶〈书〉考查；核对：有原文可～。❷（编者、作者等）加按语：编者～。</explain>
      <paraID>61CFCF9F</paraID>
      <start>154</start>
      <end>156</end>
      <status>unmodified</status>
      <modifiedWord/>
      <trackRevisions>false</trackRevisions>
    </reviewItem>
    <reviewItem>
      <errorID>47f27a0d-d25b-48fa-a3ff-4938b18e8fa5</errorID>
      <errorWord>，</errorWord>
      <group>L1_Word</group>
      <groupName>字词问题</groupName>
      <ability>L2_Typo</ability>
      <abilityName>字词错误</abilityName>
      <candidateList>
        <item>，经</item>
      </candidateList>
      <explain/>
      <paraID>1CC9FFDF</paraID>
      <start>118</start>
      <end>119</end>
      <status>unmodified</status>
      <modifiedWord/>
      <trackRevisions>false</trackRevisions>
    </reviewItem>
    <reviewItem>
      <errorID>fba1015f-3ed1-420d-bd35-61b68072f87b</errorID>
      <errorWord>（二）、</errorWord>
      <group>L1_Punc</group>
      <groupName>标点问题</groupName>
      <ability>L2_Punc</ability>
      <abilityName>标点符号检查</abilityName>
      <candidateList>
        <item>（二）</item>
      </candidateList>
      <explain>根据国标GB/T 15834-2011《标点符号用法》中的4.5.3.3节，带括号的汉字数字或阿拉伯数字表次序时，后面通常不加顿号。如“（一）指导思想”“（二）行动指南”。</explain>
      <paraID>26EFE009</paraID>
      <start>2</start>
      <end>6</end>
      <status>unmodified</status>
      <modifiedWord/>
      <trackRevisions>false</trackRevisions>
    </reviewItem>
    <reviewItem>
      <errorID>7b9ad6c0-c650-4de5-bf8f-692cfe6e94d4</errorID>
      <errorWord>国家工业和信息化部</errorWord>
      <group>L1_Political</group>
      <groupName>政治性问题</groupName>
      <ability>L2_Unpolitical</ability>
      <abilityName>政治敏感错误</abilityName>
      <candidateList>
        <item>工业和信息化部</item>
      </candidateList>
      <explain/>
      <paraID>2B18AB5F</paraID>
      <start>36</start>
      <end>45</end>
      <status>unmodified</status>
      <modifiedWord/>
      <trackRevisions>false</trackRevisions>
    </reviewItem>
    <reviewItem>
      <errorID>3bc9b09d-6335-4a5a-8602-1e40ae2ee8b2</errorID>
      <errorWord>国家工业和信息化部</errorWord>
      <group>L1_Political</group>
      <groupName>政治性问题</groupName>
      <ability>L2_Unpolitical</ability>
      <abilityName>政治敏感错误</abilityName>
      <candidateList>
        <item>工业和信息化部</item>
      </candidateList>
      <explain/>
      <paraID>6F39711C</paraID>
      <start>9</start>
      <end>18</end>
      <status>unmodified</status>
      <modifiedWord/>
      <trackRevisions>false</trackRevisions>
    </reviewItem>
    <reviewItem>
      <errorID>8f1f5d35-d791-4820-8e62-635787b4de89</errorID>
      <errorWord>国家工业和信息化部</errorWord>
      <group>L1_Political</group>
      <groupName>政治性问题</groupName>
      <ability>L2_Unpolitical</ability>
      <abilityName>政治敏感错误</abilityName>
      <candidateList>
        <item>工业和信息化部</item>
      </candidateList>
      <explain/>
      <paraID>6F39711C</paraID>
      <start>71</start>
      <end>80</end>
      <status>unmodified</status>
      <modifiedWord/>
      <trackRevisions>false</trackRevisions>
    </reviewItem>
    <reviewItem>
      <errorID>af96e9ee-6d42-4128-a526-bcc1414b65eb</errorID>
      <errorWord>国家工业和信息化部</errorWord>
      <group>L1_Political</group>
      <groupName>政治性问题</groupName>
      <ability>L2_Unpolitical</ability>
      <abilityName>政治敏感错误</abilityName>
      <candidateList>
        <item>工业和信息化部</item>
      </candidateList>
      <explain/>
      <paraID>47D4EBDC</paraID>
      <start>4</start>
      <end>13</end>
      <status>unmodified</status>
      <modifiedWord/>
      <trackRevisions>false</trackRevisions>
    </reviewItem>
    <reviewItem>
      <errorID>2b094564-6b53-4951-ac14-b6c3c9a0b6de</errorID>
      <errorWord>)</errorWord>
      <group>L1_Format</group>
      <groupName>格式问题</groupName>
      <ability>L2_HalfPunc</ability>
      <abilityName>全半角检查</abilityName>
      <candidateList>
        <item>）</item>
      </candidateList>
      <explain>文本全半角错误。</explain>
      <paraID>210A2976</paraID>
      <start>32</start>
      <end>33</end>
      <status>unmodified</status>
      <modifiedWord/>
      <trackRevisions>false</trackRevisions>
    </reviewItem>
    <reviewItem>
      <errorID>a8a6406c-740a-4d9d-9e3a-10fec927dc80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52D7EB1</paraID>
      <start>4</start>
      <end>5</end>
      <status>unmodified</status>
      <modifiedWord/>
      <trackRevisions>false</trackRevisions>
    </reviewItem>
    <reviewItem>
      <errorID>be209c19-fa16-42b2-8d60-52f38df71af3</errorID>
      <errorWord>:</errorWord>
      <group>L1_Format</group>
      <groupName>格式问题</groupName>
      <ability>L2_HalfPunc</ability>
      <abilityName>全半角检查</abilityName>
      <candidateList>
        <item>：</item>
      </candidateList>
      <explain>文本全半角错误。</explain>
      <paraID>2EAD8A19</paraID>
      <start>6</start>
      <end>7</end>
      <status>unmodified</status>
      <modifiedWord/>
      <trackRevisions>false</trackRevisions>
    </reviewItem>
    <reviewItem>
      <errorID>bca13a1e-8a7e-48ef-8235-8f39c0ceef25</errorID>
      <errorWord>)</errorWord>
      <group>L1_Format</group>
      <groupName>格式问题</groupName>
      <ability>L2_HalfPunc</ability>
      <abilityName>全半角检查</abilityName>
      <candidateList>
        <item>）</item>
      </candidateList>
      <explain>文本全半角错误。</explain>
      <paraID>2EAD8A19</paraID>
      <start>28</start>
      <end>29</end>
      <status>unmodified</status>
      <modifiedWord/>
      <trackRevisions>false</trackRevisions>
    </reviewItem>
    <reviewItem>
      <errorID>a9935a6b-510b-4c4e-b840-b4a9122b503f</errorID>
      <errorWord>国家工业和信息化部</errorWord>
      <group>L1_Political</group>
      <groupName>政治性问题</groupName>
      <ability>L2_Unpolitical</ability>
      <abilityName>政治敏感错误</abilityName>
      <candidateList>
        <item>工业和信息化部</item>
      </candidateList>
      <explain/>
      <paraID>58398B17</paraID>
      <start>26</start>
      <end>35</end>
      <status>unmodified</status>
      <modifiedWord/>
      <trackRevisions>false</trackRevisions>
    </reviewItem>
    <reviewItem>
      <errorID>b417b7e5-01a7-40b4-b1c5-35dcd4558046</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58398B17</paraID>
      <start>87</start>
      <end>89</end>
      <status>unmodified</status>
      <modifiedWord/>
      <trackRevisions>false</trackRevisions>
    </reviewItem>
    <reviewItem>
      <errorID>353ac323-c631-4475-ab15-ae1fd73ad4df</errorID>
      <errorWord>(</errorWord>
      <group>L1_Format</group>
      <groupName>格式问题</groupName>
      <ability>L2_HalfPunc</ability>
      <abilityName>全半角检查</abilityName>
      <candidateList>
        <item>（</item>
      </candidateList>
      <explain>文本全半角错误。</explain>
      <paraID>58398B17</paraID>
      <start>95</start>
      <end>96</end>
      <status>unmodified</status>
      <modifiedWord/>
      <trackRevisions>false</trackRevisions>
    </reviewItem>
    <reviewItem>
      <errorID>0f640cdf-b8bb-4957-9e6b-6b3ce35f368f</errorID>
      <errorWord>)</errorWord>
      <group>L1_Format</group>
      <groupName>格式问题</groupName>
      <ability>L2_HalfPunc</ability>
      <abilityName>全半角检查</abilityName>
      <candidateList>
        <item>）</item>
      </candidateList>
      <explain>文本全半角错误。</explain>
      <paraID>58398B17</paraID>
      <start>100</start>
      <end>101</end>
      <status>unmodified</status>
      <modifiedWord/>
      <trackRevisions>false</trackRevisions>
    </reviewItem>
    <reviewItem>
      <errorID>3a102bfc-e982-4d68-b52f-7a1c714d14d1</errorID>
      <errorWord>国家工业和信息化部</errorWord>
      <group>L1_Political</group>
      <groupName>政治性问题</groupName>
      <ability>L2_Unpolitical</ability>
      <abilityName>政治敏感错误</abilityName>
      <candidateList>
        <item>工业和信息化部</item>
      </candidateList>
      <explain/>
      <paraID>6ADF7794</paraID>
      <start>24</start>
      <end>33</end>
      <status>unmodified</status>
      <modifiedWord/>
      <trackRevisions>false</trackRevisions>
    </reviewItem>
    <reviewItem>
      <errorID>eb39abfe-b05a-4b29-9b4c-cf6fe45b3038</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6ADF7794</paraID>
      <start>85</start>
      <end>87</end>
      <status>unmodified</status>
      <modifiedWord/>
      <trackRevisions>false</trackRevisions>
    </reviewItem>
    <reviewItem>
      <errorID>a7e8e66e-fa6e-413e-a01a-9fa23447294b</errorID>
      <errorWord>(</errorWord>
      <group>L1_Format</group>
      <groupName>格式问题</groupName>
      <ability>L2_HalfPunc</ability>
      <abilityName>全半角检查</abilityName>
      <candidateList>
        <item>（</item>
      </candidateList>
      <explain>文本全半角错误。</explain>
      <paraID>6ADF7794</paraID>
      <start>93</start>
      <end>94</end>
      <status>unmodified</status>
      <modifiedWord/>
      <trackRevisions>false</trackRevisions>
    </reviewItem>
    <reviewItem>
      <errorID>9563c5cc-9b37-4139-8337-f1b10078ca6a</errorID>
      <errorWord>)</errorWord>
      <group>L1_Format</group>
      <groupName>格式问题</groupName>
      <ability>L2_HalfPunc</ability>
      <abilityName>全半角检查</abilityName>
      <candidateList>
        <item>）</item>
      </candidateList>
      <explain>文本全半角错误。</explain>
      <paraID>6ADF7794</paraID>
      <start>98</start>
      <end>99</end>
      <status>unmodified</status>
      <modifiedWord/>
      <trackRevisions>false</trackRevisions>
    </reviewItem>
    <reviewItem>
      <errorID>0f97386c-bf15-4c3d-80c1-024c8ad52328</errorID>
      <errorWord>件</errorWord>
      <group>L1_Word</group>
      <groupName>字词问题</groupName>
      <ability>L2_Typo</ability>
      <abilityName>字词错误</abilityName>
      <candidateList>
        <item>件中</item>
      </candidateList>
      <explain/>
      <paraID>7A882995</paraID>
      <start>10</start>
      <end>11</end>
      <status>unmodified</status>
      <modifiedWord/>
      <trackRevisions>false</trackRevisions>
    </reviewItem>
    <reviewItem>
      <errorID>65f53d3d-0f3c-4769-836b-39adf903167b</errorID>
      <errorWord>其它</errorWord>
      <group>L1_Word</group>
      <groupName>字词问题</groupName>
      <ability>L2_Alias</ability>
      <abilityName>也作/曾用词</abilityName>
      <candidateList>
        <item>其他</item>
      </candidateList>
      <explain>词汇[其它]为不规范表述或旧称，其规范书面表述为[其他]。</explain>
      <paraID> 8B11398</paraID>
      <start>16</start>
      <end>18</end>
      <status>unmodified</status>
      <modifiedWord/>
      <trackRevisions>false</trackRevisions>
    </reviewItem>
    <reviewItem>
      <errorID>3c2508c9-89c3-43f1-ad1c-b818ac86af76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6ADFAEEB</paraID>
      <start>0</start>
      <end>2</end>
      <status>unmodified</status>
      <modifiedWord/>
      <trackRevisions>false</trackRevisions>
    </reviewItem>
    <reviewItem>
      <errorID>cc704b43-89a9-40a8-a494-0c295c091467</errorID>
      <errorWord>(</errorWord>
      <group>L1_Format</group>
      <groupName>格式问题</groupName>
      <ability>L2_HalfPunc</ability>
      <abilityName>全半角检查</abilityName>
      <candidateList>
        <item>（</item>
      </candidateList>
      <explain>文本全半角错误。</explain>
      <paraID>4B199957</paraID>
      <start>44</start>
      <end>45</end>
      <status>unmodified</status>
      <modifiedWord/>
      <trackRevisions>false</trackRevisions>
    </reviewItem>
    <reviewItem>
      <errorID>6d393e7d-8362-4c2a-bbfa-d856c5a8cc72</errorID>
      <errorWord>)</errorWord>
      <group>L1_Format</group>
      <groupName>格式问题</groupName>
      <ability>L2_HalfPunc</ability>
      <abilityName>全半角检查</abilityName>
      <candidateList>
        <item>）</item>
      </candidateList>
      <explain>文本全半角错误。</explain>
      <paraID>4B199957</paraID>
      <start>59</start>
      <end>60</end>
      <status>unmodified</status>
      <modifiedWord/>
      <trackRevisions>false</trackRevisions>
    </reviewItem>
    <reviewItem>
      <errorID>2e7f30a1-ffb4-48f0-a97e-b8a5666e537a</errorID>
      <errorWord>(</errorWord>
      <group>L1_Format</group>
      <groupName>格式问题</groupName>
      <ability>L2_HalfPunc</ability>
      <abilityName>全半角检查</abilityName>
      <candidateList>
        <item>（</item>
      </candidateList>
      <explain>文本全半角错误。</explain>
      <paraID>3F1D8CB4</paraID>
      <start>10</start>
      <end>11</end>
      <status>unmodified</status>
      <modifiedWord/>
      <trackRevisions>false</trackRevisions>
    </reviewItem>
    <reviewItem>
      <errorID>d5f0da03-2bc3-4e16-a5ae-e60e94a92a8c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284B2ED1</paraID>
      <start>0</start>
      <end>2</end>
      <status>unmodified</status>
      <modifiedWord/>
      <trackRevisions>false</trackRevisions>
    </reviewItem>
    <reviewItem>
      <errorID>2e4b6b8a-b8dd-4673-80b3-9df25330d201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304F55A1</paraID>
      <start>0</start>
      <end>2</end>
      <status>unmodified</status>
      <modifiedWord/>
      <trackRevisions>false</trackRevisions>
    </reviewItem>
    <reviewItem>
      <errorID>d23ef06a-f5e4-44f7-ab90-7b59271c559c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36F20BEB</paraID>
      <start>0</start>
      <end>2</end>
      <status>unmodified</status>
      <modifiedWord/>
      <trackRevisions>false</trackRevisions>
    </reviewItem>
    <reviewItem>
      <errorID>81ee9c07-b7bd-46c7-a061-bc6b6ed82a92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33F360EA</paraID>
      <start>0</start>
      <end>2</end>
      <status>unmodified</status>
      <modifiedWord/>
      <trackRevisions>false</trackRevisions>
    </reviewItem>
    <reviewItem>
      <errorID>f5166d8f-2f8a-4470-b41e-1684f8ba7263</errorID>
      <errorWord>二名</errorWord>
      <group>L1_Word</group>
      <groupName>字词问题</groupName>
      <ability>L2_Typo</ability>
      <abilityName>字词错误</abilityName>
      <candidateList>
        <item>两名</item>
      </candidateList>
      <explain/>
      <paraID>26996AD6</paraID>
      <start>29</start>
      <end>31</end>
      <status>unmodified</status>
      <modifiedWord/>
      <trackRevisions>false</trackRevisions>
    </reviewItem>
    <reviewItem>
      <errorID>03537396-8ef1-423f-8b32-2e0fa81de539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2A6CB590</paraID>
      <start>0</start>
      <end>2</end>
      <status>unmodified</status>
      <modifiedWord/>
      <trackRevisions>false</trackRevisions>
    </reviewItem>
    <reviewItem>
      <errorID>58edf5bc-590c-4b60-9914-914cb9f8473f</errorID>
      <errorWord>,</errorWord>
      <group>L1_Format</group>
      <groupName>格式问题</groupName>
      <ability>L2_HalfPunc</ability>
      <abilityName>全半角检查</abilityName>
      <candidateList>
        <item>，</item>
      </candidateList>
      <explain>文本全半角错误。</explain>
      <paraID>169AA45A</paraID>
      <start>112</start>
      <end>113</end>
      <status>unmodified</status>
      <modifiedWord/>
      <trackRevisions>false</trackRevisions>
    </reviewItem>
    <reviewItem>
      <errorID>f07385ad-8f36-4db4-a2d9-33319f7984d2</errorID>
      <errorWord>,</errorWord>
      <group>L1_Format</group>
      <groupName>格式问题</groupName>
      <ability>L2_HalfPunc</ability>
      <abilityName>全半角检查</abilityName>
      <candidateList>
        <item>，</item>
      </candidateList>
      <explain>文本全半角错误。</explain>
      <paraID>4F0A1896</paraID>
      <start>22</start>
      <end>23</end>
      <status>unmodified</status>
      <modifiedWord/>
      <trackRevisions>false</trackRevisions>
    </reviewItem>
    <reviewItem>
      <errorID>fc68bac2-1c5f-4e97-ba35-13d8b37e0d7f</errorID>
      <errorWord>,</errorWord>
      <group>L1_Format</group>
      <groupName>格式问题</groupName>
      <ability>L2_HalfPunc</ability>
      <abilityName>全半角检查</abilityName>
      <candidateList>
        <item>，</item>
      </candidateList>
      <explain>文本全半角错误。</explain>
      <paraID>4F0A1896</paraID>
      <start>38</start>
      <end>39</end>
      <status>unmodified</status>
      <modifiedWord/>
      <trackRevisions>false</trackRevisions>
    </reviewItem>
    <reviewItem>
      <errorID>19fb294b-cd2b-48e4-994a-6018a89a379a</errorID>
      <errorWord>获</errorWord>
      <group>L1_Word</group>
      <groupName>字词问题</groupName>
      <ability>L2_Typo</ability>
      <abilityName>字词错误</abilityName>
      <candidateList>
        <item>获得</item>
      </candidateList>
      <explain>〈动〉取得；得到（多用于抽象事物）：～好评｜～宝贵的经验｜～显著的成绩。</explain>
      <paraID>4F0A1896</paraID>
      <start>51</start>
      <end>52</end>
      <status>unmodified</status>
      <modifiedWord/>
      <trackRevisions>false</trackRevisions>
    </reviewItem>
    <reviewItem>
      <errorID>d1a1040e-a120-4e5a-8bab-0b8634538faf</errorID>
      <errorWord>,</errorWord>
      <group>L1_Format</group>
      <groupName>格式问题</groupName>
      <ability>L2_HalfPunc</ability>
      <abilityName>全半角检查</abilityName>
      <candidateList>
        <item>，</item>
      </candidateList>
      <explain>文本全半角错误。</explain>
      <paraID>4F0A1896</paraID>
      <start>75</start>
      <end>76</end>
      <status>unmodified</status>
      <modifiedWord/>
      <trackRevisions>false</trackRevisions>
    </reviewItem>
    <reviewItem>
      <errorID>8024f658-c5b3-4023-87f8-69a6703e00b6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13293535</paraID>
      <start>0</start>
      <end>2</end>
      <status>unmodified</status>
      <modifiedWord/>
      <trackRevisions>false</trackRevisions>
    </reviewItem>
    <reviewItem>
      <errorID>53019ce7-1374-4487-8036-6ff95c929fb7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5B7ACE8D</paraID>
      <start>0</start>
      <end>2</end>
      <status>unmodified</status>
      <modifiedWord/>
      <trackRevisions>false</trackRevisions>
    </reviewItem>
    <reviewItem>
      <errorID>3b227844-f4ab-4f08-88a3-a7a8fc4f55f0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1C00C3DB</paraID>
      <start>0</start>
      <end>2</end>
      <status>unmodified</status>
      <modifiedWord/>
      <trackRevisions>false</trackRevisions>
    </reviewItem>
    <reviewItem>
      <errorID>d3e03bf9-7977-4d9d-9d59-4fc23155c3bc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7A1B701F</paraID>
      <start>0</start>
      <end>3</end>
      <status>unmodified</status>
      <modifiedWord/>
      <trackRevisions>false</trackRevisions>
    </reviewItem>
    <reviewItem>
      <errorID>cf88c561-8806-4260-976c-811b8cad49e7</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7AF7B730</paraID>
      <start>0</start>
      <end>3</end>
      <status>unmodified</status>
      <modifiedWord/>
      <trackRevisions>false</trackRevisions>
    </reviewItem>
    <reviewItem>
      <errorID>07d2120c-ee4b-4de9-ba14-702a20a4bdf7</errorID>
      <errorWord>如此类推</errorWord>
      <group>L1_Word</group>
      <groupName>字词问题</groupName>
      <ability>L2_Typo</ability>
      <abilityName>字词错误</abilityName>
      <candidateList>
        <item>以此类推</item>
      </candidateList>
      <explain>根据这一事物的道理，去推出与此类似的其他事物的道理。</explain>
      <paraID>5BED7E8B</paraID>
      <start>188</start>
      <end>192</end>
      <status>unmodified</status>
      <modifiedWord/>
      <trackRevisions>false</trackRevisions>
    </reviewItem>
    <reviewItem>
      <errorID>b5d192bc-e898-48d8-95c3-c2c06c2b66b6</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472B1893</paraID>
      <start>0</start>
      <end>3</end>
      <status>unmodified</status>
      <modifiedWord/>
      <trackRevisions>false</trackRevisions>
    </reviewItem>
    <reviewItem>
      <errorID>ae5b7ef5-3068-421c-94fc-18c3ace0a780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7C4C995D</paraID>
      <start>0</start>
      <end>2</end>
      <status>unmodified</status>
      <modifiedWord/>
      <trackRevisions>false</trackRevisions>
    </reviewItem>
    <reviewItem>
      <errorID>c458f899-1d08-4153-b493-26c4833f32de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6F8B43AC</paraID>
      <start>0</start>
      <end>2</end>
      <status>unmodified</status>
      <modifiedWord/>
      <trackRevisions>false</trackRevisions>
    </reviewItem>
    <reviewItem>
      <errorID>bf641193-b749-4076-95b9-991e44da8a5f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65F786AD</paraID>
      <start>0</start>
      <end>2</end>
      <status>unmodified</status>
      <modifiedWord/>
      <trackRevisions>false</trackRevisions>
    </reviewItem>
    <reviewItem>
      <errorID>c3db9fd2-bf49-4d35-9919-d977aebd8cea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14E7A03E</paraID>
      <start>8</start>
      <end>9</end>
      <status>unmodified</status>
      <modifiedWord/>
      <trackRevisions>false</trackRevisions>
    </reviewItem>
    <reviewItem>
      <errorID>c60bac08-f872-4cab-952a-c4f9841175e7</errorID>
      <errorWord>{</errorWord>
      <group>L1_Format</group>
      <groupName>格式问题</groupName>
      <ability>L2_HalfPunc</ability>
      <abilityName>全半角检查</abilityName>
      <candidateList>
        <item>｛</item>
      </candidateList>
      <explain>文本全半角错误。</explain>
      <paraID>4C61812F</paraID>
      <start>66</start>
      <end>67</end>
      <status>unmodified</status>
      <modifiedWord/>
      <trackRevisions>false</trackRevisions>
    </reviewItem>
    <reviewItem>
      <errorID>4000e22e-b593-4b31-9a2d-6042e8c4b157</errorID>
      <errorWord>}</errorWord>
      <group>L1_Format</group>
      <groupName>格式问题</groupName>
      <ability>L2_HalfPunc</ability>
      <abilityName>全半角检查</abilityName>
      <candidateList>
        <item>｝</item>
      </candidateList>
      <explain>文本全半角错误。</explain>
      <paraID>4C61812F</paraID>
      <start>115</start>
      <end>116</end>
      <status>unmodified</status>
      <modifiedWord/>
      <trackRevisions>false</trackRevisions>
    </reviewItem>
    <reviewItem>
      <errorID>55fa24b5-33bc-46dc-b8b3-2fc52c1879fd</errorID>
      <errorWord>(</errorWord>
      <group>L1_Format</group>
      <groupName>格式问题</groupName>
      <ability>L2_HalfPunc</ability>
      <abilityName>全半角检查</abilityName>
      <candidateList>
        <item>（</item>
      </candidateList>
      <explain>文本全半角错误。</explain>
      <paraID>47E8FC9A</paraID>
      <start>13</start>
      <end>14</end>
      <status>unmodified</status>
      <modifiedWord/>
      <trackRevisions>false</trackRevisions>
    </reviewItem>
    <reviewItem>
      <errorID>3abc866f-a44a-4f04-b836-080a3eef30ae</errorID>
      <errorWord>)</errorWord>
      <group>L1_Format</group>
      <groupName>格式问题</groupName>
      <ability>L2_HalfPunc</ability>
      <abilityName>全半角检查</abilityName>
      <candidateList>
        <item>）</item>
      </candidateList>
      <explain>文本全半角错误。</explain>
      <paraID>47E8FC9A</paraID>
      <start>36</start>
      <end>37</end>
      <status>unmodified</status>
      <modifiedWord/>
      <trackRevisions>false</trackRevisions>
    </reviewItem>
    <reviewItem>
      <errorID>4acd3fac-9b4a-4436-9114-a4c21cd03776</errorID>
      <errorWord>(</errorWord>
      <group>L1_Format</group>
      <groupName>格式问题</groupName>
      <ability>L2_HalfPunc</ability>
      <abilityName>全半角检查</abilityName>
      <candidateList>
        <item>（</item>
      </candidateList>
      <explain>文本全半角错误。</explain>
      <paraID>47E8FC9A</paraID>
      <start>60</start>
      <end>61</end>
      <status>unmodified</status>
      <modifiedWord/>
      <trackRevisions>false</trackRevisions>
    </reviewItem>
    <reviewItem>
      <errorID>ba3432e5-2786-4b7f-a977-7dea25d7d787</errorID>
      <errorWord>)</errorWord>
      <group>L1_Format</group>
      <groupName>格式问题</groupName>
      <ability>L2_HalfPunc</ability>
      <abilityName>全半角检查</abilityName>
      <candidateList>
        <item>）</item>
      </candidateList>
      <explain>文本全半角错误。</explain>
      <paraID>47E8FC9A</paraID>
      <start>63</start>
      <end>64</end>
      <status>unmodified</status>
      <modifiedWord/>
      <trackRevisions>false</trackRevisions>
    </reviewItem>
    <reviewItem>
      <errorID>a97d83af-0c62-40ef-870c-b4206d518073</errorID>
      <errorWord>(</errorWord>
      <group>L1_Format</group>
      <groupName>格式问题</groupName>
      <ability>L2_HalfPunc</ability>
      <abilityName>全半角检查</abilityName>
      <candidateList>
        <item>（</item>
      </candidateList>
      <explain>文本全半角错误。</explain>
      <paraID>63452E9A</paraID>
      <start>28</start>
      <end>29</end>
      <status>unmodified</status>
      <modifiedWord/>
      <trackRevisions>false</trackRevisions>
    </reviewItem>
    <reviewItem>
      <errorID>686142ba-ec16-46e1-ac9e-8e6507ac33cf</errorID>
      <errorWord>)</errorWord>
      <group>L1_Format</group>
      <groupName>格式问题</groupName>
      <ability>L2_HalfPunc</ability>
      <abilityName>全半角检查</abilityName>
      <candidateList>
        <item>）</item>
      </candidateList>
      <explain>文本全半角错误。</explain>
      <paraID>63452E9A</paraID>
      <start>51</start>
      <end>52</end>
      <status>unmodified</status>
      <modifiedWord/>
      <trackRevisions>false</trackRevisions>
    </reviewItem>
    <reviewItem>
      <errorID>c7dadc6c-9088-4669-8c08-2db1f3b80b99</errorID>
      <errorWord>投标</errorWord>
      <group>L1_Word</group>
      <groupName>字词问题</groupName>
      <ability>L2_Typo</ability>
      <abilityName>字词错误</abilityName>
      <candidateList>
        <item>标</item>
      </candidateList>
      <explain/>
      <paraID>  3C9C04</paraID>
      <start>50</start>
      <end>52</end>
      <status>unmodified</status>
      <modifiedWord/>
      <trackRevisions>false</trackRevisions>
    </reviewItem>
    <reviewItem>
      <errorID>652e67f4-b12b-49aa-95a9-6c43b44ddaa6</errorID>
      <errorWord>国家工业和信息化部</errorWord>
      <group>L1_Political</group>
      <groupName>政治性问题</groupName>
      <ability>L2_Unpolitical</ability>
      <abilityName>政治敏感错误</abilityName>
      <candidateList>
        <item>工业和信息化部</item>
      </candidateList>
      <explain/>
      <paraID>124EA20D</paraID>
      <start>24</start>
      <end>33</end>
      <status>unmodified</status>
      <modifiedWord/>
      <trackRevisions>false</trackRevisions>
    </reviewItem>
    <reviewItem>
      <errorID>a0e46def-2218-40da-ba54-2be436b3b770</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124EA20D</paraID>
      <start>85</start>
      <end>87</end>
      <status>unmodified</status>
      <modifiedWord/>
      <trackRevisions>false</trackRevisions>
    </reviewItem>
    <reviewItem>
      <errorID>0295ad69-471a-4b41-bce2-655f0659ddad</errorID>
      <errorWord>(</errorWord>
      <group>L1_Format</group>
      <groupName>格式问题</groupName>
      <ability>L2_HalfPunc</ability>
      <abilityName>全半角检查</abilityName>
      <candidateList>
        <item>（</item>
      </candidateList>
      <explain>文本全半角错误。</explain>
      <paraID>124EA20D</paraID>
      <start>93</start>
      <end>94</end>
      <status>unmodified</status>
      <modifiedWord/>
      <trackRevisions>false</trackRevisions>
    </reviewItem>
    <reviewItem>
      <errorID>f7c7012c-8a0e-46d3-9f88-74e278216d7e</errorID>
      <errorWord>)</errorWord>
      <group>L1_Format</group>
      <groupName>格式问题</groupName>
      <ability>L2_HalfPunc</ability>
      <abilityName>全半角检查</abilityName>
      <candidateList>
        <item>）</item>
      </candidateList>
      <explain>文本全半角错误。</explain>
      <paraID>124EA20D</paraID>
      <start>98</start>
      <end>99</end>
      <status>unmodified</status>
      <modifiedWord/>
      <trackRevisions>false</trackRevisions>
    </reviewItem>
    <reviewItem>
      <errorID>df421395-1a74-448e-b20b-31741b93aadd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D8B943D</paraID>
      <start>16</start>
      <end>17</end>
      <status>unmodified</status>
      <modifiedWord/>
      <trackRevisions>false</trackRevisions>
    </reviewItem>
    <reviewItem>
      <errorID>d3b75b34-50a7-4f00-ad0e-c0cb9ab63c86</errorID>
      <errorWord>,</errorWord>
      <group>L1_Format</group>
      <groupName>格式问题</groupName>
      <ability>L2_HalfPunc</ability>
      <abilityName>全半角检查</abilityName>
      <candidateList>
        <item>，</item>
      </candidateList>
      <explain>文本全半角错误。</explain>
      <paraID> D8B943D</paraID>
      <start>45</start>
      <end>46</end>
      <status>unmodified</status>
      <modifiedWord/>
      <trackRevisions>false</trackRevisions>
    </reviewItem>
    <reviewItem>
      <errorID>5b1444c1-8a13-41d3-a112-0c44daffadd9</errorID>
      <errorWord>,</errorWord>
      <group>L1_Format</group>
      <groupName>格式问题</groupName>
      <ability>L2_HalfPunc</ability>
      <abilityName>全半角检查</abilityName>
      <candidateList>
        <item>，</item>
      </candidateList>
      <explain>文本全半角错误。</explain>
      <paraID>7699F177</paraID>
      <start>15</start>
      <end>16</end>
      <status>unmodified</status>
      <modifiedWord/>
      <trackRevisions>false</trackRevisions>
    </reviewItem>
    <reviewItem>
      <errorID>13e622dd-e856-4918-ad37-37b128ab2192</errorID>
      <errorWord>,</errorWord>
      <group>L1_Format</group>
      <groupName>格式问题</groupName>
      <ability>L2_HalfPunc</ability>
      <abilityName>全半角检查</abilityName>
      <candidateList>
        <item>，</item>
      </candidateList>
      <explain>文本全半角错误。</explain>
      <paraID>3FB4E8B8</paraID>
      <start>19</start>
      <end>20</end>
      <status>unmodified</status>
      <modifiedWord/>
      <trackRevisions>false</trackRevisions>
    </reviewItem>
    <reviewItem>
      <errorID>cd060c1e-3a30-4a68-bc44-a4cc359bfc6d</errorID>
      <errorWord>量</errorWord>
      <group>L1_Word</group>
      <groupName>字词问题</groupName>
      <ability>L2_Typo</ability>
      <abilityName>字词错误</abilityName>
      <candidateList>
        <item>量从</item>
      </candidateList>
      <explain/>
      <paraID>3FB4E8B8</paraID>
      <start>27</start>
      <end>28</end>
      <status>unmodified</status>
      <modifiedWord/>
      <trackRevisions>false</trackRevisions>
    </reviewItem>
    <reviewItem>
      <errorID>5d31b7c0-9f97-4b8a-9b96-ac670c0c02d9</errorID>
      <errorWord>国家工业和信息化部</errorWord>
      <group>L1_Political</group>
      <groupName>政治性问题</groupName>
      <ability>L2_Unpolitical</ability>
      <abilityName>政治敏感错误</abilityName>
      <candidateList>
        <item>工业和信息化部</item>
      </candidateList>
      <explain/>
      <paraID>605EF662</paraID>
      <start>24</start>
      <end>33</end>
      <status>unmodified</status>
      <modifiedWord/>
      <trackRevisions>false</trackRevisions>
    </reviewItem>
    <reviewItem>
      <errorID>7daf150c-8d28-4e61-8488-53a5dfe31f1d</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605EF662</paraID>
      <start>85</start>
      <end>87</end>
      <status>unmodified</status>
      <modifiedWord/>
      <trackRevisions>false</trackRevisions>
    </reviewItem>
    <reviewItem>
      <errorID>43ab7449-7ecb-47aa-9eca-ca719cb31ce0</errorID>
      <errorWord>(</errorWord>
      <group>L1_Format</group>
      <groupName>格式问题</groupName>
      <ability>L2_HalfPunc</ability>
      <abilityName>全半角检查</abilityName>
      <candidateList>
        <item>（</item>
      </candidateList>
      <explain>文本全半角错误。</explain>
      <paraID>605EF662</paraID>
      <start>93</start>
      <end>94</end>
      <status>unmodified</status>
      <modifiedWord/>
      <trackRevisions>false</trackRevisions>
    </reviewItem>
    <reviewItem>
      <errorID>ba5023ce-f11b-48bb-8445-6f4efa571baa</errorID>
      <errorWord>)</errorWord>
      <group>L1_Format</group>
      <groupName>格式问题</groupName>
      <ability>L2_HalfPunc</ability>
      <abilityName>全半角检查</abilityName>
      <candidateList>
        <item>）</item>
      </candidateList>
      <explain>文本全半角错误。</explain>
      <paraID>605EF662</paraID>
      <start>98</start>
      <end>99</end>
      <status>unmodified</status>
      <modifiedWord/>
      <trackRevisions>false</trackRevisions>
    </reviewItem>
    <reviewItem>
      <errorID>d98fa38a-b823-4ce8-bddd-f36c26f94aef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609668A4</paraID>
      <start>60</start>
      <end>61</end>
      <status>unmodified</status>
      <modifiedWord/>
      <trackRevisions>false</trackRevisions>
    </reviewItem>
    <reviewItem>
      <errorID>6197df38-c261-454d-8d0b-27f49ea572a3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609668A4</paraID>
      <start>73</start>
      <end>74</end>
      <status>unmodified</status>
      <modifiedWord/>
      <trackRevisions>false</trackRevisions>
    </reviewItem>
    <reviewItem>
      <errorID>39555bd5-1fc5-4c9b-98b6-4fc5a2fed29f</errorID>
      <errorWord>,</errorWord>
      <group>L1_Format</group>
      <groupName>格式问题</groupName>
      <ability>L2_HalfPunc</ability>
      <abilityName>全半角检查</abilityName>
      <candidateList>
        <item>，</item>
      </candidateList>
      <explain>文本全半角错误。</explain>
      <paraID> 7E702C8</paraID>
      <start>22</start>
      <end>23</end>
      <status>unmodified</status>
      <modifiedWord/>
      <trackRevisions>false</trackRevisions>
    </reviewItem>
    <reviewItem>
      <errorID>1dede8e1-c707-420f-8e38-4830c57155e1</errorID>
      <errorWord>,</errorWord>
      <group>L1_Format</group>
      <groupName>格式问题</groupName>
      <ability>L2_HalfPunc</ability>
      <abilityName>全半角检查</abilityName>
      <candidateList>
        <item>，</item>
      </candidateList>
      <explain>文本全半角错误。</explain>
      <paraID>72169938</paraID>
      <start>23</start>
      <end>24</end>
      <status>unmodified</status>
      <modifiedWord/>
      <trackRevisions>false</trackRevisions>
    </reviewItem>
    <reviewItem>
      <errorID>75917ec8-7b10-4081-9884-8e7b549408d4</errorID>
      <errorWord>,</errorWord>
      <group>L1_Format</group>
      <groupName>格式问题</groupName>
      <ability>L2_HalfPunc</ability>
      <abilityName>全半角检查</abilityName>
      <candidateList>
        <item>，</item>
      </candidateList>
      <explain>文本全半角错误。</explain>
      <paraID>72169938</paraID>
      <start>39</start>
      <end>40</end>
      <status>unmodified</status>
      <modifiedWord/>
      <trackRevisions>false</trackRevisions>
    </reviewItem>
    <reviewItem>
      <errorID>eda044e8-b79a-46dc-be36-f5ae400b1555</errorID>
      <errorWord>获</errorWord>
      <group>L1_Word</group>
      <groupName>字词问题</groupName>
      <ability>L2_Typo</ability>
      <abilityName>字词错误</abilityName>
      <candidateList>
        <item>获得</item>
      </candidateList>
      <explain>〈动〉取得；得到（多用于抽象事物）：～好评｜～宝贵的经验｜～显著的成绩。</explain>
      <paraID>72169938</paraID>
      <start>52</start>
      <end>53</end>
      <status>unmodified</status>
      <modifiedWord/>
      <trackRevisions>false</trackRevisions>
    </reviewItem>
    <reviewItem>
      <errorID>6a015fe0-3641-4dec-9d37-a0f229b4c92f</errorID>
      <errorWord>,</errorWord>
      <group>L1_Format</group>
      <groupName>格式问题</groupName>
      <ability>L2_HalfPunc</ability>
      <abilityName>全半角检查</abilityName>
      <candidateList>
        <item>，</item>
      </candidateList>
      <explain>文本全半角错误。</explain>
      <paraID>72169938</paraID>
      <start>76</start>
      <end>77</end>
      <status>unmodified</status>
      <modifiedWord/>
      <trackRevisions>false</trackRevisions>
    </reviewItem>
    <reviewItem>
      <errorID>97630068-de87-4ac6-a7a0-58f57b993533</errorID>
      <errorWord>、</errorWord>
      <group>L1_Punc</group>
      <groupName>标点问题</groupName>
      <ability>L2_Punc</ability>
      <abilityName>标点符号检查</abilityName>
      <candidateList>
        <item>.</item>
      </candidateList>
      <explain/>
      <paraID>10CEC475</paraID>
      <start>1</start>
      <end>2</end>
      <status>unmodified</status>
      <modifiedWord/>
      <trackRevisions>false</trackRevisions>
    </reviewItem>
    <reviewItem>
      <errorID>aca6cda2-afe8-4039-b140-b38b336fa781</errorID>
      <errorWord>(</errorWord>
      <group>L1_Format</group>
      <groupName>格式问题</groupName>
      <ability>L2_HalfPunc</ability>
      <abilityName>全半角检查</abilityName>
      <candidateList>
        <item>（</item>
      </candidateList>
      <explain>文本全半角错误。</explain>
      <paraID>69003497</paraID>
      <start>9</start>
      <end>10</end>
      <status>unmodified</status>
      <modifiedWord/>
      <trackRevisions>false</trackRevisions>
    </reviewItem>
    <reviewItem>
      <errorID>9f2b5960-ee7c-4432-b843-0e285f27fdd4</errorID>
      <errorWord>)</errorWord>
      <group>L1_Format</group>
      <groupName>格式问题</groupName>
      <ability>L2_HalfPunc</ability>
      <abilityName>全半角检查</abilityName>
      <candidateList>
        <item>）</item>
      </candidateList>
      <explain>文本全半角错误。</explain>
      <paraID>69003497</paraID>
      <start>18</start>
      <end>19</end>
      <status>unmodified</status>
      <modifiedWord/>
      <trackRevisions>false</trackRevisions>
    </reviewItem>
    <reviewItem>
      <errorID>124f32aa-868d-4716-93b9-290c57e1d39a</errorID>
      <errorWord>、</errorWord>
      <group>L1_Punc</group>
      <groupName>标点问题</groupName>
      <ability>L2_Punc</ability>
      <abilityName>标点符号检查</abilityName>
      <candidateList>
        <item>.</item>
      </candidateList>
      <explain/>
      <paraID> BE6A6CC</paraID>
      <start>1</start>
      <end>2</end>
      <status>unmodified</status>
      <modifiedWord/>
      <trackRevisions>false</trackRevisions>
    </reviewItem>
    <reviewItem>
      <errorID>63da3d5f-f36a-4399-b6cf-4360dbe18c8c</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11E54538</paraID>
      <start>0</start>
      <end>3</end>
      <status>unmodified</status>
      <modifiedWord/>
      <trackRevisions>false</trackRevisions>
    </reviewItem>
    <reviewItem>
      <errorID>30e8b66a-ff1b-4b30-b806-55a30d016e14</errorID>
      <errorWord>二名</errorWord>
      <group>L1_Word</group>
      <groupName>字词问题</groupName>
      <ability>L2_Typo</ability>
      <abilityName>字词错误</abilityName>
      <candidateList>
        <item>两名</item>
      </candidateList>
      <explain/>
      <paraID>11E54538</paraID>
      <start>40</start>
      <end>42</end>
      <status>unmodified</status>
      <modifiedWord/>
      <trackRevisions>false</trackRevisions>
    </reviewItem>
    <reviewItem>
      <errorID>5930ce5f-66e2-48fe-bab4-7f0429b05166</errorID>
      <errorWord>如此类推</errorWord>
      <group>L1_Word</group>
      <groupName>字词问题</groupName>
      <ability>L2_Typo</ability>
      <abilityName>字词错误</abilityName>
      <candidateList>
        <item>以此类推</item>
      </candidateList>
      <explain>根据这一事物的道理，去推出与此类似的其他事物的道理。</explain>
      <paraID>2E1E3F9D</paraID>
      <start>198</start>
      <end>202</end>
      <status>unmodified</status>
      <modifiedWord/>
      <trackRevisions>false</trackRevisions>
    </reviewItem>
    <reviewItem>
      <errorID>92cfa376-b589-48dc-818a-0608e81c696c</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1679F453</paraID>
      <start>0</start>
      <end>3</end>
      <status>unmodified</status>
      <modifiedWord/>
      <trackRevisions>false</trackRevisions>
    </reviewItem>
    <reviewItem>
      <errorID>0d1c2373-9018-45eb-b0b6-41c62a5d3413</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35F31E58</paraID>
      <start>0</start>
      <end>3</end>
      <status>unmodified</status>
      <modifiedWord/>
      <trackRevisions>false</trackRevisions>
    </reviewItem>
    <reviewItem>
      <errorID>9d878721-e7d7-499a-9a2b-b27f9139097a</errorID>
      <errorWord>其它</errorWord>
      <group>L1_Word</group>
      <groupName>字词问题</groupName>
      <ability>L2_Alias</ability>
      <abilityName>也作/曾用词</abilityName>
      <candidateList>
        <item>其他</item>
      </candidateList>
      <explain>词汇[其它]为不规范表述或旧称，其规范书面表述为[其他]。</explain>
      <paraID>35F31E58</paraID>
      <start>22</start>
      <end>24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81d312-ea35-4f4e-a387-3598d891cd3d}">
  <ds:schemaRefs/>
</ds:datastoreItem>
</file>

<file path=docProps/app.xml><?xml version="1.0" encoding="utf-8"?>
<Properties xmlns="http://schemas.openxmlformats.org/officeDocument/2006/extended-properties" xmlns:vt="http://schemas.openxmlformats.org/officeDocument/2006/docPropsVTypes">
  <Template>Normal.dotm</Template>
  <Pages>118</Pages>
  <Words>16823</Words>
  <Characters>17731</Characters>
  <Lines>1</Lines>
  <Paragraphs>1</Paragraphs>
  <TotalTime>0</TotalTime>
  <ScaleCrop>false</ScaleCrop>
  <LinksUpToDate>false</LinksUpToDate>
  <CharactersWithSpaces>18119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2023-07-19T02:55:00Z</dcterms:created>
  <dc:creator>HS</dc:creator>
  <cp:lastModifiedBy>钟智豪</cp:lastModifiedBy>
  <cp:lastPrinted>2026-02-04T06:26:00Z</cp:lastPrinted>
  <dcterms:modified xsi:type="dcterms:W3CDTF">2026-07-01T09:32:01Z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6310DA321FDF4C3D926B8B20DB5D1D0D_13</vt:lpwstr>
  </property>
  <property fmtid="{D5CDD505-2E9C-101B-9397-08002B2CF9AE}" pid="4" name="KSOTemplateDocerSaveRecord">
    <vt:lpwstr>eyJoZGlkIjoiNDFmNmJiMmExNzhkMTQ4OTk1NTY5ZmVjNjY0NmQ0YzQiLCJ1c2VySWQiOiI0MDM1MTQ2NzcifQ==</vt:lpwstr>
  </property>
</Properties>
</file>