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13A16A">
      <w:pPr>
        <w:keepNext w:val="0"/>
        <w:keepLines w:val="0"/>
        <w:pageBreakBefore w:val="0"/>
        <w:widowControl w:val="0"/>
        <w:tabs>
          <w:tab w:val="left" w:pos="2880"/>
        </w:tabs>
        <w:kinsoku/>
        <w:wordWrap/>
        <w:overflowPunct/>
        <w:topLinePunct w:val="0"/>
        <w:autoSpaceDE/>
        <w:autoSpaceDN/>
        <w:bidi w:val="0"/>
        <w:adjustRightInd w:val="0"/>
        <w:snapToGrid/>
        <w:spacing w:line="360" w:lineRule="auto"/>
        <w:jc w:val="center"/>
        <w:textAlignment w:val="auto"/>
        <w:outlineLvl w:val="1"/>
        <w:rPr>
          <w:rFonts w:hint="eastAsia" w:ascii="宋体" w:hAnsi="宋体"/>
          <w:b/>
          <w:color w:val="auto"/>
          <w:sz w:val="28"/>
          <w:szCs w:val="28"/>
          <w:highlight w:val="none"/>
          <w:lang w:eastAsia="zh-CN"/>
        </w:rPr>
      </w:pPr>
      <w:bookmarkStart w:id="0" w:name="_Toc21353"/>
      <w:bookmarkStart w:id="1" w:name="_Toc16493"/>
      <w:bookmarkStart w:id="2" w:name="_Toc13876"/>
      <w:bookmarkStart w:id="3" w:name="_Toc2522"/>
      <w:r>
        <w:rPr>
          <w:rFonts w:hint="eastAsia" w:ascii="宋体" w:hAnsi="宋体"/>
          <w:b/>
          <w:color w:val="auto"/>
          <w:sz w:val="28"/>
          <w:szCs w:val="28"/>
          <w:highlight w:val="none"/>
          <w:lang w:eastAsia="zh-CN"/>
        </w:rPr>
        <w:t>兴业银行惠州分行关于惠州市公共资源交易中心惠城分中心、仲恺分中心网上交易平台对接项目</w:t>
      </w:r>
    </w:p>
    <w:p w14:paraId="52EE1B90">
      <w:pPr>
        <w:keepNext w:val="0"/>
        <w:keepLines w:val="0"/>
        <w:pageBreakBefore w:val="0"/>
        <w:widowControl w:val="0"/>
        <w:tabs>
          <w:tab w:val="left" w:pos="2880"/>
        </w:tabs>
        <w:kinsoku/>
        <w:wordWrap/>
        <w:overflowPunct/>
        <w:topLinePunct w:val="0"/>
        <w:autoSpaceDE/>
        <w:autoSpaceDN/>
        <w:bidi w:val="0"/>
        <w:adjustRightInd w:val="0"/>
        <w:snapToGrid/>
        <w:spacing w:line="360" w:lineRule="auto"/>
        <w:jc w:val="center"/>
        <w:textAlignment w:val="auto"/>
        <w:outlineLvl w:val="9"/>
        <w:rPr>
          <w:rFonts w:ascii="宋体" w:hAnsi="宋体"/>
          <w:b/>
          <w:color w:val="auto"/>
          <w:sz w:val="28"/>
          <w:szCs w:val="28"/>
          <w:highlight w:val="none"/>
        </w:rPr>
      </w:pPr>
      <w:r>
        <w:rPr>
          <w:rFonts w:hint="eastAsia" w:ascii="宋体" w:hAnsi="宋体"/>
          <w:b/>
          <w:color w:val="auto"/>
          <w:sz w:val="28"/>
          <w:szCs w:val="28"/>
          <w:highlight w:val="none"/>
        </w:rPr>
        <w:t>招标公告</w:t>
      </w:r>
      <w:bookmarkEnd w:id="0"/>
      <w:bookmarkEnd w:id="1"/>
      <w:bookmarkEnd w:id="2"/>
      <w:bookmarkEnd w:id="3"/>
    </w:p>
    <w:p w14:paraId="68B39104">
      <w:pPr>
        <w:pStyle w:val="4"/>
        <w:tabs>
          <w:tab w:val="left" w:pos="2412"/>
        </w:tabs>
        <w:spacing w:after="0" w:line="360" w:lineRule="auto"/>
        <w:ind w:right="159" w:firstLine="420"/>
        <w:rPr>
          <w:rFonts w:hint="eastAsia" w:ascii="宋体" w:hAnsi="宋体" w:cs="宋体"/>
          <w:color w:val="auto"/>
          <w:highlight w:val="none"/>
        </w:rPr>
      </w:pPr>
      <w:bookmarkStart w:id="4" w:name="_Toc502224203"/>
      <w:r>
        <w:rPr>
          <w:rFonts w:hint="eastAsia" w:ascii="宋体" w:hAnsi="宋体" w:cs="宋体"/>
          <w:color w:val="auto"/>
          <w:highlight w:val="none"/>
          <w:u w:val="single"/>
          <w:lang w:eastAsia="zh-CN"/>
        </w:rPr>
        <w:t>建成工程咨询股份有限公司</w:t>
      </w:r>
      <w:r>
        <w:rPr>
          <w:rFonts w:hint="eastAsia" w:ascii="宋体" w:hAnsi="宋体" w:cs="宋体"/>
          <w:color w:val="auto"/>
          <w:highlight w:val="none"/>
        </w:rPr>
        <w:t>（以下简称“招标代理机构”）受</w:t>
      </w:r>
      <w:r>
        <w:rPr>
          <w:rFonts w:hint="eastAsia" w:ascii="宋体" w:hAnsi="宋体" w:cs="宋体"/>
          <w:color w:val="auto"/>
          <w:highlight w:val="none"/>
          <w:u w:val="single"/>
          <w:lang w:eastAsia="zh-CN"/>
        </w:rPr>
        <w:t>兴业银行股份有限公司惠州分行</w:t>
      </w:r>
      <w:r>
        <w:rPr>
          <w:rFonts w:hint="eastAsia" w:ascii="宋体" w:hAnsi="宋体" w:cs="宋体"/>
          <w:bCs/>
          <w:color w:val="auto"/>
          <w:highlight w:val="none"/>
        </w:rPr>
        <w:t>（以下简称“招标人”）的</w:t>
      </w:r>
      <w:r>
        <w:rPr>
          <w:rFonts w:hint="eastAsia" w:ascii="宋体" w:hAnsi="宋体" w:cs="宋体"/>
          <w:color w:val="auto"/>
          <w:highlight w:val="none"/>
        </w:rPr>
        <w:t>委托，就</w:t>
      </w:r>
      <w:r>
        <w:rPr>
          <w:rFonts w:hint="eastAsia" w:ascii="宋体" w:hAnsi="宋体" w:cs="宋体"/>
          <w:color w:val="auto"/>
          <w:highlight w:val="none"/>
          <w:u w:val="single"/>
          <w:lang w:eastAsia="zh-CN"/>
        </w:rPr>
        <w:t>兴业银行惠州分行关于惠州市公共资源交易中心惠城分中心、仲恺分中心网上交易平台对接项目（项目编号：GZJCHZ-2026-05-33）</w:t>
      </w:r>
      <w:r>
        <w:rPr>
          <w:rFonts w:hint="eastAsia" w:ascii="宋体" w:hAnsi="宋体" w:cs="宋体"/>
          <w:bCs/>
          <w:color w:val="auto"/>
          <w:highlight w:val="none"/>
        </w:rPr>
        <w:t>进行公开招标</w:t>
      </w:r>
      <w:r>
        <w:rPr>
          <w:rFonts w:hint="eastAsia" w:ascii="宋体" w:hAnsi="宋体" w:cs="宋体"/>
          <w:color w:val="auto"/>
          <w:highlight w:val="none"/>
        </w:rPr>
        <w:t>。项目资金由招标人自筹，</w:t>
      </w:r>
      <w:r>
        <w:rPr>
          <w:rFonts w:hint="eastAsia" w:ascii="宋体" w:hAnsi="宋体" w:cs="宋体"/>
          <w:color w:val="auto"/>
          <w:highlight w:val="none"/>
          <w:lang w:val="en-US" w:eastAsia="zh-CN"/>
        </w:rPr>
        <w:t>项目</w:t>
      </w:r>
      <w:r>
        <w:rPr>
          <w:rFonts w:hint="eastAsia" w:ascii="宋体" w:hAnsi="宋体" w:cs="宋体"/>
          <w:color w:val="auto"/>
          <w:highlight w:val="none"/>
        </w:rPr>
        <w:t>已具备招标条件，现进行公开招标，</w:t>
      </w:r>
      <w:r>
        <w:rPr>
          <w:rFonts w:hint="eastAsia" w:ascii="宋体" w:hAnsi="宋体" w:cs="宋体"/>
          <w:color w:val="auto"/>
          <w:highlight w:val="none"/>
          <w:lang w:val="en-US" w:eastAsia="zh-CN"/>
        </w:rPr>
        <w:t>欢迎</w:t>
      </w:r>
      <w:r>
        <w:rPr>
          <w:rFonts w:hint="eastAsia" w:ascii="宋体" w:hAnsi="宋体" w:cs="宋体"/>
          <w:color w:val="auto"/>
          <w:highlight w:val="none"/>
        </w:rPr>
        <w:t>有意向的潜在投标人（以下简称投标人）前来投标。</w:t>
      </w:r>
    </w:p>
    <w:bookmarkEnd w:id="4"/>
    <w:p w14:paraId="7CE0E31A">
      <w:pPr>
        <w:pStyle w:val="9"/>
        <w:snapToGrid w:val="0"/>
        <w:spacing w:before="120" w:beforeLines="50" w:after="120" w:afterLines="50" w:line="360" w:lineRule="auto"/>
        <w:ind w:firstLine="0" w:firstLineChars="0"/>
        <w:outlineLvl w:val="1"/>
        <w:rPr>
          <w:rFonts w:hint="eastAsia" w:ascii="宋体" w:hAnsi="宋体" w:cs="宋体"/>
          <w:b/>
          <w:color w:val="auto"/>
          <w:szCs w:val="21"/>
          <w:highlight w:val="none"/>
        </w:rPr>
      </w:pPr>
      <w:bookmarkStart w:id="5" w:name="_Toc24299"/>
      <w:bookmarkStart w:id="6" w:name="_Toc14954"/>
      <w:bookmarkStart w:id="7" w:name="_Toc7621"/>
      <w:bookmarkStart w:id="8" w:name="_Toc27807"/>
      <w:bookmarkStart w:id="9" w:name="_Toc4289"/>
      <w:bookmarkStart w:id="10" w:name="_Toc30547"/>
      <w:bookmarkStart w:id="11" w:name="_Toc26862"/>
      <w:bookmarkStart w:id="12" w:name="_Toc24330"/>
      <w:bookmarkStart w:id="13" w:name="_Toc530152227"/>
      <w:bookmarkStart w:id="14" w:name="_Toc21299"/>
      <w:r>
        <w:rPr>
          <w:rFonts w:hint="eastAsia" w:ascii="宋体" w:hAnsi="宋体" w:cs="宋体"/>
          <w:b/>
          <w:color w:val="auto"/>
          <w:szCs w:val="21"/>
          <w:highlight w:val="none"/>
        </w:rPr>
        <w:t>一、项目概况与招标范围</w:t>
      </w:r>
      <w:bookmarkEnd w:id="5"/>
      <w:bookmarkEnd w:id="6"/>
      <w:bookmarkEnd w:id="7"/>
      <w:bookmarkEnd w:id="8"/>
      <w:bookmarkEnd w:id="9"/>
      <w:bookmarkEnd w:id="10"/>
      <w:bookmarkEnd w:id="11"/>
      <w:bookmarkEnd w:id="12"/>
      <w:bookmarkEnd w:id="13"/>
      <w:bookmarkEnd w:id="14"/>
    </w:p>
    <w:p w14:paraId="0F31C6F0">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textAlignment w:val="auto"/>
        <w:outlineLvl w:val="9"/>
        <w:rPr>
          <w:rFonts w:hint="eastAsia"/>
          <w:highlight w:val="none"/>
          <w:lang w:val="en-US" w:eastAsia="zh-CN"/>
        </w:rPr>
      </w:pPr>
      <w:bookmarkStart w:id="15" w:name="_bookmark3"/>
      <w:bookmarkEnd w:id="15"/>
      <w:bookmarkStart w:id="16" w:name="_Toc19525"/>
      <w:bookmarkStart w:id="17" w:name="_Toc27468"/>
      <w:r>
        <w:rPr>
          <w:rFonts w:hint="eastAsia" w:ascii="宋体" w:hAnsi="宋体" w:cs="宋体"/>
          <w:color w:val="auto"/>
          <w:highlight w:val="none"/>
          <w:lang w:val="en-US" w:eastAsia="zh-CN"/>
        </w:rPr>
        <w:t>（一）项目</w:t>
      </w:r>
      <w:r>
        <w:rPr>
          <w:rFonts w:hint="eastAsia" w:ascii="宋体" w:hAnsi="宋体" w:eastAsia="宋体" w:cs="宋体"/>
          <w:color w:val="auto"/>
          <w:highlight w:val="none"/>
          <w:lang w:val="en-US" w:eastAsia="zh-CN"/>
        </w:rPr>
        <w:t>概况：</w:t>
      </w:r>
      <w:bookmarkEnd w:id="16"/>
      <w:bookmarkEnd w:id="17"/>
      <w:r>
        <w:rPr>
          <w:rFonts w:hint="eastAsia" w:ascii="宋体" w:hAnsi="宋体" w:eastAsia="宋体" w:cs="宋体"/>
          <w:color w:val="auto"/>
          <w:highlight w:val="none"/>
          <w:lang w:val="en-US" w:eastAsia="zh-CN"/>
        </w:rPr>
        <w:t>本项目旨在完成惠州公共资源网上交易平台接口系统建设工作，最终实现保证金的到账通知、退款、转账、对账、系统查询等功能。具体内容详见招标文件《用户需求书》。</w:t>
      </w:r>
    </w:p>
    <w:p w14:paraId="2BAD2A13">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（二）</w:t>
      </w:r>
      <w:r>
        <w:rPr>
          <w:rFonts w:hint="eastAsia" w:ascii="宋体" w:hAnsi="宋体" w:eastAsia="宋体" w:cs="宋体"/>
          <w:color w:val="auto"/>
          <w:kern w:val="2"/>
          <w:sz w:val="21"/>
          <w:szCs w:val="20"/>
          <w:highlight w:val="none"/>
          <w:lang w:val="en-US" w:eastAsia="zh-CN" w:bidi="ar-SA"/>
        </w:rPr>
        <w:t>服务期限：合同签订后30日历天内完成上线。</w:t>
      </w:r>
    </w:p>
    <w:p w14:paraId="01382585">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（三）最高投标限价：最高投标限价为</w:t>
      </w:r>
      <w:r>
        <w:rPr>
          <w:rFonts w:hint="eastAsia" w:ascii="宋体" w:hAnsi="宋体" w:cs="宋体"/>
          <w:color w:val="auto"/>
          <w:highlight w:val="none"/>
          <w:lang w:val="en-US" w:eastAsia="zh-CN"/>
        </w:rPr>
        <w:t>330000</w:t>
      </w:r>
      <w:r>
        <w:rPr>
          <w:rFonts w:hint="eastAsia" w:ascii="宋体" w:hAnsi="宋体" w:eastAsia="宋体" w:cs="宋体"/>
          <w:color w:val="auto"/>
          <w:highlight w:val="none"/>
          <w:lang w:val="en-US" w:eastAsia="zh-CN"/>
        </w:rPr>
        <w:t>.00元（含税），投标人投标报价高于最高投标限价的，其投标将被否决。</w:t>
      </w:r>
    </w:p>
    <w:p w14:paraId="03A2C4B4">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textAlignment w:val="auto"/>
        <w:outlineLvl w:val="9"/>
        <w:rPr>
          <w:rFonts w:hint="eastAsia" w:ascii="宋体" w:hAnsi="宋体" w:eastAsia="宋体" w:cs="宋体"/>
          <w:color w:val="auto"/>
          <w:highlight w:val="none"/>
          <w:lang w:val="en-US" w:eastAsia="zh-CN"/>
        </w:rPr>
      </w:pPr>
      <w:bookmarkStart w:id="18" w:name="_Toc26142"/>
      <w:bookmarkStart w:id="19" w:name="_Toc28966"/>
      <w:r>
        <w:rPr>
          <w:rFonts w:hint="eastAsia" w:ascii="宋体" w:hAnsi="宋体" w:eastAsia="宋体" w:cs="宋体"/>
          <w:color w:val="auto"/>
          <w:highlight w:val="none"/>
          <w:lang w:val="en-US" w:eastAsia="zh-CN"/>
        </w:rPr>
        <w:t>（四）是否划分标段：否。</w:t>
      </w:r>
    </w:p>
    <w:p w14:paraId="4F527EBF">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（五）中标人数量：1家。</w:t>
      </w:r>
      <w:bookmarkEnd w:id="18"/>
      <w:bookmarkEnd w:id="19"/>
    </w:p>
    <w:p w14:paraId="4C2226FE">
      <w:pPr>
        <w:pStyle w:val="9"/>
        <w:snapToGrid w:val="0"/>
        <w:spacing w:before="120" w:beforeLines="50" w:after="120" w:afterLines="50" w:line="360" w:lineRule="auto"/>
        <w:ind w:firstLine="0" w:firstLineChars="0"/>
        <w:outlineLvl w:val="1"/>
        <w:rPr>
          <w:rFonts w:hint="eastAsia" w:ascii="宋体" w:hAnsi="宋体" w:eastAsia="宋体" w:cs="宋体"/>
          <w:color w:val="auto"/>
          <w:highlight w:val="none"/>
        </w:rPr>
      </w:pPr>
      <w:bookmarkStart w:id="20" w:name="_Toc3810"/>
      <w:bookmarkStart w:id="21" w:name="_Toc502224205"/>
      <w:bookmarkStart w:id="22" w:name="_Toc12932"/>
      <w:bookmarkStart w:id="23" w:name="_Toc530152228"/>
      <w:bookmarkStart w:id="24" w:name="_Toc3664"/>
      <w:bookmarkStart w:id="25" w:name="_Toc4236"/>
      <w:bookmarkStart w:id="26" w:name="_Toc31619"/>
      <w:bookmarkStart w:id="27" w:name="_Toc7232"/>
      <w:bookmarkStart w:id="28" w:name="_Toc17718"/>
      <w:bookmarkStart w:id="29" w:name="_Toc21803"/>
      <w:bookmarkStart w:id="30" w:name="_Toc32661"/>
      <w:r>
        <w:rPr>
          <w:rFonts w:hint="eastAsia" w:ascii="宋体" w:hAnsi="宋体" w:eastAsia="宋体" w:cs="宋体"/>
          <w:b/>
          <w:color w:val="auto"/>
          <w:szCs w:val="21"/>
          <w:highlight w:val="none"/>
        </w:rPr>
        <w:t>二、投标人资格要求</w:t>
      </w:r>
      <w:bookmarkEnd w:id="20"/>
      <w:bookmarkEnd w:id="21"/>
      <w:bookmarkEnd w:id="22"/>
      <w:bookmarkEnd w:id="23"/>
      <w:bookmarkEnd w:id="24"/>
      <w:bookmarkEnd w:id="25"/>
      <w:bookmarkEnd w:id="26"/>
      <w:bookmarkEnd w:id="27"/>
      <w:bookmarkEnd w:id="28"/>
      <w:bookmarkEnd w:id="29"/>
      <w:bookmarkEnd w:id="30"/>
    </w:p>
    <w:p w14:paraId="3B3E83E3">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textAlignment w:val="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一）投标人须为中华人民共和国注册的具有独立民事责任的法人或其他组织，并独立于招标人和招标代理机构，须提供合法有效的营业执照复印件。如为独立法人设立的分支机构参加响应，投标人需提供独立法人出具的响应授权书，授权书需明确投标人的权限范围，并提交独立法人有效的营业执照或法人登记证书复印件。</w:t>
      </w:r>
    </w:p>
    <w:p w14:paraId="49E458B2">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firstLineChars="200"/>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Cs w:val="21"/>
          <w:highlight w:val="none"/>
          <w:lang w:val="en-US" w:eastAsia="zh-CN"/>
        </w:rPr>
        <w:t>（二）信用要求：投标人未被列入“信用中国(www.creditchina.gov.cn)”记录失信被执行人或重大税收违法失信主体，未被列入“国家企业信用信息公示系统（http://www.gsxt.gov.cn/index.html）”记录严重违法失信名单（黑名单）信息。须</w:t>
      </w:r>
      <w:r>
        <w:rPr>
          <w:rFonts w:hint="eastAsia" w:ascii="宋体" w:hAnsi="宋体" w:eastAsia="宋体" w:cs="宋体"/>
          <w:color w:val="auto"/>
          <w:sz w:val="21"/>
          <w:szCs w:val="21"/>
          <w:highlight w:val="none"/>
        </w:rPr>
        <w:t>提供网页查询结果截图或打印件，招标人保留查证的权利</w:t>
      </w:r>
      <w:r>
        <w:rPr>
          <w:rFonts w:hint="eastAsia" w:ascii="宋体" w:hAnsi="宋体" w:eastAsia="宋体" w:cs="宋体"/>
          <w:color w:val="auto"/>
          <w:sz w:val="21"/>
          <w:szCs w:val="21"/>
          <w:highlight w:val="none"/>
          <w:lang w:eastAsia="zh-CN"/>
        </w:rPr>
        <w:t>。</w:t>
      </w:r>
    </w:p>
    <w:p w14:paraId="2ECEA72B">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单位负责人为同一人或者存在直接控股、管理关系的不同投标人，不得同时参加未划分标段（标包/分包）的同一项目或者同一项目下的同一标段（标包/分包）下的招标采购活动。</w:t>
      </w:r>
    </w:p>
    <w:p w14:paraId="6161D1C3">
      <w:pPr>
        <w:pStyle w:val="4"/>
        <w:keepNext w:val="0"/>
        <w:keepLines w:val="0"/>
        <w:pageBreakBefore w:val="0"/>
        <w:widowControl w:val="0"/>
        <w:tabs>
          <w:tab w:val="left" w:pos="2412"/>
        </w:tabs>
        <w:kinsoku/>
        <w:wordWrap/>
        <w:overflowPunct/>
        <w:topLinePunct w:val="0"/>
        <w:autoSpaceDE/>
        <w:autoSpaceDN/>
        <w:bidi w:val="0"/>
        <w:adjustRightInd/>
        <w:snapToGrid/>
        <w:spacing w:after="0" w:line="360" w:lineRule="auto"/>
        <w:ind w:right="159" w:firstLine="420" w:firstLineChars="200"/>
        <w:textAlignment w:val="auto"/>
        <w:outlineLvl w:val="9"/>
        <w:rPr>
          <w:rFonts w:hint="eastAsia" w:ascii="宋体" w:hAnsi="宋体" w:eastAsia="宋体" w:cs="宋体"/>
          <w:color w:val="auto"/>
          <w:szCs w:val="21"/>
          <w:highlight w:val="none"/>
        </w:rPr>
      </w:pPr>
      <w:bookmarkStart w:id="31" w:name="_Toc1509"/>
      <w:bookmarkStart w:id="32" w:name="_Toc30812"/>
      <w:r>
        <w:rPr>
          <w:rFonts w:hint="eastAsia" w:ascii="宋体" w:hAnsi="宋体" w:eastAsia="宋体" w:cs="宋体"/>
          <w:color w:val="auto"/>
          <w:szCs w:val="21"/>
          <w:highlight w:val="none"/>
          <w:lang w:val="en-US" w:eastAsia="zh-CN"/>
        </w:rPr>
        <w:t>（四）</w:t>
      </w:r>
      <w:r>
        <w:rPr>
          <w:rFonts w:hint="eastAsia" w:ascii="宋体" w:hAnsi="宋体" w:eastAsia="宋体" w:cs="宋体"/>
          <w:color w:val="auto"/>
          <w:szCs w:val="21"/>
          <w:highlight w:val="none"/>
        </w:rPr>
        <w:t>是否接受联合体投标：不接受。</w:t>
      </w:r>
      <w:bookmarkEnd w:id="31"/>
      <w:bookmarkEnd w:id="32"/>
    </w:p>
    <w:p w14:paraId="30DF3652">
      <w:pPr>
        <w:pStyle w:val="9"/>
        <w:snapToGrid w:val="0"/>
        <w:spacing w:before="120" w:beforeLines="50" w:after="120" w:afterLines="50" w:line="360" w:lineRule="auto"/>
        <w:ind w:firstLine="0" w:firstLineChars="0"/>
        <w:outlineLvl w:val="1"/>
        <w:rPr>
          <w:rFonts w:hint="eastAsia" w:ascii="宋体" w:hAnsi="宋体"/>
          <w:b/>
          <w:color w:val="auto"/>
          <w:szCs w:val="21"/>
          <w:highlight w:val="none"/>
        </w:rPr>
      </w:pPr>
      <w:bookmarkStart w:id="33" w:name="_Toc111"/>
      <w:bookmarkStart w:id="34" w:name="_Toc5695"/>
      <w:bookmarkStart w:id="35" w:name="_Toc7206"/>
      <w:bookmarkStart w:id="36" w:name="_Toc27142"/>
      <w:bookmarkStart w:id="37" w:name="_Toc2270"/>
      <w:bookmarkStart w:id="38" w:name="_Toc32581"/>
      <w:bookmarkStart w:id="39" w:name="_Toc7757"/>
      <w:bookmarkStart w:id="40" w:name="_Toc26416"/>
      <w:bookmarkStart w:id="41" w:name="_Toc1981"/>
      <w:bookmarkStart w:id="42" w:name="_Toc21603"/>
      <w:bookmarkStart w:id="43" w:name="_Toc28925"/>
      <w:bookmarkStart w:id="44" w:name="_Toc30348"/>
      <w:bookmarkStart w:id="45" w:name="_Toc28546"/>
      <w:bookmarkStart w:id="46" w:name="_Toc29905"/>
      <w:bookmarkStart w:id="47" w:name="_Toc24912"/>
      <w:bookmarkStart w:id="48" w:name="_Toc14845"/>
      <w:r>
        <w:rPr>
          <w:rFonts w:hint="eastAsia" w:ascii="宋体" w:hAnsi="宋体"/>
          <w:b/>
          <w:color w:val="auto"/>
          <w:szCs w:val="21"/>
          <w:highlight w:val="none"/>
        </w:rPr>
        <w:t>三、资格审查方式</w:t>
      </w:r>
      <w:bookmarkEnd w:id="33"/>
      <w:bookmarkEnd w:id="34"/>
      <w:bookmarkEnd w:id="35"/>
      <w:bookmarkEnd w:id="36"/>
      <w:bookmarkEnd w:id="37"/>
      <w:bookmarkEnd w:id="38"/>
      <w:bookmarkEnd w:id="39"/>
      <w:bookmarkEnd w:id="40"/>
      <w:bookmarkEnd w:id="41"/>
    </w:p>
    <w:p w14:paraId="6833BDD1">
      <w:pPr>
        <w:spacing w:line="360" w:lineRule="auto"/>
        <w:ind w:firstLine="420" w:firstLineChars="200"/>
        <w:rPr>
          <w:rFonts w:hint="eastAsia" w:ascii="宋体" w:hAnsi="宋体" w:cs="宋体"/>
          <w:color w:val="auto"/>
          <w:szCs w:val="21"/>
          <w:highlight w:val="none"/>
        </w:rPr>
      </w:pPr>
      <w:r>
        <w:rPr>
          <w:rFonts w:hint="eastAsia" w:ascii="宋体" w:hAnsi="宋体" w:cs="宋体"/>
          <w:color w:val="auto"/>
          <w:szCs w:val="21"/>
          <w:highlight w:val="none"/>
        </w:rPr>
        <w:t>本项目采用资格后审的方式。</w:t>
      </w:r>
    </w:p>
    <w:p w14:paraId="0E1753E6">
      <w:pPr>
        <w:pStyle w:val="9"/>
        <w:snapToGrid w:val="0"/>
        <w:spacing w:before="120" w:beforeLines="50" w:after="120" w:afterLines="50" w:line="360" w:lineRule="auto"/>
        <w:ind w:firstLine="0" w:firstLineChars="0"/>
        <w:outlineLvl w:val="1"/>
        <w:rPr>
          <w:rFonts w:hint="eastAsia"/>
          <w:color w:val="auto"/>
          <w:highlight w:val="none"/>
        </w:rPr>
      </w:pPr>
      <w:bookmarkStart w:id="49" w:name="_Toc22720"/>
      <w:bookmarkStart w:id="50" w:name="_Toc955"/>
      <w:bookmarkStart w:id="51" w:name="_Toc530152229"/>
      <w:bookmarkStart w:id="52" w:name="_Toc22167"/>
      <w:bookmarkStart w:id="53" w:name="_Toc263"/>
      <w:bookmarkStart w:id="54" w:name="_Toc16984"/>
      <w:bookmarkStart w:id="55" w:name="_Toc1822"/>
      <w:bookmarkStart w:id="56" w:name="_Toc502224206"/>
      <w:bookmarkStart w:id="57" w:name="_Toc21693"/>
      <w:bookmarkStart w:id="58" w:name="_Toc22621"/>
      <w:bookmarkStart w:id="59" w:name="_Toc28296"/>
      <w:r>
        <w:rPr>
          <w:rFonts w:hint="eastAsia" w:ascii="宋体" w:hAnsi="宋体"/>
          <w:b/>
          <w:color w:val="auto"/>
          <w:szCs w:val="21"/>
          <w:highlight w:val="none"/>
        </w:rPr>
        <w:t>四、招标</w:t>
      </w:r>
      <w:r>
        <w:rPr>
          <w:rFonts w:hint="eastAsia" w:ascii="宋体" w:hAnsi="宋体" w:cs="宋体"/>
          <w:b/>
          <w:color w:val="auto"/>
          <w:szCs w:val="21"/>
          <w:highlight w:val="none"/>
        </w:rPr>
        <w:t>文件的</w:t>
      </w:r>
      <w:r>
        <w:rPr>
          <w:rFonts w:hint="eastAsia" w:ascii="宋体" w:hAnsi="宋体"/>
          <w:b/>
          <w:color w:val="auto"/>
          <w:szCs w:val="21"/>
          <w:highlight w:val="none"/>
        </w:rPr>
        <w:t>获取</w:t>
      </w:r>
      <w:bookmarkEnd w:id="49"/>
      <w:bookmarkEnd w:id="50"/>
      <w:bookmarkEnd w:id="51"/>
      <w:bookmarkEnd w:id="52"/>
      <w:bookmarkEnd w:id="53"/>
      <w:bookmarkEnd w:id="54"/>
      <w:bookmarkEnd w:id="55"/>
      <w:bookmarkEnd w:id="56"/>
      <w:bookmarkEnd w:id="57"/>
      <w:bookmarkEnd w:id="58"/>
      <w:bookmarkEnd w:id="59"/>
    </w:p>
    <w:p w14:paraId="0763E02B">
      <w:pPr>
        <w:tabs>
          <w:tab w:val="left" w:pos="900"/>
        </w:tabs>
        <w:adjustRightInd w:val="0"/>
        <w:spacing w:line="360" w:lineRule="auto"/>
        <w:ind w:firstLine="420" w:firstLineChars="200"/>
        <w:rPr>
          <w:rFonts w:hint="eastAsia" w:ascii="宋体" w:hAnsi="宋体" w:cs="Tahoma"/>
          <w:color w:val="auto"/>
          <w:szCs w:val="21"/>
          <w:highlight w:val="none"/>
        </w:rPr>
      </w:pPr>
      <w:bookmarkStart w:id="60" w:name="_Toc9127"/>
      <w:bookmarkStart w:id="61" w:name="_Toc29953"/>
      <w:bookmarkStart w:id="62" w:name="_Toc14871"/>
      <w:bookmarkStart w:id="63" w:name="_Toc28065"/>
      <w:bookmarkStart w:id="64" w:name="_Toc502224207"/>
      <w:bookmarkStart w:id="65" w:name="_Toc530152230"/>
      <w:bookmarkStart w:id="66" w:name="_Toc26186"/>
      <w:bookmarkStart w:id="67" w:name="_Toc12301"/>
      <w:bookmarkStart w:id="68" w:name="_Toc30718"/>
      <w:bookmarkStart w:id="69" w:name="_Toc16105"/>
      <w:bookmarkStart w:id="70" w:name="_Toc27182"/>
      <w:r>
        <w:rPr>
          <w:rFonts w:hint="eastAsia" w:ascii="宋体" w:hAnsi="宋体" w:eastAsia="宋体" w:cs="宋体"/>
          <w:color w:val="auto"/>
          <w:szCs w:val="21"/>
          <w:highlight w:val="none"/>
          <w:lang w:val="en-US" w:eastAsia="zh-CN"/>
        </w:rPr>
        <w:t>（一）</w:t>
      </w:r>
      <w:r>
        <w:rPr>
          <w:rFonts w:hint="eastAsia" w:ascii="宋体" w:hAnsi="宋体" w:cs="Tahoma"/>
          <w:color w:val="auto"/>
          <w:szCs w:val="21"/>
          <w:highlight w:val="none"/>
        </w:rPr>
        <w:t>招标文件的获取：</w:t>
      </w:r>
    </w:p>
    <w:p w14:paraId="654D3A71">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lang w:val="en-US" w:eastAsia="zh-CN"/>
        </w:rPr>
        <w:t>招标</w:t>
      </w:r>
      <w:r>
        <w:rPr>
          <w:rFonts w:hint="eastAsia" w:ascii="宋体" w:hAnsi="宋体" w:cs="Tahoma"/>
          <w:color w:val="auto"/>
          <w:szCs w:val="21"/>
          <w:highlight w:val="none"/>
        </w:rPr>
        <w:t>代理机构只接受已办理报名及登记手续并购买本招标文件的投标人，本公司只接受通过以下方式正式获取招标文件的投标人参加投标招标文件每套售价500.00元（人民币），售后不退。</w:t>
      </w:r>
    </w:p>
    <w:p w14:paraId="289BBE4F">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1）现场获取方式：凡有意参与的潜在投标人，请在规定的时间内提供投标登记资料在</w:t>
      </w:r>
      <w:r>
        <w:rPr>
          <w:rFonts w:hint="eastAsia" w:ascii="宋体" w:hAnsi="宋体" w:cs="Tahoma"/>
          <w:color w:val="auto"/>
          <w:szCs w:val="21"/>
          <w:highlight w:val="none"/>
          <w:lang w:eastAsia="zh-CN"/>
        </w:rPr>
        <w:t>惠州市马庄路9号麦地华夏花园E-E1栋2层</w:t>
      </w:r>
      <w:r>
        <w:rPr>
          <w:rFonts w:hint="eastAsia" w:ascii="宋体" w:hAnsi="宋体" w:cs="Tahoma"/>
          <w:color w:val="auto"/>
          <w:szCs w:val="21"/>
          <w:highlight w:val="none"/>
        </w:rPr>
        <w:t>获取招标文件；</w:t>
      </w:r>
    </w:p>
    <w:p w14:paraId="1259C04D">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2）线上获取方式：凡有意参与的潜在投标人，请在规定的时间内上传报名及登记资料扫描件到gzjiancheng_hz@163.com，并通知招标代理单位15521037664，由招标代理单位线上发放招标文件。</w:t>
      </w:r>
    </w:p>
    <w:p w14:paraId="5F46C954">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招标代理单位只接受通过以上方式正式获取招标文件的投标人参加投标。</w:t>
      </w:r>
    </w:p>
    <w:p w14:paraId="38E182DB">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eastAsia="宋体" w:cs="宋体"/>
          <w:color w:val="auto"/>
          <w:szCs w:val="21"/>
          <w:highlight w:val="none"/>
          <w:lang w:val="en-US" w:eastAsia="zh-CN"/>
        </w:rPr>
        <w:t>（二）</w:t>
      </w:r>
      <w:r>
        <w:rPr>
          <w:rFonts w:hint="eastAsia" w:ascii="宋体" w:hAnsi="宋体"/>
          <w:color w:val="auto"/>
          <w:szCs w:val="21"/>
          <w:highlight w:val="none"/>
        </w:rPr>
        <w:t>招标文件的获取时间</w:t>
      </w:r>
      <w:r>
        <w:rPr>
          <w:rFonts w:hint="eastAsia" w:ascii="宋体" w:hAnsi="宋体" w:cs="Tahoma"/>
          <w:color w:val="auto"/>
          <w:szCs w:val="21"/>
          <w:highlight w:val="none"/>
        </w:rPr>
        <w:t>：</w:t>
      </w:r>
      <w:r>
        <w:rPr>
          <w:rFonts w:hint="eastAsia" w:ascii="宋体" w:hAnsi="宋体" w:cs="Tahoma"/>
          <w:color w:val="auto"/>
          <w:szCs w:val="21"/>
          <w:highlight w:val="none"/>
          <w:lang w:val="en-US" w:eastAsia="zh-CN"/>
        </w:rPr>
        <w:t>2026</w:t>
      </w:r>
      <w:r>
        <w:rPr>
          <w:rFonts w:hint="eastAsia" w:ascii="宋体" w:hAnsi="宋体" w:cs="Tahoma"/>
          <w:color w:val="auto"/>
          <w:szCs w:val="21"/>
          <w:highlight w:val="none"/>
        </w:rPr>
        <w:t>年</w:t>
      </w:r>
      <w:r>
        <w:rPr>
          <w:rFonts w:hint="eastAsia" w:ascii="宋体" w:hAnsi="宋体" w:cs="Tahoma"/>
          <w:color w:val="auto"/>
          <w:szCs w:val="21"/>
          <w:highlight w:val="none"/>
          <w:lang w:val="en-US" w:eastAsia="zh-CN"/>
        </w:rPr>
        <w:t>8</w:t>
      </w:r>
      <w:r>
        <w:rPr>
          <w:rFonts w:hint="eastAsia" w:ascii="宋体" w:hAnsi="宋体" w:cs="Tahoma"/>
          <w:color w:val="auto"/>
          <w:szCs w:val="21"/>
          <w:highlight w:val="none"/>
        </w:rPr>
        <w:t>月</w:t>
      </w:r>
      <w:r>
        <w:rPr>
          <w:rFonts w:hint="eastAsia" w:ascii="宋体" w:hAnsi="宋体" w:cs="Tahoma"/>
          <w:color w:val="auto"/>
          <w:szCs w:val="21"/>
          <w:highlight w:val="none"/>
          <w:lang w:val="en-US" w:eastAsia="zh-CN"/>
        </w:rPr>
        <w:t>25</w:t>
      </w:r>
      <w:r>
        <w:rPr>
          <w:rFonts w:hint="eastAsia" w:ascii="宋体" w:hAnsi="宋体" w:cs="Tahoma"/>
          <w:color w:val="auto"/>
          <w:szCs w:val="21"/>
          <w:highlight w:val="none"/>
        </w:rPr>
        <w:t>日至</w:t>
      </w:r>
      <w:r>
        <w:rPr>
          <w:rFonts w:hint="eastAsia" w:ascii="宋体" w:hAnsi="宋体" w:cs="Tahoma"/>
          <w:color w:val="auto"/>
          <w:szCs w:val="21"/>
          <w:highlight w:val="none"/>
          <w:lang w:val="en-US" w:eastAsia="zh-CN"/>
        </w:rPr>
        <w:t>2026</w:t>
      </w:r>
      <w:r>
        <w:rPr>
          <w:rFonts w:hint="eastAsia" w:ascii="宋体" w:hAnsi="宋体" w:cs="Tahoma"/>
          <w:color w:val="auto"/>
          <w:szCs w:val="21"/>
          <w:highlight w:val="none"/>
        </w:rPr>
        <w:t>年</w:t>
      </w:r>
      <w:r>
        <w:rPr>
          <w:rFonts w:hint="eastAsia" w:ascii="宋体" w:hAnsi="宋体" w:cs="Tahoma"/>
          <w:color w:val="auto"/>
          <w:szCs w:val="21"/>
          <w:highlight w:val="none"/>
          <w:lang w:val="en-US" w:eastAsia="zh-CN"/>
        </w:rPr>
        <w:t>9</w:t>
      </w:r>
      <w:r>
        <w:rPr>
          <w:rFonts w:hint="eastAsia" w:ascii="宋体" w:hAnsi="宋体" w:cs="Tahoma"/>
          <w:color w:val="auto"/>
          <w:szCs w:val="21"/>
          <w:highlight w:val="none"/>
        </w:rPr>
        <w:t>月</w:t>
      </w:r>
      <w:r>
        <w:rPr>
          <w:rFonts w:hint="eastAsia" w:ascii="宋体" w:hAnsi="宋体" w:cs="Tahoma"/>
          <w:color w:val="auto"/>
          <w:szCs w:val="21"/>
          <w:highlight w:val="none"/>
          <w:lang w:val="en-US" w:eastAsia="zh-CN"/>
        </w:rPr>
        <w:t>1</w:t>
      </w:r>
      <w:r>
        <w:rPr>
          <w:rFonts w:hint="eastAsia" w:ascii="宋体" w:hAnsi="宋体" w:cs="Tahoma"/>
          <w:color w:val="auto"/>
          <w:szCs w:val="21"/>
          <w:highlight w:val="none"/>
        </w:rPr>
        <w:t>日，每日上午8:30时至12:00时，下午14:00时至17:30时。</w:t>
      </w:r>
    </w:p>
    <w:p w14:paraId="74AC8BAF">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eastAsia="宋体" w:cs="宋体"/>
          <w:color w:val="auto"/>
          <w:szCs w:val="21"/>
          <w:highlight w:val="none"/>
          <w:lang w:val="en-US" w:eastAsia="zh-CN"/>
        </w:rPr>
        <w:t>（三）</w:t>
      </w:r>
      <w:r>
        <w:rPr>
          <w:rFonts w:hint="eastAsia" w:ascii="宋体" w:hAnsi="宋体" w:cs="Tahoma"/>
          <w:color w:val="auto"/>
          <w:szCs w:val="21"/>
          <w:highlight w:val="none"/>
        </w:rPr>
        <w:t>如未按上述要求获取招标文件的供应商，招标人或招标代理机构将不接收该供应商所递交的投标文件。</w:t>
      </w:r>
    </w:p>
    <w:p w14:paraId="61FEAF47">
      <w:pPr>
        <w:tabs>
          <w:tab w:val="left" w:pos="900"/>
        </w:tabs>
        <w:adjustRightInd w:val="0"/>
        <w:spacing w:line="360" w:lineRule="auto"/>
        <w:ind w:firstLine="420" w:firstLineChars="200"/>
        <w:rPr>
          <w:rFonts w:ascii="宋体" w:hAnsi="宋体" w:cs="Tahoma"/>
          <w:color w:val="auto"/>
          <w:szCs w:val="21"/>
          <w:highlight w:val="none"/>
        </w:rPr>
      </w:pPr>
      <w:r>
        <w:rPr>
          <w:rFonts w:hint="eastAsia" w:ascii="宋体" w:hAnsi="宋体" w:eastAsia="宋体" w:cs="宋体"/>
          <w:color w:val="auto"/>
          <w:szCs w:val="21"/>
          <w:highlight w:val="none"/>
          <w:lang w:val="en-US" w:eastAsia="zh-CN"/>
        </w:rPr>
        <w:t>（四）</w:t>
      </w:r>
      <w:r>
        <w:rPr>
          <w:rFonts w:hint="eastAsia" w:ascii="宋体" w:hAnsi="宋体" w:cs="Tahoma"/>
          <w:color w:val="auto"/>
          <w:szCs w:val="21"/>
          <w:highlight w:val="none"/>
        </w:rPr>
        <w:t>本项目不举行集中答疑会，若有疑问请以书面方式传真、电邮至</w:t>
      </w:r>
      <w:r>
        <w:rPr>
          <w:rFonts w:hint="eastAsia" w:ascii="宋体" w:hAnsi="宋体" w:cs="Tahoma"/>
          <w:color w:val="auto"/>
          <w:szCs w:val="21"/>
          <w:highlight w:val="none"/>
          <w:lang w:val="en-US" w:eastAsia="zh-CN"/>
        </w:rPr>
        <w:t>招标</w:t>
      </w:r>
      <w:r>
        <w:rPr>
          <w:rFonts w:hint="eastAsia" w:ascii="宋体" w:hAnsi="宋体" w:cs="Tahoma"/>
          <w:color w:val="auto"/>
          <w:szCs w:val="21"/>
          <w:highlight w:val="none"/>
        </w:rPr>
        <w:t>代理机构。</w:t>
      </w:r>
    </w:p>
    <w:p w14:paraId="033C3D82">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注：成功获取招标文件不代表投标人通过资格审查，投标人的投标资格最终以资格审查成员小组和评标委员会根据其投标文件中提交的相关资料作出的评审结论为准。</w:t>
      </w:r>
    </w:p>
    <w:p w14:paraId="3B02A261">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eastAsia="宋体" w:cs="宋体"/>
          <w:color w:val="auto"/>
          <w:szCs w:val="21"/>
          <w:highlight w:val="none"/>
          <w:lang w:val="en-US" w:eastAsia="zh-CN"/>
        </w:rPr>
        <w:t>（五）</w:t>
      </w:r>
      <w:r>
        <w:rPr>
          <w:rFonts w:hint="eastAsia" w:ascii="宋体" w:hAnsi="宋体" w:cs="Tahoma"/>
          <w:color w:val="auto"/>
          <w:szCs w:val="21"/>
          <w:highlight w:val="none"/>
        </w:rPr>
        <w:t>获取招标文件时提供以下资料：</w:t>
      </w:r>
    </w:p>
    <w:p w14:paraId="21982613">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w:t>
      </w:r>
      <w:r>
        <w:rPr>
          <w:rFonts w:hint="eastAsia" w:ascii="宋体" w:hAnsi="宋体" w:cs="Tahoma"/>
          <w:color w:val="auto"/>
          <w:szCs w:val="21"/>
          <w:highlight w:val="none"/>
          <w:lang w:val="en-US" w:eastAsia="zh-CN"/>
        </w:rPr>
        <w:t>1</w:t>
      </w:r>
      <w:r>
        <w:rPr>
          <w:rFonts w:hint="eastAsia" w:ascii="宋体" w:hAnsi="宋体" w:cs="Tahoma"/>
          <w:color w:val="auto"/>
          <w:szCs w:val="21"/>
          <w:highlight w:val="none"/>
        </w:rPr>
        <w:t>）附件一：投标登记表。</w:t>
      </w:r>
    </w:p>
    <w:p w14:paraId="1C8DFE14">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w:t>
      </w:r>
      <w:r>
        <w:rPr>
          <w:rFonts w:hint="eastAsia" w:ascii="宋体" w:hAnsi="宋体" w:cs="Tahoma"/>
          <w:color w:val="auto"/>
          <w:szCs w:val="21"/>
          <w:highlight w:val="none"/>
          <w:lang w:val="en-US" w:eastAsia="zh-CN"/>
        </w:rPr>
        <w:t>2</w:t>
      </w:r>
      <w:r>
        <w:rPr>
          <w:rFonts w:hint="eastAsia" w:ascii="宋体" w:hAnsi="宋体" w:cs="Tahoma"/>
          <w:color w:val="auto"/>
          <w:szCs w:val="21"/>
          <w:highlight w:val="none"/>
        </w:rPr>
        <w:t>）法定代表人证明书（加盖公章）；</w:t>
      </w:r>
    </w:p>
    <w:p w14:paraId="38A5B115">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w:t>
      </w:r>
      <w:r>
        <w:rPr>
          <w:rFonts w:hint="eastAsia" w:ascii="宋体" w:hAnsi="宋体" w:cs="Tahoma"/>
          <w:color w:val="auto"/>
          <w:szCs w:val="21"/>
          <w:highlight w:val="none"/>
          <w:lang w:val="en-US" w:eastAsia="zh-CN"/>
        </w:rPr>
        <w:t>3</w:t>
      </w:r>
      <w:r>
        <w:rPr>
          <w:rFonts w:hint="eastAsia" w:ascii="宋体" w:hAnsi="宋体" w:cs="Tahoma"/>
          <w:color w:val="auto"/>
          <w:szCs w:val="21"/>
          <w:highlight w:val="none"/>
        </w:rPr>
        <w:t>）法定代表人授权委托书（加盖公章）；</w:t>
      </w:r>
    </w:p>
    <w:p w14:paraId="60AB1EF9">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w:t>
      </w:r>
      <w:r>
        <w:rPr>
          <w:rFonts w:hint="eastAsia" w:ascii="宋体" w:hAnsi="宋体" w:cs="Tahoma"/>
          <w:color w:val="auto"/>
          <w:szCs w:val="21"/>
          <w:highlight w:val="none"/>
          <w:lang w:val="en-US" w:eastAsia="zh-CN"/>
        </w:rPr>
        <w:t>4</w:t>
      </w:r>
      <w:r>
        <w:rPr>
          <w:rFonts w:hint="eastAsia" w:ascii="宋体" w:hAnsi="宋体" w:cs="Tahoma"/>
          <w:color w:val="auto"/>
          <w:szCs w:val="21"/>
          <w:highlight w:val="none"/>
        </w:rPr>
        <w:t>）营业执照（复印件加盖公章）；</w:t>
      </w:r>
    </w:p>
    <w:p w14:paraId="2FEA0CD0">
      <w:pPr>
        <w:tabs>
          <w:tab w:val="left" w:pos="900"/>
        </w:tabs>
        <w:adjustRightInd w:val="0"/>
        <w:spacing w:line="360" w:lineRule="auto"/>
        <w:ind w:firstLine="420" w:firstLineChars="200"/>
        <w:rPr>
          <w:rFonts w:hint="eastAsia" w:ascii="宋体" w:hAnsi="宋体" w:cs="Tahoma"/>
          <w:color w:val="auto"/>
          <w:szCs w:val="21"/>
          <w:highlight w:val="none"/>
        </w:rPr>
      </w:pPr>
      <w:r>
        <w:rPr>
          <w:rFonts w:hint="eastAsia" w:ascii="宋体" w:hAnsi="宋体" w:cs="Tahoma"/>
          <w:color w:val="auto"/>
          <w:szCs w:val="21"/>
          <w:highlight w:val="none"/>
        </w:rPr>
        <w:t>注：上述要求资料按顺序整理发送至招标代理邮箱。</w:t>
      </w:r>
    </w:p>
    <w:p w14:paraId="6451819C">
      <w:pPr>
        <w:pStyle w:val="9"/>
        <w:snapToGrid w:val="0"/>
        <w:spacing w:before="120" w:beforeLines="50" w:after="120" w:afterLines="50" w:line="360" w:lineRule="auto"/>
        <w:ind w:firstLine="0" w:firstLineChars="0"/>
        <w:outlineLvl w:val="1"/>
        <w:rPr>
          <w:rFonts w:hint="default" w:ascii="宋体" w:hAnsi="宋体" w:eastAsia="宋体"/>
          <w:b/>
          <w:color w:val="auto"/>
          <w:szCs w:val="21"/>
          <w:highlight w:val="none"/>
          <w:lang w:val="en-US" w:eastAsia="zh-CN"/>
        </w:rPr>
      </w:pPr>
      <w:r>
        <w:rPr>
          <w:rFonts w:hint="eastAsia" w:ascii="宋体" w:hAnsi="宋体"/>
          <w:b/>
          <w:color w:val="auto"/>
          <w:szCs w:val="21"/>
          <w:highlight w:val="none"/>
        </w:rPr>
        <w:t>五、</w:t>
      </w:r>
      <w:bookmarkEnd w:id="60"/>
      <w:bookmarkEnd w:id="61"/>
      <w:bookmarkEnd w:id="62"/>
      <w:bookmarkEnd w:id="63"/>
      <w:bookmarkEnd w:id="64"/>
      <w:bookmarkEnd w:id="65"/>
      <w:bookmarkEnd w:id="66"/>
      <w:bookmarkEnd w:id="67"/>
      <w:r>
        <w:rPr>
          <w:rFonts w:hint="eastAsia" w:ascii="宋体" w:hAnsi="宋体"/>
          <w:b/>
          <w:color w:val="auto"/>
          <w:szCs w:val="21"/>
          <w:highlight w:val="none"/>
        </w:rPr>
        <w:t>投标文件的递交</w:t>
      </w:r>
      <w:r>
        <w:rPr>
          <w:rFonts w:hint="eastAsia" w:ascii="宋体" w:hAnsi="宋体"/>
          <w:b/>
          <w:color w:val="auto"/>
          <w:szCs w:val="21"/>
          <w:highlight w:val="none"/>
          <w:lang w:eastAsia="zh-CN"/>
        </w:rPr>
        <w:t>、</w:t>
      </w:r>
      <w:r>
        <w:rPr>
          <w:rFonts w:hint="eastAsia" w:ascii="宋体" w:hAnsi="宋体"/>
          <w:b/>
          <w:color w:val="auto"/>
          <w:szCs w:val="21"/>
          <w:highlight w:val="none"/>
          <w:lang w:val="en-US" w:eastAsia="zh-CN"/>
        </w:rPr>
        <w:t>开标</w:t>
      </w:r>
      <w:bookmarkEnd w:id="68"/>
      <w:bookmarkEnd w:id="69"/>
      <w:bookmarkEnd w:id="70"/>
    </w:p>
    <w:p w14:paraId="5428CB86">
      <w:pPr>
        <w:pStyle w:val="10"/>
        <w:spacing w:line="360" w:lineRule="auto"/>
        <w:rPr>
          <w:rFonts w:hint="eastAsia" w:ascii="宋体" w:hAnsi="宋体" w:cs="宋体"/>
          <w:color w:val="000000"/>
          <w:szCs w:val="24"/>
          <w:highlight w:val="none"/>
        </w:rPr>
      </w:pPr>
      <w:bookmarkStart w:id="71" w:name="_Toc21346"/>
      <w:bookmarkStart w:id="72" w:name="_Toc15864"/>
      <w:r>
        <w:rPr>
          <w:rFonts w:hint="eastAsia" w:ascii="宋体" w:hAnsi="宋体" w:cs="宋体"/>
          <w:color w:val="000000"/>
          <w:szCs w:val="24"/>
          <w:highlight w:val="none"/>
        </w:rPr>
        <w:t>本项目采用</w:t>
      </w:r>
      <w:r>
        <w:rPr>
          <w:rFonts w:hint="eastAsia" w:ascii="宋体" w:hAnsi="宋体" w:cs="宋体"/>
          <w:b/>
          <w:bCs/>
          <w:color w:val="000000"/>
          <w:szCs w:val="24"/>
          <w:highlight w:val="none"/>
        </w:rPr>
        <w:t>线下纸质投标</w:t>
      </w:r>
      <w:r>
        <w:rPr>
          <w:rFonts w:hint="eastAsia" w:ascii="宋体" w:hAnsi="宋体" w:cs="宋体"/>
          <w:color w:val="000000"/>
          <w:szCs w:val="24"/>
          <w:highlight w:val="none"/>
        </w:rPr>
        <w:t>。</w:t>
      </w:r>
      <w:r>
        <w:rPr>
          <w:rFonts w:hint="eastAsia" w:ascii="宋体" w:hAnsi="宋体" w:cs="宋体"/>
          <w:color w:val="000000"/>
          <w:szCs w:val="21"/>
          <w:highlight w:val="none"/>
        </w:rPr>
        <w:t>投标文件提交的截止时间为</w:t>
      </w:r>
      <w:r>
        <w:rPr>
          <w:rFonts w:hint="eastAsia" w:ascii="宋体" w:hAnsi="宋体" w:cs="宋体"/>
          <w:color w:val="000000"/>
          <w:szCs w:val="21"/>
          <w:highlight w:val="none"/>
          <w:u w:val="single"/>
        </w:rPr>
        <w:t>202</w:t>
      </w:r>
      <w:r>
        <w:rPr>
          <w:rFonts w:hint="eastAsia" w:ascii="宋体" w:hAnsi="宋体" w:cs="宋体"/>
          <w:color w:val="000000"/>
          <w:szCs w:val="21"/>
          <w:highlight w:val="none"/>
          <w:u w:val="single"/>
          <w:lang w:val="en-US" w:eastAsia="zh-CN"/>
        </w:rPr>
        <w:t>6</w:t>
      </w:r>
      <w:r>
        <w:rPr>
          <w:rFonts w:hint="eastAsia" w:ascii="宋体" w:hAnsi="宋体" w:cs="宋体"/>
          <w:color w:val="000000"/>
          <w:szCs w:val="21"/>
          <w:highlight w:val="none"/>
        </w:rPr>
        <w:t>年</w:t>
      </w:r>
      <w:r>
        <w:rPr>
          <w:rFonts w:hint="eastAsia" w:ascii="宋体" w:hAnsi="宋体" w:cs="宋体"/>
          <w:color w:val="000000"/>
          <w:szCs w:val="21"/>
          <w:highlight w:val="none"/>
          <w:u w:val="single"/>
          <w:lang w:val="en-US" w:eastAsia="zh-CN"/>
        </w:rPr>
        <w:t>9</w:t>
      </w:r>
      <w:r>
        <w:rPr>
          <w:rFonts w:hint="eastAsia" w:ascii="宋体" w:hAnsi="宋体" w:cs="宋体"/>
          <w:color w:val="000000"/>
          <w:szCs w:val="21"/>
          <w:highlight w:val="none"/>
        </w:rPr>
        <w:t>月</w:t>
      </w:r>
      <w:r>
        <w:rPr>
          <w:rFonts w:hint="eastAsia" w:ascii="宋体" w:hAnsi="宋体" w:cs="宋体"/>
          <w:color w:val="000000"/>
          <w:szCs w:val="21"/>
          <w:highlight w:val="none"/>
          <w:u w:val="single"/>
          <w:lang w:val="en-US" w:eastAsia="zh-CN"/>
        </w:rPr>
        <w:t>15</w:t>
      </w:r>
      <w:r>
        <w:rPr>
          <w:rFonts w:hint="eastAsia" w:ascii="宋体" w:hAnsi="宋体" w:cs="宋体"/>
          <w:color w:val="000000"/>
          <w:szCs w:val="21"/>
          <w:highlight w:val="none"/>
        </w:rPr>
        <w:t>日</w:t>
      </w:r>
      <w:r>
        <w:rPr>
          <w:rFonts w:hint="eastAsia" w:ascii="宋体" w:hAnsi="宋体" w:cs="宋体"/>
          <w:color w:val="000000"/>
          <w:szCs w:val="21"/>
          <w:highlight w:val="none"/>
          <w:u w:val="single"/>
          <w:lang w:val="en-US" w:eastAsia="zh-CN"/>
        </w:rPr>
        <w:t>09</w:t>
      </w:r>
      <w:r>
        <w:rPr>
          <w:rFonts w:hint="eastAsia" w:ascii="宋体" w:hAnsi="宋体" w:cs="宋体"/>
          <w:color w:val="000000"/>
          <w:szCs w:val="21"/>
          <w:highlight w:val="none"/>
        </w:rPr>
        <w:t>时</w:t>
      </w:r>
      <w:r>
        <w:rPr>
          <w:rFonts w:hint="eastAsia" w:ascii="宋体" w:hAnsi="宋体" w:cs="宋体"/>
          <w:color w:val="000000"/>
          <w:szCs w:val="21"/>
          <w:highlight w:val="none"/>
          <w:u w:val="single"/>
          <w:lang w:val="en-US" w:eastAsia="zh-CN"/>
        </w:rPr>
        <w:t>30</w:t>
      </w:r>
      <w:r>
        <w:rPr>
          <w:rFonts w:hint="eastAsia" w:ascii="宋体" w:hAnsi="宋体" w:cs="宋体"/>
          <w:color w:val="000000"/>
          <w:szCs w:val="21"/>
          <w:highlight w:val="none"/>
        </w:rPr>
        <w:t>分，提交到</w:t>
      </w:r>
      <w:r>
        <w:rPr>
          <w:rFonts w:hint="eastAsia" w:ascii="宋体" w:hAnsi="宋体" w:cs="宋体"/>
          <w:b/>
          <w:bCs/>
          <w:color w:val="000000"/>
          <w:szCs w:val="21"/>
          <w:highlight w:val="none"/>
          <w:lang w:val="en-US" w:eastAsia="zh-CN"/>
        </w:rPr>
        <w:t>惠州市马庄路9号麦地华夏花园E-E1栋2层</w:t>
      </w:r>
      <w:r>
        <w:rPr>
          <w:rFonts w:hint="eastAsia" w:ascii="宋体" w:hAnsi="宋体" w:cs="宋体"/>
          <w:color w:val="000000"/>
          <w:szCs w:val="21"/>
          <w:highlight w:val="none"/>
        </w:rPr>
        <w:t>。</w:t>
      </w:r>
      <w:r>
        <w:rPr>
          <w:rFonts w:hint="eastAsia" w:ascii="宋体" w:hAnsi="宋体" w:cs="宋体"/>
          <w:color w:val="000000"/>
          <w:szCs w:val="24"/>
          <w:highlight w:val="none"/>
        </w:rPr>
        <w:t>逾期送达的、未送达指定地点的、不按照招标文件要求密封或者未按本公告要求获得本项目对应标包（如划分标包）招标文件的投标文件，招标人将予以拒收。</w:t>
      </w:r>
    </w:p>
    <w:p w14:paraId="4EE6F76F">
      <w:pPr>
        <w:snapToGrid w:val="0"/>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本次开标将于上述投标截止的同一时间、地点公开进行，届时将邀请投标人的授权代表携带本人身份证参加。</w:t>
      </w:r>
    </w:p>
    <w:p w14:paraId="26BF88BE">
      <w:pPr>
        <w:pStyle w:val="10"/>
        <w:spacing w:line="360" w:lineRule="auto"/>
        <w:ind w:left="199" w:leftChars="95" w:firstLine="211" w:firstLineChars="100"/>
        <w:rPr>
          <w:rFonts w:hint="eastAsia" w:ascii="宋体" w:hAnsi="宋体" w:cs="宋体"/>
          <w:color w:val="000000"/>
          <w:szCs w:val="21"/>
          <w:highlight w:val="none"/>
          <w:lang w:val="en-US" w:eastAsia="zh-CN"/>
        </w:rPr>
      </w:pPr>
      <w:r>
        <w:rPr>
          <w:rFonts w:hint="eastAsia" w:ascii="宋体" w:hAnsi="宋体" w:cs="宋体"/>
          <w:b/>
          <w:bCs/>
          <w:color w:val="000000"/>
          <w:szCs w:val="21"/>
          <w:highlight w:val="none"/>
          <w:lang w:val="en-US" w:eastAsia="zh-CN"/>
        </w:rPr>
        <w:t>邮寄方式</w:t>
      </w:r>
      <w:r>
        <w:rPr>
          <w:rFonts w:hint="eastAsia" w:ascii="宋体" w:hAnsi="宋体" w:cs="宋体"/>
          <w:color w:val="000000"/>
          <w:szCs w:val="21"/>
          <w:highlight w:val="none"/>
          <w:lang w:val="en-US" w:eastAsia="zh-CN"/>
        </w:rPr>
        <w:t>（投标人开标无需到现场。</w:t>
      </w:r>
      <w:r>
        <w:rPr>
          <w:rFonts w:hint="eastAsia" w:ascii="宋体" w:hAnsi="宋体" w:cs="宋体"/>
          <w:color w:val="auto"/>
          <w:szCs w:val="21"/>
          <w:highlight w:val="none"/>
          <w:lang w:val="en-US" w:eastAsia="zh-CN"/>
        </w:rPr>
        <w:t>顺丰快递邮寄，不接受其他快递公司及到付）</w:t>
      </w:r>
      <w:r>
        <w:rPr>
          <w:rFonts w:hint="eastAsia" w:ascii="宋体" w:hAnsi="宋体" w:cs="宋体"/>
          <w:color w:val="000000"/>
          <w:szCs w:val="21"/>
          <w:highlight w:val="none"/>
          <w:lang w:val="en-US" w:eastAsia="zh-CN"/>
        </w:rPr>
        <w:t>：在投标截止时间前，以密封形式递交至:</w:t>
      </w:r>
      <w:r>
        <w:rPr>
          <w:rFonts w:hint="eastAsia" w:ascii="宋体" w:hAnsi="宋体" w:cs="宋体"/>
          <w:color w:val="000000"/>
          <w:szCs w:val="21"/>
          <w:highlight w:val="none"/>
          <w:u w:val="single"/>
          <w:lang w:eastAsia="zh-CN"/>
        </w:rPr>
        <w:t>惠州市马庄路9号麦地华夏花园E-E1栋2层</w:t>
      </w:r>
      <w:r>
        <w:rPr>
          <w:rFonts w:hint="eastAsia" w:ascii="宋体" w:hAnsi="宋体" w:cs="宋体"/>
          <w:color w:val="000000"/>
          <w:szCs w:val="21"/>
          <w:highlight w:val="none"/>
          <w:lang w:val="en-US" w:eastAsia="zh-CN"/>
        </w:rPr>
        <w:t>。(投标文件可采用提前邮寄的形式非现场递交投标文件，接收人为项目联系人何嘉乐/15521037664，邮寄地址:</w:t>
      </w:r>
      <w:r>
        <w:rPr>
          <w:rFonts w:hint="eastAsia" w:ascii="宋体" w:hAnsi="宋体" w:cs="宋体"/>
          <w:color w:val="000000"/>
          <w:szCs w:val="21"/>
          <w:highlight w:val="none"/>
          <w:u w:val="single"/>
          <w:lang w:eastAsia="zh-CN"/>
        </w:rPr>
        <w:t>惠州市马庄路9号麦地华夏花园E-E1栋2层</w:t>
      </w:r>
      <w:r>
        <w:rPr>
          <w:rFonts w:hint="eastAsia" w:ascii="宋体" w:hAnsi="宋体" w:cs="宋体"/>
          <w:color w:val="000000"/>
          <w:szCs w:val="21"/>
          <w:highlight w:val="none"/>
          <w:lang w:val="en-US" w:eastAsia="zh-CN"/>
        </w:rPr>
        <w:t>,寄出后请把项目名称、项目编号、公司名称及邮寄单号发送至(gzjiancheng_hz@163.com)并电话通知项目联系人，快递外包装请备注 项日名称“兴业银行惠州分行关于惠州市公共资源交易中心惠城分中心、仲恺分中心网上交易平台对接项目”+供应商名称，以便工作人员及时查收。)招标人及招标代理机构对邮寄过程中的延误遗失及损毁不负责任，投标人应自行承担纸质投标文件在截止时间前完整送达招标代理的责任。</w:t>
      </w:r>
    </w:p>
    <w:p w14:paraId="7C52C96E">
      <w:pPr>
        <w:pStyle w:val="9"/>
        <w:snapToGrid w:val="0"/>
        <w:spacing w:before="120" w:beforeLines="50" w:after="120" w:afterLines="50" w:line="360" w:lineRule="auto"/>
        <w:ind w:firstLine="0" w:firstLineChars="0"/>
        <w:outlineLvl w:val="1"/>
        <w:rPr>
          <w:rFonts w:hint="eastAsia" w:ascii="宋体" w:hAnsi="宋体"/>
          <w:b/>
          <w:color w:val="auto"/>
          <w:szCs w:val="21"/>
          <w:highlight w:val="none"/>
        </w:rPr>
      </w:pPr>
      <w:r>
        <w:rPr>
          <w:rFonts w:hint="eastAsia" w:ascii="宋体" w:hAnsi="宋体"/>
          <w:b/>
          <w:color w:val="auto"/>
          <w:szCs w:val="21"/>
          <w:highlight w:val="none"/>
        </w:rPr>
        <w:t>六、发布公告的媒介</w:t>
      </w:r>
      <w:bookmarkEnd w:id="42"/>
      <w:bookmarkEnd w:id="43"/>
      <w:bookmarkEnd w:id="44"/>
      <w:bookmarkEnd w:id="45"/>
      <w:bookmarkEnd w:id="46"/>
      <w:bookmarkEnd w:id="47"/>
      <w:bookmarkEnd w:id="48"/>
      <w:bookmarkEnd w:id="71"/>
      <w:bookmarkEnd w:id="72"/>
    </w:p>
    <w:p w14:paraId="48CD6112">
      <w:pPr>
        <w:spacing w:line="360" w:lineRule="auto"/>
        <w:ind w:firstLine="420" w:firstLineChars="200"/>
        <w:rPr>
          <w:rFonts w:hint="eastAsia" w:ascii="宋体" w:hAnsi="宋体" w:cs="宋体"/>
          <w:color w:val="000000"/>
          <w:szCs w:val="21"/>
          <w:highlight w:val="none"/>
        </w:rPr>
      </w:pPr>
      <w:bookmarkStart w:id="73" w:name="_Toc19815"/>
      <w:bookmarkStart w:id="74" w:name="_Toc4414"/>
      <w:bookmarkStart w:id="75" w:name="_Toc16334"/>
      <w:bookmarkStart w:id="76" w:name="_Toc14004"/>
      <w:bookmarkStart w:id="77" w:name="_Toc17508"/>
      <w:bookmarkStart w:id="78" w:name="_Toc31459"/>
      <w:bookmarkStart w:id="79" w:name="_Toc14478"/>
      <w:bookmarkStart w:id="80" w:name="_Toc14043"/>
      <w:bookmarkStart w:id="81" w:name="_Toc11654"/>
      <w:bookmarkStart w:id="82" w:name="_Toc478631193"/>
      <w:bookmarkStart w:id="83" w:name="_Toc1819"/>
      <w:r>
        <w:rPr>
          <w:rFonts w:hint="eastAsia" w:ascii="宋体" w:hAnsi="宋体" w:cs="宋体"/>
          <w:color w:val="000000"/>
          <w:szCs w:val="21"/>
          <w:highlight w:val="none"/>
        </w:rPr>
        <w:t>本</w:t>
      </w:r>
      <w:r>
        <w:rPr>
          <w:rFonts w:hint="eastAsia" w:ascii="宋体" w:hAnsi="宋体" w:cs="宋体"/>
          <w:color w:val="000000"/>
          <w:highlight w:val="none"/>
        </w:rPr>
        <w:t>公示或公告的发布、修改、补充同时建成工程咨询股份有限公司（http://www.gzjc.com.cn）</w:t>
      </w:r>
      <w:r>
        <w:rPr>
          <w:rFonts w:hint="eastAsia" w:ascii="宋体" w:hAnsi="宋体" w:cs="宋体"/>
          <w:color w:val="000000"/>
          <w:highlight w:val="none"/>
          <w:lang w:eastAsia="zh-CN"/>
        </w:rPr>
        <w:t>、</w:t>
      </w:r>
      <w:r>
        <w:rPr>
          <w:rFonts w:hint="eastAsia" w:ascii="宋体" w:hAnsi="宋体" w:cs="宋体"/>
          <w:color w:val="000000"/>
          <w:highlight w:val="none"/>
        </w:rPr>
        <w:t>中国招标投标公共服务平台（http://www.cebpubservice.com）</w:t>
      </w:r>
      <w:r>
        <w:rPr>
          <w:rFonts w:hint="eastAsia" w:ascii="宋体" w:hAnsi="宋体" w:cs="宋体"/>
          <w:color w:val="000000"/>
          <w:highlight w:val="none"/>
          <w:lang w:eastAsia="zh-CN"/>
        </w:rPr>
        <w:t>、</w:t>
      </w:r>
      <w:r>
        <w:rPr>
          <w:rFonts w:hint="eastAsia" w:ascii="宋体" w:hAnsi="宋体" w:cs="宋体"/>
          <w:color w:val="000000"/>
          <w:highlight w:val="none"/>
        </w:rPr>
        <w:t>中招联合招标采购网（http://www.365trade.com.cn/）</w:t>
      </w:r>
      <w:r>
        <w:rPr>
          <w:rFonts w:hint="eastAsia" w:ascii="宋体" w:hAnsi="宋体" w:cs="宋体"/>
          <w:color w:val="000000"/>
          <w:szCs w:val="21"/>
          <w:highlight w:val="none"/>
        </w:rPr>
        <w:t>、中国金融集中采购网</w:t>
      </w:r>
      <w:r>
        <w:rPr>
          <w:rFonts w:hint="eastAsia" w:ascii="宋体" w:hAnsi="宋体" w:cs="宋体"/>
          <w:color w:val="000000"/>
          <w:highlight w:val="none"/>
        </w:rPr>
        <w:t>（http://www.cfcpn.com）网站上发布。</w:t>
      </w:r>
    </w:p>
    <w:p w14:paraId="03DA7C65">
      <w:pPr>
        <w:pStyle w:val="9"/>
        <w:snapToGrid w:val="0"/>
        <w:spacing w:before="120" w:beforeLines="50" w:after="120" w:afterLines="50" w:line="360" w:lineRule="auto"/>
        <w:ind w:firstLine="0" w:firstLineChars="0"/>
        <w:outlineLvl w:val="1"/>
        <w:rPr>
          <w:rStyle w:val="12"/>
          <w:rFonts w:hint="eastAsia" w:cs="宋体"/>
          <w:color w:val="auto"/>
          <w:szCs w:val="21"/>
          <w:highlight w:val="none"/>
        </w:rPr>
      </w:pPr>
      <w:r>
        <w:rPr>
          <w:rFonts w:hint="eastAsia" w:ascii="宋体" w:hAnsi="宋体"/>
          <w:b/>
          <w:color w:val="auto"/>
          <w:szCs w:val="21"/>
          <w:highlight w:val="none"/>
        </w:rPr>
        <w:t>七、联系</w:t>
      </w:r>
      <w:r>
        <w:rPr>
          <w:rFonts w:hint="eastAsia" w:ascii="宋体" w:hAnsi="宋体" w:cs="宋体"/>
          <w:b/>
          <w:color w:val="auto"/>
          <w:szCs w:val="21"/>
          <w:highlight w:val="none"/>
        </w:rPr>
        <w:t>方式</w:t>
      </w:r>
      <w:bookmarkEnd w:id="73"/>
      <w:bookmarkEnd w:id="74"/>
      <w:bookmarkEnd w:id="75"/>
      <w:bookmarkEnd w:id="76"/>
      <w:bookmarkEnd w:id="77"/>
      <w:bookmarkEnd w:id="78"/>
      <w:bookmarkEnd w:id="79"/>
      <w:bookmarkEnd w:id="80"/>
      <w:bookmarkEnd w:id="81"/>
      <w:bookmarkEnd w:id="82"/>
      <w:bookmarkEnd w:id="83"/>
    </w:p>
    <w:p w14:paraId="37654724">
      <w:pPr>
        <w:topLinePunct/>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招 标 人：</w:t>
      </w:r>
      <w:r>
        <w:rPr>
          <w:rFonts w:hint="eastAsia" w:ascii="宋体" w:hAnsi="宋体" w:cs="宋体"/>
          <w:color w:val="000000"/>
          <w:szCs w:val="21"/>
          <w:highlight w:val="none"/>
          <w:u w:val="single"/>
          <w:lang w:eastAsia="zh-CN"/>
        </w:rPr>
        <w:t>兴业银行股份有限公司惠州分行</w:t>
      </w:r>
      <w:r>
        <w:rPr>
          <w:rFonts w:hint="eastAsia" w:ascii="宋体" w:hAnsi="宋体" w:cs="宋体"/>
          <w:color w:val="000000"/>
          <w:szCs w:val="21"/>
          <w:highlight w:val="none"/>
        </w:rPr>
        <w:t xml:space="preserve">         </w:t>
      </w:r>
    </w:p>
    <w:p w14:paraId="18E5CFAA">
      <w:pPr>
        <w:topLinePunct/>
        <w:spacing w:line="360" w:lineRule="auto"/>
        <w:ind w:firstLine="420" w:firstLineChars="200"/>
        <w:rPr>
          <w:rFonts w:hint="eastAsia" w:ascii="宋体" w:hAnsi="宋体" w:cs="宋体"/>
          <w:color w:val="000000"/>
          <w:szCs w:val="21"/>
          <w:highlight w:val="none"/>
          <w:u w:val="single"/>
        </w:rPr>
      </w:pPr>
      <w:r>
        <w:rPr>
          <w:rFonts w:hint="eastAsia" w:ascii="宋体" w:hAnsi="宋体" w:cs="宋体"/>
          <w:color w:val="000000"/>
          <w:szCs w:val="21"/>
          <w:highlight w:val="none"/>
        </w:rPr>
        <w:t>地    址：</w:t>
      </w:r>
      <w:r>
        <w:rPr>
          <w:rFonts w:hint="eastAsia" w:ascii="宋体" w:hAnsi="宋体" w:eastAsia="宋体" w:cs="宋体"/>
          <w:bCs/>
          <w:color w:val="000000"/>
          <w:szCs w:val="21"/>
          <w:highlight w:val="none"/>
          <w:u w:val="single"/>
          <w:lang w:eastAsia="zh-CN"/>
        </w:rPr>
        <w:t>惠州市惠城区江北街道办事处文昌一路5号荣灿中心综合楼二期（商业、办公、科研）1层02-03号、2层、</w:t>
      </w:r>
      <w:r>
        <w:rPr>
          <w:rFonts w:hint="eastAsia" w:ascii="宋体" w:hAnsi="宋体" w:cs="宋体"/>
          <w:bCs/>
          <w:color w:val="000000"/>
          <w:szCs w:val="21"/>
          <w:highlight w:val="none"/>
          <w:u w:val="single"/>
          <w:lang w:eastAsia="zh-CN"/>
        </w:rPr>
        <w:t>23-27层</w:t>
      </w:r>
      <w:r>
        <w:rPr>
          <w:rFonts w:hint="eastAsia" w:ascii="宋体" w:hAnsi="宋体" w:cs="宋体"/>
          <w:color w:val="000000"/>
          <w:szCs w:val="21"/>
          <w:highlight w:val="none"/>
        </w:rPr>
        <w:t xml:space="preserve">             </w:t>
      </w:r>
      <w:bookmarkStart w:id="87" w:name="_GoBack"/>
      <w:bookmarkEnd w:id="87"/>
    </w:p>
    <w:p w14:paraId="1ECAC737">
      <w:pPr>
        <w:spacing w:line="360" w:lineRule="auto"/>
        <w:ind w:firstLine="420" w:firstLineChars="200"/>
        <w:rPr>
          <w:rFonts w:hint="default" w:ascii="宋体" w:hAnsi="宋体" w:cs="宋体"/>
          <w:color w:val="000000"/>
          <w:szCs w:val="21"/>
          <w:highlight w:val="none"/>
          <w:u w:val="single"/>
          <w:lang w:val="en-US"/>
        </w:rPr>
      </w:pPr>
      <w:r>
        <w:rPr>
          <w:rFonts w:hint="eastAsia" w:ascii="宋体" w:hAnsi="宋体" w:cs="宋体"/>
          <w:color w:val="000000"/>
          <w:szCs w:val="21"/>
          <w:highlight w:val="none"/>
          <w:lang w:eastAsia="zh-CN"/>
        </w:rPr>
        <w:t>联</w:t>
      </w:r>
      <w:r>
        <w:rPr>
          <w:rFonts w:hint="eastAsia" w:ascii="宋体" w:hAnsi="宋体" w:cs="宋体"/>
          <w:color w:val="000000"/>
          <w:szCs w:val="21"/>
          <w:highlight w:val="none"/>
        </w:rPr>
        <w:t xml:space="preserve"> </w:t>
      </w:r>
      <w:r>
        <w:rPr>
          <w:rFonts w:hint="eastAsia" w:ascii="宋体" w:hAnsi="宋体" w:cs="宋体"/>
          <w:color w:val="000000"/>
          <w:szCs w:val="21"/>
          <w:highlight w:val="none"/>
          <w:lang w:eastAsia="zh-CN"/>
        </w:rPr>
        <w:t>系</w:t>
      </w:r>
      <w:r>
        <w:rPr>
          <w:rFonts w:hint="eastAsia" w:ascii="宋体" w:hAnsi="宋体" w:cs="宋体"/>
          <w:color w:val="000000"/>
          <w:szCs w:val="21"/>
          <w:highlight w:val="none"/>
        </w:rPr>
        <w:t xml:space="preserve"> 人：</w:t>
      </w:r>
      <w:r>
        <w:rPr>
          <w:rFonts w:hint="eastAsia" w:ascii="宋体" w:hAnsi="宋体" w:eastAsia="宋体" w:cs="宋体"/>
          <w:b w:val="0"/>
          <w:bCs w:val="0"/>
          <w:color w:val="auto"/>
          <w:highlight w:val="none"/>
          <w:u w:val="single"/>
          <w:lang w:val="en-US" w:eastAsia="zh-CN"/>
        </w:rPr>
        <w:t>黎先生 0752-2381637</w:t>
      </w:r>
      <w:r>
        <w:rPr>
          <w:rFonts w:hint="eastAsia" w:ascii="宋体" w:hAnsi="宋体" w:eastAsia="宋体" w:cs="宋体"/>
          <w:color w:val="auto"/>
          <w:sz w:val="21"/>
          <w:szCs w:val="18"/>
          <w:highlight w:val="none"/>
          <w:u w:val="single"/>
          <w:lang w:val="en-US" w:eastAsia="zh-CN"/>
        </w:rPr>
        <w:t>（工作日9:00～12:00，14:30～17:30）</w:t>
      </w:r>
    </w:p>
    <w:p w14:paraId="72600C95">
      <w:pPr>
        <w:spacing w:line="360" w:lineRule="auto"/>
        <w:ind w:firstLine="420" w:firstLineChars="200"/>
        <w:rPr>
          <w:rFonts w:hint="eastAsia" w:ascii="宋体" w:hAnsi="宋体" w:cs="宋体"/>
          <w:color w:val="000000"/>
          <w:szCs w:val="21"/>
          <w:highlight w:val="none"/>
        </w:rPr>
      </w:pPr>
    </w:p>
    <w:p w14:paraId="244B3B8E">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招标代理机构：</w:t>
      </w:r>
      <w:r>
        <w:rPr>
          <w:rFonts w:hint="eastAsia" w:ascii="宋体" w:hAnsi="宋体" w:cs="宋体"/>
          <w:color w:val="000000"/>
          <w:szCs w:val="21"/>
          <w:highlight w:val="none"/>
          <w:u w:val="single"/>
        </w:rPr>
        <w:t xml:space="preserve">建成工程咨询股份有限公司 </w:t>
      </w:r>
      <w:r>
        <w:rPr>
          <w:rFonts w:hint="eastAsia" w:ascii="宋体" w:hAnsi="宋体" w:cs="宋体"/>
          <w:color w:val="000000"/>
          <w:szCs w:val="21"/>
          <w:highlight w:val="none"/>
        </w:rPr>
        <w:t xml:space="preserve">     </w:t>
      </w:r>
    </w:p>
    <w:p w14:paraId="273EDD52">
      <w:pPr>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地        址：</w:t>
      </w:r>
      <w:r>
        <w:rPr>
          <w:rFonts w:hint="eastAsia" w:ascii="宋体" w:hAnsi="宋体" w:cs="宋体"/>
          <w:color w:val="000000"/>
          <w:szCs w:val="21"/>
          <w:highlight w:val="none"/>
          <w:u w:val="single"/>
          <w:lang w:eastAsia="zh-CN"/>
        </w:rPr>
        <w:t>惠州市马庄路9号麦地华夏花园E-E1栋2层</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p>
    <w:p w14:paraId="42288E04">
      <w:pPr>
        <w:topLinePunct/>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邮        编：</w:t>
      </w:r>
      <w:r>
        <w:rPr>
          <w:rFonts w:hint="eastAsia" w:ascii="宋体" w:hAnsi="宋体" w:cs="宋体"/>
          <w:color w:val="000000"/>
          <w:szCs w:val="21"/>
          <w:highlight w:val="none"/>
          <w:u w:val="single"/>
        </w:rPr>
        <w:t xml:space="preserve"> 51</w:t>
      </w:r>
      <w:r>
        <w:rPr>
          <w:rFonts w:hint="eastAsia" w:ascii="宋体" w:hAnsi="宋体" w:cs="宋体"/>
          <w:color w:val="000000"/>
          <w:szCs w:val="21"/>
          <w:highlight w:val="none"/>
          <w:u w:val="single"/>
          <w:lang w:val="en-US" w:eastAsia="zh-CN"/>
        </w:rPr>
        <w:t>60</w:t>
      </w:r>
      <w:r>
        <w:rPr>
          <w:rFonts w:hint="eastAsia" w:ascii="宋体" w:hAnsi="宋体" w:cs="宋体"/>
          <w:color w:val="000000"/>
          <w:szCs w:val="21"/>
          <w:highlight w:val="none"/>
          <w:u w:val="single"/>
        </w:rPr>
        <w:t>00</w:t>
      </w:r>
      <w:r>
        <w:rPr>
          <w:rFonts w:hint="eastAsia" w:ascii="宋体" w:hAnsi="宋体" w:cs="宋体"/>
          <w:color w:val="000000"/>
          <w:szCs w:val="21"/>
          <w:highlight w:val="none"/>
        </w:rPr>
        <w:t xml:space="preserve">                           </w:t>
      </w:r>
    </w:p>
    <w:p w14:paraId="40C1122E">
      <w:pPr>
        <w:topLinePunct/>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rPr>
        <w:t>项目</w:t>
      </w:r>
      <w:r>
        <w:rPr>
          <w:rFonts w:hint="eastAsia" w:ascii="宋体" w:hAnsi="宋体" w:cs="宋体"/>
          <w:color w:val="000000"/>
          <w:szCs w:val="21"/>
          <w:highlight w:val="none"/>
          <w:lang w:val="en-US" w:eastAsia="zh-CN"/>
        </w:rPr>
        <w:t>负责</w:t>
      </w:r>
      <w:r>
        <w:rPr>
          <w:rFonts w:hint="eastAsia" w:ascii="宋体" w:hAnsi="宋体" w:cs="宋体"/>
          <w:color w:val="000000"/>
          <w:szCs w:val="21"/>
          <w:highlight w:val="none"/>
        </w:rPr>
        <w:t xml:space="preserve">人： </w:t>
      </w:r>
      <w:r>
        <w:rPr>
          <w:rFonts w:hint="eastAsia" w:ascii="宋体" w:hAnsi="宋体" w:cs="宋体"/>
          <w:color w:val="000000"/>
          <w:szCs w:val="21"/>
          <w:highlight w:val="none"/>
          <w:u w:val="single"/>
          <w:lang w:val="en-US" w:eastAsia="zh-CN"/>
        </w:rPr>
        <w:t>何嘉乐、容志雄、庄文华、彭丽华、雷子安、胡金金、冯航</w:t>
      </w:r>
      <w:r>
        <w:rPr>
          <w:rFonts w:hint="eastAsia" w:ascii="宋体" w:hAnsi="宋体" w:cs="宋体"/>
          <w:color w:val="000000"/>
          <w:szCs w:val="21"/>
          <w:highlight w:val="none"/>
          <w:u w:val="single"/>
        </w:rPr>
        <w:t xml:space="preserve">    </w:t>
      </w:r>
      <w:r>
        <w:rPr>
          <w:rFonts w:hint="eastAsia" w:ascii="宋体" w:hAnsi="宋体" w:cs="宋体"/>
          <w:color w:val="000000"/>
          <w:szCs w:val="21"/>
          <w:highlight w:val="none"/>
        </w:rPr>
        <w:t xml:space="preserve">                    </w:t>
      </w:r>
    </w:p>
    <w:p w14:paraId="5D3F8FA8">
      <w:pPr>
        <w:topLinePunct/>
        <w:spacing w:line="360" w:lineRule="auto"/>
        <w:ind w:firstLine="420" w:firstLineChars="200"/>
        <w:rPr>
          <w:rFonts w:hint="eastAsia" w:ascii="宋体" w:hAnsi="宋体" w:cs="宋体"/>
          <w:color w:val="000000"/>
          <w:szCs w:val="21"/>
          <w:highlight w:val="none"/>
        </w:rPr>
      </w:pPr>
      <w:r>
        <w:rPr>
          <w:rFonts w:hint="eastAsia" w:ascii="宋体" w:hAnsi="宋体" w:cs="宋体"/>
          <w:color w:val="000000"/>
          <w:szCs w:val="21"/>
          <w:highlight w:val="none"/>
          <w:lang w:val="en-US" w:eastAsia="zh-CN"/>
        </w:rPr>
        <w:t>项目联系人</w:t>
      </w:r>
      <w:r>
        <w:rPr>
          <w:rFonts w:hint="eastAsia" w:ascii="宋体" w:hAnsi="宋体" w:cs="宋体"/>
          <w:color w:val="000000"/>
          <w:szCs w:val="21"/>
          <w:highlight w:val="none"/>
        </w:rPr>
        <w:t>：</w:t>
      </w:r>
      <w:r>
        <w:rPr>
          <w:rFonts w:hint="eastAsia" w:ascii="宋体" w:hAnsi="宋体" w:cs="宋体"/>
          <w:color w:val="000000"/>
          <w:szCs w:val="21"/>
          <w:highlight w:val="none"/>
          <w:u w:val="single"/>
          <w:lang w:val="en-US" w:eastAsia="zh-CN"/>
        </w:rPr>
        <w:t>何嘉乐15521037664</w:t>
      </w:r>
      <w:r>
        <w:rPr>
          <w:rFonts w:hint="eastAsia" w:ascii="宋体" w:hAnsi="宋体" w:cs="宋体"/>
          <w:color w:val="000000"/>
          <w:szCs w:val="21"/>
          <w:highlight w:val="none"/>
        </w:rPr>
        <w:t xml:space="preserve">          </w:t>
      </w:r>
    </w:p>
    <w:p w14:paraId="0FF4AA8A">
      <w:pPr>
        <w:spacing w:line="360" w:lineRule="auto"/>
        <w:ind w:firstLine="420" w:firstLineChars="200"/>
        <w:jc w:val="left"/>
        <w:rPr>
          <w:rFonts w:hint="eastAsia" w:ascii="宋体" w:hAnsi="宋体"/>
          <w:color w:val="auto"/>
          <w:highlight w:val="none"/>
        </w:rPr>
      </w:pPr>
      <w:r>
        <w:rPr>
          <w:rFonts w:hint="eastAsia" w:ascii="宋体" w:hAnsi="宋体" w:cs="宋体"/>
          <w:color w:val="000000"/>
          <w:highlight w:val="none"/>
        </w:rPr>
        <w:t>电 子 邮  件：</w:t>
      </w:r>
      <w:r>
        <w:rPr>
          <w:rFonts w:hint="eastAsia" w:ascii="宋体" w:hAnsi="宋体" w:cs="宋体"/>
          <w:color w:val="000000"/>
          <w:highlight w:val="none"/>
          <w:u w:val="single"/>
        </w:rPr>
        <w:t>gzjiancheng_hz@163.com</w:t>
      </w:r>
    </w:p>
    <w:p w14:paraId="15C68D1A">
      <w:pPr>
        <w:spacing w:line="360" w:lineRule="auto"/>
        <w:ind w:firstLine="420" w:firstLineChars="200"/>
        <w:jc w:val="right"/>
        <w:textAlignment w:val="baseline"/>
        <w:rPr>
          <w:rStyle w:val="12"/>
          <w:rFonts w:hint="eastAsia" w:ascii="宋体" w:hAnsi="宋体" w:cs="宋体"/>
          <w:color w:val="auto"/>
          <w:szCs w:val="21"/>
          <w:highlight w:val="none"/>
        </w:rPr>
      </w:pPr>
    </w:p>
    <w:p w14:paraId="287425E2">
      <w:pPr>
        <w:spacing w:line="360" w:lineRule="auto"/>
        <w:ind w:firstLine="420" w:firstLineChars="200"/>
        <w:jc w:val="right"/>
        <w:textAlignment w:val="baseline"/>
        <w:rPr>
          <w:rStyle w:val="12"/>
          <w:rFonts w:hint="eastAsia" w:ascii="宋体" w:hAnsi="宋体" w:cs="宋体"/>
          <w:color w:val="auto"/>
          <w:szCs w:val="21"/>
          <w:highlight w:val="none"/>
          <w:lang w:val="zh-CN"/>
        </w:rPr>
      </w:pPr>
      <w:r>
        <w:rPr>
          <w:rStyle w:val="12"/>
          <w:rFonts w:hint="eastAsia" w:ascii="宋体" w:hAnsi="宋体" w:cs="宋体"/>
          <w:color w:val="auto"/>
          <w:szCs w:val="21"/>
          <w:highlight w:val="none"/>
        </w:rPr>
        <w:t>招标代理机构：</w:t>
      </w:r>
      <w:r>
        <w:rPr>
          <w:rStyle w:val="12"/>
          <w:rFonts w:hint="eastAsia" w:ascii="宋体" w:hAnsi="宋体" w:cs="宋体"/>
          <w:color w:val="auto"/>
          <w:szCs w:val="21"/>
          <w:highlight w:val="none"/>
          <w:lang w:val="zh-CN"/>
        </w:rPr>
        <w:t>建成工程咨询股份有限公司</w:t>
      </w:r>
    </w:p>
    <w:p w14:paraId="45C4A0A6">
      <w:pPr>
        <w:spacing w:line="360" w:lineRule="auto"/>
        <w:ind w:firstLine="420" w:firstLineChars="200"/>
        <w:jc w:val="right"/>
        <w:textAlignment w:val="baseline"/>
        <w:rPr>
          <w:rFonts w:hint="eastAsia" w:ascii="宋体" w:hAnsi="宋体" w:cs="宋体"/>
          <w:color w:val="auto"/>
          <w:kern w:val="1"/>
          <w:szCs w:val="21"/>
          <w:highlight w:val="none"/>
          <w:lang w:val="zh-CN"/>
        </w:rPr>
      </w:pPr>
      <w:r>
        <w:rPr>
          <w:rStyle w:val="12"/>
          <w:rFonts w:hint="eastAsia" w:ascii="宋体" w:hAnsi="宋体" w:cs="宋体"/>
          <w:color w:val="auto"/>
          <w:szCs w:val="21"/>
          <w:highlight w:val="none"/>
          <w:lang w:val="en-US" w:eastAsia="zh-CN"/>
        </w:rPr>
        <w:t>日期：</w:t>
      </w:r>
      <w:r>
        <w:rPr>
          <w:rStyle w:val="12"/>
          <w:rFonts w:hint="eastAsia" w:ascii="宋体" w:hAnsi="宋体" w:cs="宋体"/>
          <w:color w:val="auto"/>
          <w:szCs w:val="21"/>
          <w:highlight w:val="none"/>
          <w:lang w:eastAsia="zh-CN"/>
        </w:rPr>
        <w:t>202</w:t>
      </w:r>
      <w:r>
        <w:rPr>
          <w:rStyle w:val="12"/>
          <w:rFonts w:hint="eastAsia" w:ascii="宋体" w:hAnsi="宋体" w:cs="宋体"/>
          <w:color w:val="auto"/>
          <w:szCs w:val="21"/>
          <w:highlight w:val="none"/>
          <w:lang w:val="en-US" w:eastAsia="zh-CN"/>
        </w:rPr>
        <w:t>6</w:t>
      </w:r>
      <w:r>
        <w:rPr>
          <w:rFonts w:hint="eastAsia" w:ascii="宋体" w:hAnsi="宋体" w:cs="宋体"/>
          <w:color w:val="auto"/>
          <w:kern w:val="1"/>
          <w:szCs w:val="21"/>
          <w:highlight w:val="none"/>
          <w:lang w:val="zh-CN"/>
        </w:rPr>
        <w:t>年</w:t>
      </w:r>
      <w:r>
        <w:rPr>
          <w:rStyle w:val="12"/>
          <w:rFonts w:hint="eastAsia" w:ascii="宋体" w:hAnsi="宋体" w:cs="宋体"/>
          <w:color w:val="auto"/>
          <w:szCs w:val="21"/>
          <w:highlight w:val="none"/>
          <w:lang w:val="en-US" w:eastAsia="zh-CN"/>
        </w:rPr>
        <w:t>8</w:t>
      </w:r>
      <w:r>
        <w:rPr>
          <w:rFonts w:hint="eastAsia" w:ascii="宋体" w:hAnsi="宋体" w:cs="宋体"/>
          <w:color w:val="auto"/>
          <w:kern w:val="1"/>
          <w:szCs w:val="21"/>
          <w:highlight w:val="none"/>
          <w:lang w:val="zh-CN"/>
        </w:rPr>
        <w:t>月</w:t>
      </w:r>
      <w:r>
        <w:rPr>
          <w:rFonts w:hint="eastAsia" w:ascii="宋体" w:hAnsi="宋体" w:cs="宋体"/>
          <w:color w:val="auto"/>
          <w:kern w:val="1"/>
          <w:szCs w:val="21"/>
          <w:highlight w:val="none"/>
          <w:lang w:val="en-US" w:eastAsia="zh-CN"/>
        </w:rPr>
        <w:t>25</w:t>
      </w:r>
      <w:r>
        <w:rPr>
          <w:rFonts w:hint="eastAsia" w:ascii="宋体" w:hAnsi="宋体" w:cs="宋体"/>
          <w:color w:val="auto"/>
          <w:kern w:val="1"/>
          <w:szCs w:val="21"/>
          <w:highlight w:val="none"/>
          <w:lang w:val="zh-CN"/>
        </w:rPr>
        <w:t>日</w:t>
      </w:r>
    </w:p>
    <w:p w14:paraId="1B9B3978">
      <w:pPr>
        <w:shd w:val="clear" w:color="auto" w:fill="auto"/>
        <w:ind w:firstLine="480"/>
        <w:rPr>
          <w:rFonts w:hint="eastAsia" w:ascii="宋体" w:hAnsi="宋体" w:cs="宋体"/>
          <w:color w:val="auto"/>
          <w:highlight w:val="none"/>
        </w:rPr>
      </w:pPr>
      <w:r>
        <w:rPr>
          <w:rFonts w:hint="eastAsia" w:ascii="宋体" w:hAnsi="宋体" w:cs="宋体"/>
          <w:color w:val="auto"/>
          <w:kern w:val="1"/>
          <w:szCs w:val="21"/>
          <w:highlight w:val="none"/>
          <w:lang w:val="zh-CN"/>
        </w:rPr>
        <w:br w:type="page"/>
      </w:r>
      <w:bookmarkStart w:id="84" w:name="_Toc32114"/>
      <w:bookmarkStart w:id="85" w:name="_Toc21675"/>
      <w:bookmarkStart w:id="86" w:name="OLE_LINK1"/>
      <w:r>
        <w:rPr>
          <w:rFonts w:hint="eastAsia" w:ascii="宋体" w:hAnsi="宋体" w:cs="宋体"/>
          <w:b/>
          <w:bCs/>
          <w:color w:val="auto"/>
          <w:sz w:val="28"/>
          <w:szCs w:val="28"/>
          <w:highlight w:val="none"/>
        </w:rPr>
        <w:t>附件一：</w:t>
      </w:r>
      <w:bookmarkEnd w:id="84"/>
      <w:bookmarkEnd w:id="85"/>
      <w:r>
        <w:rPr>
          <w:rFonts w:hint="eastAsia" w:ascii="宋体" w:hAnsi="宋体" w:cs="宋体"/>
          <w:b/>
          <w:bCs/>
          <w:color w:val="auto"/>
          <w:sz w:val="28"/>
          <w:szCs w:val="28"/>
          <w:highlight w:val="none"/>
        </w:rPr>
        <w:t>投标登记表</w:t>
      </w:r>
    </w:p>
    <w:bookmarkEnd w:id="86"/>
    <w:p w14:paraId="51C5D21C">
      <w:pPr>
        <w:shd w:val="clear" w:color="auto" w:fill="auto"/>
        <w:tabs>
          <w:tab w:val="left" w:pos="1984"/>
        </w:tabs>
        <w:snapToGrid w:val="0"/>
        <w:jc w:val="center"/>
        <w:rPr>
          <w:rFonts w:ascii="宋体" w:hAnsi="宋体" w:cs="宋体"/>
          <w:b/>
          <w:color w:val="auto"/>
          <w:sz w:val="28"/>
          <w:szCs w:val="28"/>
          <w:highlight w:val="none"/>
        </w:rPr>
      </w:pPr>
      <w:r>
        <w:rPr>
          <w:rFonts w:hint="eastAsia" w:ascii="宋体" w:hAnsi="宋体" w:cs="宋体"/>
          <w:b/>
          <w:bCs/>
          <w:color w:val="auto"/>
          <w:sz w:val="28"/>
          <w:szCs w:val="28"/>
          <w:highlight w:val="none"/>
        </w:rPr>
        <w:t>投标</w:t>
      </w:r>
      <w:r>
        <w:rPr>
          <w:rFonts w:hint="eastAsia" w:ascii="宋体" w:hAnsi="宋体" w:cs="宋体"/>
          <w:b/>
          <w:color w:val="auto"/>
          <w:sz w:val="28"/>
          <w:szCs w:val="28"/>
          <w:highlight w:val="none"/>
        </w:rPr>
        <w:t>登记表</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2"/>
        <w:gridCol w:w="1559"/>
        <w:gridCol w:w="915"/>
        <w:gridCol w:w="318"/>
        <w:gridCol w:w="1461"/>
        <w:gridCol w:w="71"/>
        <w:gridCol w:w="921"/>
        <w:gridCol w:w="2392"/>
      </w:tblGrid>
      <w:tr w14:paraId="6D799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9" w:hRule="atLeast"/>
          <w:jc w:val="center"/>
        </w:trPr>
        <w:tc>
          <w:tcPr>
            <w:tcW w:w="1742" w:type="dxa"/>
            <w:noWrap w:val="0"/>
            <w:vAlign w:val="center"/>
          </w:tcPr>
          <w:p w14:paraId="7B3D394B">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项目编号</w:t>
            </w:r>
          </w:p>
        </w:tc>
        <w:tc>
          <w:tcPr>
            <w:tcW w:w="2792" w:type="dxa"/>
            <w:gridSpan w:val="3"/>
            <w:noWrap w:val="0"/>
            <w:vAlign w:val="center"/>
          </w:tcPr>
          <w:p w14:paraId="1AABE276">
            <w:pPr>
              <w:pStyle w:val="13"/>
              <w:shd w:val="clear" w:color="auto" w:fill="auto"/>
              <w:rPr>
                <w:rFonts w:hint="default" w:ascii="宋体" w:hAnsi="宋体" w:cs="宋体"/>
                <w:color w:val="auto"/>
                <w:sz w:val="24"/>
                <w:highlight w:val="none"/>
              </w:rPr>
            </w:pPr>
          </w:p>
        </w:tc>
        <w:tc>
          <w:tcPr>
            <w:tcW w:w="1532" w:type="dxa"/>
            <w:gridSpan w:val="2"/>
            <w:noWrap w:val="0"/>
            <w:vAlign w:val="center"/>
          </w:tcPr>
          <w:p w14:paraId="71C3E931">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日期</w:t>
            </w:r>
          </w:p>
        </w:tc>
        <w:tc>
          <w:tcPr>
            <w:tcW w:w="3313" w:type="dxa"/>
            <w:gridSpan w:val="2"/>
            <w:noWrap w:val="0"/>
            <w:vAlign w:val="center"/>
          </w:tcPr>
          <w:p w14:paraId="0914D1AB">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年   月   日</w:t>
            </w:r>
          </w:p>
        </w:tc>
      </w:tr>
      <w:tr w14:paraId="10A82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742" w:type="dxa"/>
            <w:noWrap w:val="0"/>
            <w:vAlign w:val="center"/>
          </w:tcPr>
          <w:p w14:paraId="05846120">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项目名称</w:t>
            </w:r>
          </w:p>
        </w:tc>
        <w:tc>
          <w:tcPr>
            <w:tcW w:w="7637" w:type="dxa"/>
            <w:gridSpan w:val="7"/>
            <w:noWrap w:val="0"/>
            <w:vAlign w:val="center"/>
          </w:tcPr>
          <w:p w14:paraId="378E6116">
            <w:pPr>
              <w:pStyle w:val="13"/>
              <w:shd w:val="clear" w:color="auto" w:fill="auto"/>
              <w:rPr>
                <w:rFonts w:hint="default" w:ascii="宋体" w:hAnsi="宋体" w:cs="宋体"/>
                <w:color w:val="auto"/>
                <w:sz w:val="24"/>
                <w:highlight w:val="none"/>
              </w:rPr>
            </w:pPr>
          </w:p>
        </w:tc>
      </w:tr>
      <w:tr w14:paraId="20153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1742" w:type="dxa"/>
            <w:vMerge w:val="restart"/>
            <w:noWrap w:val="0"/>
            <w:vAlign w:val="center"/>
          </w:tcPr>
          <w:p w14:paraId="602FB03C">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投标人信息</w:t>
            </w:r>
          </w:p>
        </w:tc>
        <w:tc>
          <w:tcPr>
            <w:tcW w:w="1559" w:type="dxa"/>
            <w:noWrap w:val="0"/>
            <w:vAlign w:val="center"/>
          </w:tcPr>
          <w:p w14:paraId="381E512E">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投标人名称</w:t>
            </w:r>
          </w:p>
        </w:tc>
        <w:tc>
          <w:tcPr>
            <w:tcW w:w="6078" w:type="dxa"/>
            <w:gridSpan w:val="6"/>
            <w:noWrap w:val="0"/>
            <w:vAlign w:val="center"/>
          </w:tcPr>
          <w:p w14:paraId="7A5752CF">
            <w:pPr>
              <w:pStyle w:val="13"/>
              <w:shd w:val="clear" w:color="auto" w:fill="auto"/>
              <w:rPr>
                <w:rFonts w:hint="default" w:ascii="宋体" w:hAnsi="宋体" w:cs="宋体"/>
                <w:color w:val="auto"/>
                <w:sz w:val="24"/>
                <w:highlight w:val="none"/>
              </w:rPr>
            </w:pPr>
          </w:p>
        </w:tc>
      </w:tr>
      <w:tr w14:paraId="1CAC5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1742" w:type="dxa"/>
            <w:vMerge w:val="continue"/>
            <w:noWrap w:val="0"/>
            <w:vAlign w:val="center"/>
          </w:tcPr>
          <w:p w14:paraId="03048C48">
            <w:pPr>
              <w:pStyle w:val="13"/>
              <w:shd w:val="clear" w:color="auto" w:fill="auto"/>
              <w:rPr>
                <w:rFonts w:hint="default" w:ascii="宋体" w:hAnsi="宋体" w:cs="宋体"/>
                <w:color w:val="auto"/>
                <w:sz w:val="24"/>
                <w:highlight w:val="none"/>
              </w:rPr>
            </w:pPr>
          </w:p>
        </w:tc>
        <w:tc>
          <w:tcPr>
            <w:tcW w:w="1559" w:type="dxa"/>
            <w:noWrap w:val="0"/>
            <w:vAlign w:val="center"/>
          </w:tcPr>
          <w:p w14:paraId="7E21CFB6">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地址</w:t>
            </w:r>
          </w:p>
        </w:tc>
        <w:tc>
          <w:tcPr>
            <w:tcW w:w="6078" w:type="dxa"/>
            <w:gridSpan w:val="6"/>
            <w:noWrap w:val="0"/>
            <w:vAlign w:val="center"/>
          </w:tcPr>
          <w:p w14:paraId="6A0D55FF">
            <w:pPr>
              <w:pStyle w:val="13"/>
              <w:shd w:val="clear" w:color="auto" w:fill="auto"/>
              <w:rPr>
                <w:rFonts w:hint="default" w:ascii="宋体" w:hAnsi="宋体" w:cs="宋体"/>
                <w:color w:val="auto"/>
                <w:sz w:val="24"/>
                <w:highlight w:val="none"/>
              </w:rPr>
            </w:pPr>
          </w:p>
        </w:tc>
      </w:tr>
      <w:tr w14:paraId="00C3C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742" w:type="dxa"/>
            <w:vMerge w:val="continue"/>
            <w:noWrap w:val="0"/>
            <w:vAlign w:val="center"/>
          </w:tcPr>
          <w:p w14:paraId="43043E7D">
            <w:pPr>
              <w:pStyle w:val="13"/>
              <w:shd w:val="clear" w:color="auto" w:fill="auto"/>
              <w:rPr>
                <w:rFonts w:hint="default" w:ascii="宋体" w:hAnsi="宋体" w:cs="宋体"/>
                <w:color w:val="auto"/>
                <w:sz w:val="24"/>
                <w:highlight w:val="none"/>
              </w:rPr>
            </w:pPr>
          </w:p>
        </w:tc>
        <w:tc>
          <w:tcPr>
            <w:tcW w:w="1559" w:type="dxa"/>
            <w:vMerge w:val="restart"/>
            <w:noWrap w:val="0"/>
            <w:vAlign w:val="center"/>
          </w:tcPr>
          <w:p w14:paraId="12FD552C">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联系人</w:t>
            </w:r>
          </w:p>
        </w:tc>
        <w:tc>
          <w:tcPr>
            <w:tcW w:w="915" w:type="dxa"/>
            <w:noWrap w:val="0"/>
            <w:vAlign w:val="center"/>
          </w:tcPr>
          <w:p w14:paraId="220962F0">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姓名</w:t>
            </w:r>
          </w:p>
        </w:tc>
        <w:tc>
          <w:tcPr>
            <w:tcW w:w="1779" w:type="dxa"/>
            <w:gridSpan w:val="2"/>
            <w:noWrap w:val="0"/>
            <w:vAlign w:val="center"/>
          </w:tcPr>
          <w:p w14:paraId="07C1DCE2">
            <w:pPr>
              <w:pStyle w:val="13"/>
              <w:shd w:val="clear" w:color="auto" w:fill="auto"/>
              <w:rPr>
                <w:rFonts w:hint="default" w:ascii="宋体" w:hAnsi="宋体" w:cs="宋体"/>
                <w:color w:val="auto"/>
                <w:sz w:val="24"/>
                <w:highlight w:val="none"/>
              </w:rPr>
            </w:pPr>
          </w:p>
        </w:tc>
        <w:tc>
          <w:tcPr>
            <w:tcW w:w="992" w:type="dxa"/>
            <w:gridSpan w:val="2"/>
            <w:noWrap w:val="0"/>
            <w:vAlign w:val="center"/>
          </w:tcPr>
          <w:p w14:paraId="2B2E478E">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传真</w:t>
            </w:r>
          </w:p>
        </w:tc>
        <w:tc>
          <w:tcPr>
            <w:tcW w:w="2392" w:type="dxa"/>
            <w:noWrap w:val="0"/>
            <w:vAlign w:val="center"/>
          </w:tcPr>
          <w:p w14:paraId="53BFC568">
            <w:pPr>
              <w:pStyle w:val="13"/>
              <w:shd w:val="clear" w:color="auto" w:fill="auto"/>
              <w:rPr>
                <w:rFonts w:hint="default" w:ascii="宋体" w:hAnsi="宋体" w:cs="宋体"/>
                <w:color w:val="auto"/>
                <w:sz w:val="24"/>
                <w:highlight w:val="none"/>
              </w:rPr>
            </w:pPr>
          </w:p>
        </w:tc>
      </w:tr>
      <w:tr w14:paraId="5F12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8" w:hRule="atLeast"/>
          <w:jc w:val="center"/>
        </w:trPr>
        <w:tc>
          <w:tcPr>
            <w:tcW w:w="1742" w:type="dxa"/>
            <w:vMerge w:val="continue"/>
            <w:noWrap w:val="0"/>
            <w:vAlign w:val="center"/>
          </w:tcPr>
          <w:p w14:paraId="0E6BB0B4">
            <w:pPr>
              <w:pStyle w:val="13"/>
              <w:shd w:val="clear" w:color="auto" w:fill="auto"/>
              <w:rPr>
                <w:rFonts w:hint="default" w:ascii="宋体" w:hAnsi="宋体" w:cs="宋体"/>
                <w:color w:val="auto"/>
                <w:sz w:val="24"/>
                <w:highlight w:val="none"/>
              </w:rPr>
            </w:pPr>
          </w:p>
        </w:tc>
        <w:tc>
          <w:tcPr>
            <w:tcW w:w="1559" w:type="dxa"/>
            <w:vMerge w:val="continue"/>
            <w:noWrap w:val="0"/>
            <w:vAlign w:val="center"/>
          </w:tcPr>
          <w:p w14:paraId="4E6AD28D">
            <w:pPr>
              <w:pStyle w:val="13"/>
              <w:shd w:val="clear" w:color="auto" w:fill="auto"/>
              <w:rPr>
                <w:rFonts w:hint="default" w:ascii="宋体" w:hAnsi="宋体" w:cs="宋体"/>
                <w:color w:val="auto"/>
                <w:sz w:val="24"/>
                <w:highlight w:val="none"/>
              </w:rPr>
            </w:pPr>
          </w:p>
        </w:tc>
        <w:tc>
          <w:tcPr>
            <w:tcW w:w="915" w:type="dxa"/>
            <w:noWrap w:val="0"/>
            <w:vAlign w:val="center"/>
          </w:tcPr>
          <w:p w14:paraId="08E671A0">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办公电话</w:t>
            </w:r>
          </w:p>
        </w:tc>
        <w:tc>
          <w:tcPr>
            <w:tcW w:w="1779" w:type="dxa"/>
            <w:gridSpan w:val="2"/>
            <w:noWrap w:val="0"/>
            <w:vAlign w:val="center"/>
          </w:tcPr>
          <w:p w14:paraId="2BC16666">
            <w:pPr>
              <w:pStyle w:val="13"/>
              <w:shd w:val="clear" w:color="auto" w:fill="auto"/>
              <w:rPr>
                <w:rFonts w:hint="default" w:ascii="宋体" w:hAnsi="宋体" w:cs="宋体"/>
                <w:color w:val="auto"/>
                <w:sz w:val="24"/>
                <w:highlight w:val="none"/>
              </w:rPr>
            </w:pPr>
          </w:p>
        </w:tc>
        <w:tc>
          <w:tcPr>
            <w:tcW w:w="992" w:type="dxa"/>
            <w:gridSpan w:val="2"/>
            <w:noWrap w:val="0"/>
            <w:vAlign w:val="center"/>
          </w:tcPr>
          <w:p w14:paraId="7CA5E93F">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手机</w:t>
            </w:r>
          </w:p>
        </w:tc>
        <w:tc>
          <w:tcPr>
            <w:tcW w:w="2392" w:type="dxa"/>
            <w:noWrap w:val="0"/>
            <w:vAlign w:val="center"/>
          </w:tcPr>
          <w:p w14:paraId="65641711">
            <w:pPr>
              <w:pStyle w:val="13"/>
              <w:shd w:val="clear" w:color="auto" w:fill="auto"/>
              <w:rPr>
                <w:rFonts w:hint="default" w:ascii="宋体" w:hAnsi="宋体" w:cs="宋体"/>
                <w:color w:val="auto"/>
                <w:sz w:val="24"/>
                <w:highlight w:val="none"/>
              </w:rPr>
            </w:pPr>
          </w:p>
        </w:tc>
      </w:tr>
      <w:tr w14:paraId="4BA95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1742" w:type="dxa"/>
            <w:vMerge w:val="continue"/>
            <w:noWrap w:val="0"/>
            <w:vAlign w:val="center"/>
          </w:tcPr>
          <w:p w14:paraId="1CB4CA46">
            <w:pPr>
              <w:pStyle w:val="13"/>
              <w:shd w:val="clear" w:color="auto" w:fill="auto"/>
              <w:rPr>
                <w:rFonts w:hint="default" w:ascii="宋体" w:hAnsi="宋体" w:cs="宋体"/>
                <w:color w:val="auto"/>
                <w:sz w:val="24"/>
                <w:highlight w:val="none"/>
              </w:rPr>
            </w:pPr>
          </w:p>
        </w:tc>
        <w:tc>
          <w:tcPr>
            <w:tcW w:w="1559" w:type="dxa"/>
            <w:vMerge w:val="continue"/>
            <w:noWrap w:val="0"/>
            <w:vAlign w:val="center"/>
          </w:tcPr>
          <w:p w14:paraId="228B3F78">
            <w:pPr>
              <w:pStyle w:val="13"/>
              <w:shd w:val="clear" w:color="auto" w:fill="auto"/>
              <w:rPr>
                <w:rFonts w:hint="default" w:ascii="宋体" w:hAnsi="宋体" w:cs="宋体"/>
                <w:color w:val="auto"/>
                <w:sz w:val="24"/>
                <w:highlight w:val="none"/>
              </w:rPr>
            </w:pPr>
          </w:p>
        </w:tc>
        <w:tc>
          <w:tcPr>
            <w:tcW w:w="915" w:type="dxa"/>
            <w:noWrap w:val="0"/>
            <w:vAlign w:val="center"/>
          </w:tcPr>
          <w:p w14:paraId="14B89EAB">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邮编</w:t>
            </w:r>
          </w:p>
        </w:tc>
        <w:tc>
          <w:tcPr>
            <w:tcW w:w="1779" w:type="dxa"/>
            <w:gridSpan w:val="2"/>
            <w:noWrap w:val="0"/>
            <w:vAlign w:val="center"/>
          </w:tcPr>
          <w:p w14:paraId="4788AA0D">
            <w:pPr>
              <w:pStyle w:val="13"/>
              <w:shd w:val="clear" w:color="auto" w:fill="auto"/>
              <w:rPr>
                <w:rFonts w:hint="default" w:ascii="宋体" w:hAnsi="宋体" w:cs="宋体"/>
                <w:color w:val="auto"/>
                <w:sz w:val="24"/>
                <w:highlight w:val="none"/>
              </w:rPr>
            </w:pPr>
          </w:p>
        </w:tc>
        <w:tc>
          <w:tcPr>
            <w:tcW w:w="992" w:type="dxa"/>
            <w:gridSpan w:val="2"/>
            <w:noWrap w:val="0"/>
            <w:vAlign w:val="center"/>
          </w:tcPr>
          <w:p w14:paraId="0BC07245">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邮箱</w:t>
            </w:r>
          </w:p>
        </w:tc>
        <w:tc>
          <w:tcPr>
            <w:tcW w:w="2392" w:type="dxa"/>
            <w:noWrap w:val="0"/>
            <w:vAlign w:val="center"/>
          </w:tcPr>
          <w:p w14:paraId="52AACD09">
            <w:pPr>
              <w:pStyle w:val="13"/>
              <w:shd w:val="clear" w:color="auto" w:fill="auto"/>
              <w:rPr>
                <w:rFonts w:hint="default" w:ascii="宋体" w:hAnsi="宋体" w:cs="宋体"/>
                <w:color w:val="auto"/>
                <w:sz w:val="24"/>
                <w:highlight w:val="none"/>
              </w:rPr>
            </w:pPr>
          </w:p>
        </w:tc>
      </w:tr>
      <w:tr w14:paraId="17DA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742" w:type="dxa"/>
            <w:noWrap w:val="0"/>
            <w:vAlign w:val="center"/>
          </w:tcPr>
          <w:p w14:paraId="1D4B2558">
            <w:pPr>
              <w:pStyle w:val="13"/>
              <w:shd w:val="clear" w:color="auto" w:fill="auto"/>
              <w:rPr>
                <w:rFonts w:hint="default" w:ascii="宋体" w:hAnsi="宋体" w:cs="宋体"/>
                <w:color w:val="auto"/>
                <w:sz w:val="24"/>
                <w:highlight w:val="none"/>
              </w:rPr>
            </w:pPr>
            <w:r>
              <w:rPr>
                <w:rFonts w:ascii="宋体" w:hAnsi="宋体" w:cs="宋体"/>
                <w:color w:val="auto"/>
                <w:sz w:val="24"/>
                <w:highlight w:val="none"/>
              </w:rPr>
              <w:t>备注</w:t>
            </w:r>
          </w:p>
        </w:tc>
        <w:tc>
          <w:tcPr>
            <w:tcW w:w="7637" w:type="dxa"/>
            <w:gridSpan w:val="7"/>
            <w:noWrap w:val="0"/>
            <w:vAlign w:val="center"/>
          </w:tcPr>
          <w:p w14:paraId="711C34C7">
            <w:pPr>
              <w:pStyle w:val="13"/>
              <w:shd w:val="clear" w:color="auto" w:fill="auto"/>
              <w:rPr>
                <w:rFonts w:hint="default" w:ascii="宋体" w:hAnsi="宋体" w:cs="宋体"/>
                <w:color w:val="auto"/>
                <w:sz w:val="24"/>
                <w:highlight w:val="none"/>
              </w:rPr>
            </w:pPr>
          </w:p>
        </w:tc>
      </w:tr>
    </w:tbl>
    <w:p w14:paraId="45A302F9">
      <w:pPr>
        <w:shd w:val="clear" w:color="auto" w:fill="auto"/>
        <w:tabs>
          <w:tab w:val="left" w:pos="1984"/>
        </w:tabs>
        <w:snapToGrid w:val="0"/>
        <w:ind w:left="447" w:leftChars="213" w:firstLine="420"/>
        <w:rPr>
          <w:rFonts w:ascii="宋体" w:hAnsi="宋体" w:cs="宋体"/>
          <w:color w:val="auto"/>
          <w:sz w:val="24"/>
          <w:highlight w:val="none"/>
        </w:rPr>
      </w:pPr>
    </w:p>
    <w:p w14:paraId="4A88C9DE">
      <w:pPr>
        <w:shd w:val="clear" w:color="auto" w:fill="auto"/>
        <w:tabs>
          <w:tab w:val="left" w:pos="1984"/>
        </w:tabs>
        <w:snapToGrid w:val="0"/>
        <w:ind w:left="447" w:leftChars="213" w:firstLine="4620" w:firstLineChars="2200"/>
        <w:rPr>
          <w:rFonts w:ascii="宋体" w:hAnsi="宋体" w:cs="宋体"/>
          <w:color w:val="auto"/>
          <w:highlight w:val="none"/>
        </w:rPr>
      </w:pPr>
    </w:p>
    <w:p w14:paraId="361D7930">
      <w:pPr>
        <w:shd w:val="clear" w:color="auto" w:fill="auto"/>
        <w:spacing w:line="360" w:lineRule="auto"/>
        <w:ind w:firstLine="3600" w:firstLineChars="1500"/>
        <w:rPr>
          <w:rFonts w:ascii="宋体" w:hAnsi="宋体" w:cs="宋体"/>
          <w:color w:val="auto"/>
          <w:sz w:val="24"/>
          <w:highlight w:val="none"/>
          <w:u w:val="single"/>
        </w:rPr>
      </w:pPr>
      <w:r>
        <w:rPr>
          <w:rFonts w:hint="eastAsia" w:ascii="宋体" w:hAnsi="宋体" w:cs="宋体"/>
          <w:color w:val="auto"/>
          <w:sz w:val="24"/>
          <w:highlight w:val="none"/>
        </w:rPr>
        <w:t>单位名称（公章）：</w:t>
      </w:r>
    </w:p>
    <w:p w14:paraId="6CB0DD27">
      <w:pPr>
        <w:shd w:val="clear" w:color="auto" w:fill="auto"/>
        <w:spacing w:line="360" w:lineRule="auto"/>
        <w:ind w:firstLine="3600" w:firstLineChars="1500"/>
        <w:rPr>
          <w:rFonts w:ascii="宋体" w:hAnsi="宋体" w:cs="宋体"/>
          <w:color w:val="auto"/>
          <w:sz w:val="24"/>
          <w:highlight w:val="none"/>
        </w:rPr>
      </w:pPr>
      <w:r>
        <w:rPr>
          <w:rFonts w:hint="eastAsia" w:ascii="宋体" w:hAnsi="宋体" w:cs="宋体"/>
          <w:color w:val="auto"/>
          <w:sz w:val="24"/>
          <w:highlight w:val="none"/>
        </w:rPr>
        <w:t>日  期：</w:t>
      </w:r>
    </w:p>
    <w:p w14:paraId="3790131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cript"/>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932509"/>
    <w:rsid w:val="3E4226EF"/>
    <w:rsid w:val="459325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3">
    <w:name w:val="heading 1"/>
    <w:basedOn w:val="1"/>
    <w:next w:val="1"/>
    <w:qFormat/>
    <w:uiPriority w:val="0"/>
    <w:pPr>
      <w:keepNext/>
      <w:keepLines/>
      <w:spacing w:after="120" w:line="360" w:lineRule="auto"/>
      <w:outlineLvl w:val="0"/>
    </w:pPr>
    <w:rPr>
      <w:kern w:val="44"/>
      <w:sz w:val="28"/>
      <w:szCs w:val="28"/>
    </w:rPr>
  </w:style>
  <w:style w:type="paragraph" w:styleId="2">
    <w:name w:val="heading 2"/>
    <w:basedOn w:val="1"/>
    <w:next w:val="1"/>
    <w:qFormat/>
    <w:uiPriority w:val="0"/>
    <w:pPr>
      <w:keepNext/>
      <w:keepLines/>
      <w:numPr>
        <w:ilvl w:val="1"/>
        <w:numId w:val="0"/>
      </w:numPr>
      <w:spacing w:before="120" w:after="120" w:line="415" w:lineRule="auto"/>
      <w:ind w:left="454"/>
      <w:jc w:val="center"/>
      <w:outlineLvl w:val="1"/>
    </w:pPr>
    <w:rPr>
      <w:rFonts w:ascii="Arial" w:hAnsi="Arial"/>
      <w:b/>
      <w:color w:val="000000"/>
      <w:sz w:val="24"/>
      <w:szCs w:val="24"/>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5"/>
    <w:qFormat/>
    <w:uiPriority w:val="0"/>
    <w:pPr>
      <w:spacing w:after="120"/>
    </w:pPr>
    <w:rPr>
      <w:rFonts w:ascii="Times New Roman" w:hAnsi="Times New Roman"/>
      <w:szCs w:val="20"/>
    </w:rPr>
  </w:style>
  <w:style w:type="paragraph" w:styleId="5">
    <w:name w:val="Title"/>
    <w:basedOn w:val="1"/>
    <w:next w:val="1"/>
    <w:qFormat/>
    <w:uiPriority w:val="0"/>
    <w:pPr>
      <w:spacing w:before="120" w:after="60"/>
      <w:jc w:val="center"/>
    </w:pPr>
    <w:rPr>
      <w:rFonts w:ascii="Arial" w:hAnsi="Arial"/>
      <w:b/>
      <w:sz w:val="44"/>
      <w:szCs w:val="20"/>
    </w:rPr>
  </w:style>
  <w:style w:type="paragraph" w:styleId="6">
    <w:name w:val="footer"/>
    <w:basedOn w:val="1"/>
    <w:unhideWhenUsed/>
    <w:qFormat/>
    <w:uiPriority w:val="0"/>
    <w:pPr>
      <w:tabs>
        <w:tab w:val="center" w:pos="4153"/>
        <w:tab w:val="right" w:pos="8306"/>
      </w:tabs>
      <w:snapToGrid w:val="0"/>
      <w:jc w:val="left"/>
    </w:pPr>
    <w:rPr>
      <w:kern w:val="0"/>
      <w:sz w:val="18"/>
      <w:szCs w:val="18"/>
    </w:rPr>
  </w:style>
  <w:style w:type="paragraph" w:customStyle="1" w:styleId="9">
    <w:name w:val="列出段落1"/>
    <w:basedOn w:val="1"/>
    <w:qFormat/>
    <w:uiPriority w:val="0"/>
    <w:pPr>
      <w:ind w:firstLine="420" w:firstLineChars="200"/>
    </w:pPr>
  </w:style>
  <w:style w:type="paragraph" w:customStyle="1" w:styleId="10">
    <w:name w:val="Body Text First Indent 21"/>
    <w:basedOn w:val="11"/>
    <w:qFormat/>
    <w:uiPriority w:val="0"/>
    <w:pPr>
      <w:widowControl/>
    </w:pPr>
    <w:rPr>
      <w:szCs w:val="20"/>
    </w:rPr>
  </w:style>
  <w:style w:type="paragraph" w:customStyle="1" w:styleId="11">
    <w:name w:val="Body Text Indent1"/>
    <w:basedOn w:val="1"/>
    <w:qFormat/>
    <w:uiPriority w:val="0"/>
    <w:pPr>
      <w:spacing w:line="500" w:lineRule="exact"/>
      <w:ind w:firstLine="200" w:firstLineChars="200"/>
    </w:pPr>
  </w:style>
  <w:style w:type="character" w:customStyle="1" w:styleId="12">
    <w:name w:val="NormalCharacter"/>
    <w:qFormat/>
    <w:uiPriority w:val="0"/>
  </w:style>
  <w:style w:type="paragraph" w:customStyle="1" w:styleId="13">
    <w:name w:val="无间隔11"/>
    <w:basedOn w:val="1"/>
    <w:qFormat/>
    <w:uiPriority w:val="0"/>
    <w:pPr>
      <w:jc w:val="center"/>
    </w:pPr>
    <w:rPr>
      <w:rFonts w:hint="eastAsi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2247</Words>
  <Characters>2607</Characters>
  <Lines>0</Lines>
  <Paragraphs>0</Paragraphs>
  <TotalTime>0</TotalTime>
  <ScaleCrop>false</ScaleCrop>
  <LinksUpToDate>false</LinksUpToDate>
  <CharactersWithSpaces>2770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2026-08-25T06:49:00Z</dcterms:created>
  <dc:creator>胖鱼</dc:creator>
  <cp:lastModifiedBy>胖鱼</cp:lastModifiedBy>
  <dcterms:modified xsi:type="dcterms:W3CDTF">2026-08-25T07:20:25Z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E185894050DE4EBE93638D01E8715BD2_11</vt:lpwstr>
  </property>
  <property fmtid="{D5CDD505-2E9C-101B-9397-08002B2CF9AE}" pid="4" name="KSOTemplateDocerSaveRecord">
    <vt:lpwstr>eyJoZGlkIjoiYmIwYTk5ZjdhNWRhMGMwYTk1NDBjYjJmNTliMjdkYjkiLCJ1c2VySWQiOiI2NDkwMjg1NDQifQ==</vt:lpwstr>
  </property>
</Properties>
</file>