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6F792">
      <w:pPr>
        <w:spacing w:line="560" w:lineRule="exact"/>
        <w:ind w:right="-197" w:rightChars="-94"/>
        <w:jc w:val="center"/>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中国光大银行广州分行2026-2027年排队机维保项目</w:t>
      </w:r>
    </w:p>
    <w:p w14:paraId="2F29A398">
      <w:pPr>
        <w:spacing w:line="560" w:lineRule="exact"/>
        <w:ind w:right="-197" w:rightChars="-94"/>
        <w:jc w:val="center"/>
        <w:rPr>
          <w:rFonts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公开竞争性磋商公告</w:t>
      </w:r>
    </w:p>
    <w:p w14:paraId="00C3D85C">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p>
    <w:p w14:paraId="65DD7D0A">
      <w:pPr>
        <w:spacing w:line="360" w:lineRule="auto"/>
        <w:ind w:right="-197" w:rightChars="-94" w:firstLine="480" w:firstLineChars="200"/>
        <w:rPr>
          <w:rFonts w:ascii="仿宋" w:hAnsi="仿宋" w:eastAsia="仿宋" w:cs="仿宋"/>
          <w:color w:val="auto"/>
          <w:sz w:val="24"/>
        </w:rPr>
      </w:pPr>
      <w:r>
        <w:rPr>
          <w:rFonts w:hint="eastAsia" w:ascii="仿宋" w:hAnsi="仿宋" w:eastAsia="仿宋" w:cs="仿宋"/>
          <w:color w:val="000000" w:themeColor="text1"/>
          <w:sz w:val="24"/>
          <w14:textFill>
            <w14:solidFill>
              <w14:schemeClr w14:val="tx1"/>
            </w14:solidFill>
          </w14:textFill>
        </w:rPr>
        <w:t>中国光大银行广州分行2026-2027年排队机维保项目，已批准实施，项目资金来自企业自筹，资金已落实。本招标项目的招标人为中国光大银行股份有限公司广州分行，现委托建成工程咨询股份有限公司 （以下简称“采购代理机构”）对该项目进行公开竞争性磋</w:t>
      </w:r>
      <w:r>
        <w:rPr>
          <w:rFonts w:hint="eastAsia" w:ascii="仿宋" w:hAnsi="仿宋" w:eastAsia="仿宋" w:cs="仿宋"/>
          <w:color w:val="auto"/>
          <w:sz w:val="24"/>
        </w:rPr>
        <w:t>商。</w:t>
      </w:r>
    </w:p>
    <w:p w14:paraId="044F39A0">
      <w:pPr>
        <w:spacing w:line="360" w:lineRule="auto"/>
        <w:ind w:right="-197" w:rightChars="-94" w:firstLine="480" w:firstLineChars="200"/>
        <w:rPr>
          <w:rFonts w:ascii="仿宋" w:hAnsi="仿宋" w:eastAsia="仿宋" w:cs="仿宋"/>
          <w:color w:val="auto"/>
          <w:sz w:val="24"/>
        </w:rPr>
      </w:pPr>
      <w:r>
        <w:rPr>
          <w:rFonts w:hint="eastAsia" w:ascii="仿宋" w:hAnsi="仿宋" w:eastAsia="仿宋" w:cs="仿宋"/>
          <w:color w:val="auto"/>
          <w:sz w:val="24"/>
          <w:lang w:val="zh-CN"/>
        </w:rPr>
        <w:t>一、采购</w:t>
      </w:r>
      <w:r>
        <w:rPr>
          <w:rFonts w:hint="eastAsia" w:ascii="仿宋" w:hAnsi="仿宋" w:eastAsia="仿宋" w:cs="仿宋"/>
          <w:color w:val="auto"/>
          <w:sz w:val="24"/>
        </w:rPr>
        <w:t>项目</w:t>
      </w:r>
      <w:r>
        <w:rPr>
          <w:rFonts w:hint="eastAsia" w:ascii="仿宋" w:hAnsi="仿宋" w:eastAsia="仿宋" w:cs="仿宋"/>
          <w:color w:val="auto"/>
          <w:sz w:val="24"/>
          <w:lang w:val="zh-CN"/>
        </w:rPr>
        <w:t>编号：</w:t>
      </w:r>
      <w:r>
        <w:rPr>
          <w:rFonts w:hint="eastAsia" w:ascii="仿宋" w:hAnsi="仿宋" w:eastAsia="仿宋" w:cs="仿宋"/>
          <w:color w:val="auto"/>
          <w:sz w:val="24"/>
        </w:rPr>
        <w:t>GZJCHZ-2026-01-115</w:t>
      </w:r>
    </w:p>
    <w:p w14:paraId="7B679DFE">
      <w:pPr>
        <w:spacing w:line="360" w:lineRule="auto"/>
        <w:ind w:right="-197" w:rightChars="-94" w:firstLine="480" w:firstLineChars="200"/>
        <w:rPr>
          <w:rFonts w:ascii="仿宋" w:hAnsi="仿宋" w:eastAsia="仿宋" w:cs="仿宋"/>
          <w:color w:val="auto"/>
          <w:sz w:val="24"/>
        </w:rPr>
      </w:pPr>
      <w:r>
        <w:rPr>
          <w:rFonts w:hint="eastAsia" w:ascii="仿宋" w:hAnsi="仿宋" w:eastAsia="仿宋" w:cs="仿宋"/>
          <w:color w:val="auto"/>
          <w:sz w:val="24"/>
        </w:rPr>
        <w:t>二、采购项目名称：中国光大银行广州分行2026-2027年排队机维保项目</w:t>
      </w:r>
    </w:p>
    <w:p w14:paraId="7AE6CFA8">
      <w:pPr>
        <w:pStyle w:val="5"/>
        <w:ind w:firstLine="480" w:firstLineChars="200"/>
        <w:rPr>
          <w:rFonts w:ascii="仿宋" w:hAnsi="仿宋" w:eastAsia="仿宋" w:cs="仿宋"/>
          <w:color w:val="auto"/>
        </w:rPr>
      </w:pPr>
      <w:r>
        <w:rPr>
          <w:rFonts w:hint="eastAsia" w:ascii="仿宋" w:hAnsi="仿宋" w:eastAsia="仿宋" w:cs="仿宋"/>
          <w:color w:val="auto"/>
          <w:sz w:val="24"/>
        </w:rPr>
        <w:t>三、项目预算金额：</w:t>
      </w:r>
      <w:r>
        <w:rPr>
          <w:rFonts w:hint="eastAsia" w:ascii="仿宋" w:hAnsi="仿宋" w:eastAsia="仿宋" w:cs="仿宋"/>
          <w:color w:val="auto"/>
          <w:sz w:val="24"/>
          <w:lang w:val="zh-CN"/>
        </w:rPr>
        <w:t>人民币</w:t>
      </w:r>
      <w:r>
        <w:rPr>
          <w:rFonts w:hint="eastAsia" w:ascii="仿宋" w:hAnsi="仿宋" w:eastAsia="仿宋" w:cs="仿宋"/>
          <w:color w:val="auto"/>
          <w:sz w:val="24"/>
        </w:rPr>
        <w:t>340620.00元</w:t>
      </w:r>
      <w:r>
        <w:rPr>
          <w:rFonts w:hint="eastAsia" w:ascii="仿宋" w:hAnsi="仿宋" w:eastAsia="仿宋" w:cs="仿宋"/>
          <w:color w:val="auto"/>
          <w:sz w:val="24"/>
          <w:lang w:val="zh-CN"/>
        </w:rPr>
        <w:t>(含税)。</w:t>
      </w:r>
    </w:p>
    <w:p w14:paraId="56CAC567">
      <w:pPr>
        <w:spacing w:line="360" w:lineRule="auto"/>
        <w:ind w:left="1057" w:leftChars="228" w:right="-197" w:rightChars="-94" w:hanging="578" w:hangingChars="241"/>
        <w:rPr>
          <w:rFonts w:ascii="仿宋" w:hAnsi="仿宋" w:eastAsia="仿宋" w:cs="仿宋"/>
          <w:lang w:val="zh-CN"/>
        </w:rPr>
      </w:pPr>
      <w:r>
        <w:rPr>
          <w:rFonts w:hint="eastAsia" w:ascii="仿宋" w:hAnsi="仿宋" w:eastAsia="仿宋" w:cs="仿宋"/>
          <w:color w:val="auto"/>
          <w:sz w:val="24"/>
        </w:rPr>
        <w:t>四、最高限价</w:t>
      </w:r>
      <w:r>
        <w:rPr>
          <w:rFonts w:hint="eastAsia" w:ascii="仿宋" w:hAnsi="仿宋" w:eastAsia="仿宋" w:cs="仿宋"/>
          <w:color w:val="auto"/>
          <w:sz w:val="24"/>
          <w:lang w:val="zh-CN"/>
        </w:rPr>
        <w:t>:人民币</w:t>
      </w:r>
      <w:r>
        <w:rPr>
          <w:rFonts w:hint="eastAsia" w:ascii="仿宋" w:hAnsi="仿宋" w:eastAsia="仿宋" w:cs="仿宋"/>
          <w:color w:val="auto"/>
          <w:sz w:val="24"/>
        </w:rPr>
        <w:t>34062</w:t>
      </w:r>
      <w:r>
        <w:rPr>
          <w:rFonts w:hint="eastAsia" w:ascii="仿宋" w:hAnsi="仿宋" w:eastAsia="仿宋" w:cs="仿宋"/>
          <w:color w:val="000000" w:themeColor="text1"/>
          <w:sz w:val="24"/>
          <w14:textFill>
            <w14:solidFill>
              <w14:schemeClr w14:val="tx1"/>
            </w14:solidFill>
          </w14:textFill>
        </w:rPr>
        <w:t>0.00元</w:t>
      </w:r>
      <w:r>
        <w:rPr>
          <w:rFonts w:hint="eastAsia" w:ascii="仿宋" w:hAnsi="仿宋" w:eastAsia="仿宋" w:cs="仿宋"/>
          <w:color w:val="000000" w:themeColor="text1"/>
          <w:sz w:val="24"/>
          <w:lang w:val="zh-CN"/>
          <w14:textFill>
            <w14:solidFill>
              <w14:schemeClr w14:val="tx1"/>
            </w14:solidFill>
          </w14:textFill>
        </w:rPr>
        <w:t>(含税)</w:t>
      </w:r>
      <w:r>
        <w:rPr>
          <w:rFonts w:hint="eastAsia" w:ascii="仿宋" w:hAnsi="仿宋" w:eastAsia="仿宋" w:cs="仿宋"/>
          <w:color w:val="000000" w:themeColor="text1"/>
          <w:sz w:val="24"/>
          <w14:textFill>
            <w14:solidFill>
              <w14:schemeClr w14:val="tx1"/>
            </w14:solidFill>
          </w14:textFill>
        </w:rPr>
        <w:t>。</w:t>
      </w:r>
    </w:p>
    <w:p w14:paraId="02987A80">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五</w:t>
      </w:r>
      <w:r>
        <w:rPr>
          <w:rFonts w:hint="eastAsia" w:ascii="仿宋" w:hAnsi="仿宋" w:eastAsia="仿宋" w:cs="仿宋"/>
          <w:color w:val="000000" w:themeColor="text1"/>
          <w:sz w:val="24"/>
          <w:lang w:val="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项目内容及需求：</w:t>
      </w:r>
    </w:p>
    <w:p w14:paraId="22A0674E">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1、项目名称：中国光大银行广州分行2026-2027年排队机维保项目</w:t>
      </w:r>
    </w:p>
    <w:p w14:paraId="4B059576">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2、采购方式：公开竞争性磋商</w:t>
      </w:r>
    </w:p>
    <w:p w14:paraId="7D429EE2">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采购范围：规范网点秩序，实现客户的准确分类与引导，保障各网点排队机正常使用，现采购2026-2027年全辖排队机维保服务。采购人共有80台主机，488个窗口屏，35个综合屏需购买维保服务（详见磋商文件附件一：排队机维护明细），维保服务期为一年，本次维保服务主要包括以下内容：</w:t>
      </w:r>
    </w:p>
    <w:p w14:paraId="271897C5">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（1）维保供应商每季度一次到采购人现场对采购人的被保修硬件设备进行巡检。</w:t>
      </w:r>
    </w:p>
    <w:p w14:paraId="21DAF313">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（2）若出现设备故障提供现场技术支持，排队机主机提供配件进行故障维修，窗口屏、综合屏设备直接进行整机更换。</w:t>
      </w:r>
    </w:p>
    <w:p w14:paraId="30777D14">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（3）维保供应商提供7X24小时（含节假日）关于采购人被保修硬件设备的电话支持和相关技术咨询服务。</w:t>
      </w:r>
    </w:p>
    <w:p w14:paraId="67ECA9D5">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注：具体内容及要求详见用户需求书。</w:t>
      </w:r>
    </w:p>
    <w:p w14:paraId="42CB788F">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4、服务期：一年，具体起止时间以合同签订为准。</w:t>
      </w:r>
    </w:p>
    <w:p w14:paraId="010D9E34">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5、履约保证金：金额为合同价3%，按采购人要求递交。</w:t>
      </w:r>
    </w:p>
    <w:p w14:paraId="4A53AF38">
      <w:pPr>
        <w:spacing w:line="360" w:lineRule="auto"/>
        <w:ind w:right="-197" w:rightChars="-94"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六、供应商资格：</w:t>
      </w:r>
    </w:p>
    <w:p w14:paraId="0426B989">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1、供应商必须是在中华人民共和国境内合法注册或登记，能独立承担民事责任的法人或者其他组织。（提交有效的营业执照或事业法人登记证或社会团体登记证或民办非企业单位登记证等相关证明的复印件）</w:t>
      </w:r>
    </w:p>
    <w:p w14:paraId="1380CB16">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2、供应商必须具有良好的商业信誉和健全的财务会计制度。（提供《资格声明函》）</w:t>
      </w:r>
    </w:p>
    <w:p w14:paraId="123CADD1">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3、供应商必须具有履行合同所必需的设备和专业技术能力。（提供《资格声明函》）</w:t>
      </w:r>
    </w:p>
    <w:p w14:paraId="4D0F3ADF">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4、供应商必须有依法缴纳税收和社会保障资金的良好记录。（提供《资格声明函》）</w:t>
      </w:r>
    </w:p>
    <w:p w14:paraId="17EDDBCF">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供应商参加本次采购活动前三年内，在经营活动中没有重大违法违规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资格声明函》）</w:t>
      </w:r>
    </w:p>
    <w:p w14:paraId="644B0C3C">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供应商单位负责人为同一人或者存在直接控股、管理关系的不同供应商，不得同时参加本采购项目报价。为本项目提供整体设计、规范编制或者项目管理、监理、检测等服务的供应商，不得再参与本项目竞争性磋商采购活动。（提供《资格声明函》及提供全国企业信用信息公示系统相关信息截图）</w:t>
      </w:r>
    </w:p>
    <w:p w14:paraId="118B7ABE">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、供应商须承诺以往在中国光大银行的采购项目中没有欺骗、欺诈的行为或者不良记录。（供应商出具承诺函，相关格式详见响应文件格式）</w:t>
      </w:r>
    </w:p>
    <w:p w14:paraId="5B1A28A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凡两家或以上供应商参加同一项目的采购，有如下情况的，一经发现，将视同串标处理；A.为同一法定代表人的；B.为同一股东控股的；C.其中一家公司为其他公司最大股东的。（提供《响应供应商法定代表人或单位负责人、控股关系、管理关系等信息披露情况》、《响应供应商关于公正性的声明函》，相关格式详见响应文件格式。采购代理机构于响应文件提交截止时间后的当天在“天眼查”查询关联关系，并由磋商小组进行评审）</w:t>
      </w:r>
    </w:p>
    <w:p w14:paraId="726B2EC1">
      <w:pPr>
        <w:widowControl/>
        <w:spacing w:line="360" w:lineRule="auto"/>
        <w:ind w:firstLine="480" w:firstLineChars="200"/>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9</w:t>
      </w:r>
      <w:r>
        <w:rPr>
          <w:rFonts w:hint="eastAsia" w:ascii="仿宋" w:hAnsi="仿宋" w:eastAsia="仿宋" w:cs="仿宋"/>
          <w:color w:val="000000" w:themeColor="text1"/>
          <w:sz w:val="24"/>
          <w14:textFill>
            <w14:solidFill>
              <w14:schemeClr w14:val="tx1"/>
            </w14:solidFill>
          </w14:textFill>
        </w:rPr>
        <w:t>、供应商与采购人之间不得存在影响采购公正性的关系。（提供《供应商法定代表人或单位负责人、控股关系、管理关系等信息披露情况》、《供应商关于公正性的声明函》，并由磋商小组进行评审）</w:t>
      </w:r>
    </w:p>
    <w:p w14:paraId="436FC26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10</w:t>
      </w:r>
      <w:r>
        <w:rPr>
          <w:rFonts w:hint="eastAsia" w:ascii="仿宋" w:hAnsi="仿宋" w:eastAsia="仿宋" w:cs="仿宋"/>
          <w:color w:val="000000" w:themeColor="text1"/>
          <w:sz w:val="24"/>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供应商提供网站的信用记录查询结果截图，以采购代理机构在响应截止日当天在相关网站或平台的查询结果为准，如相关失信记录已失效，供应商需提供相关证明资料）</w:t>
      </w:r>
    </w:p>
    <w:p w14:paraId="248666A0">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11</w:t>
      </w:r>
      <w:r>
        <w:rPr>
          <w:rFonts w:hint="eastAsia" w:ascii="仿宋" w:hAnsi="仿宋" w:eastAsia="仿宋" w:cs="仿宋"/>
          <w:color w:val="000000" w:themeColor="text1"/>
          <w:sz w:val="24"/>
          <w14:textFill>
            <w14:solidFill>
              <w14:schemeClr w14:val="tx1"/>
            </w14:solidFill>
          </w14:textFill>
        </w:rPr>
        <w:t>、供应商近三年内未被列入采购人供应商黑名单。（提供《资格声明函》）</w:t>
      </w:r>
    </w:p>
    <w:p w14:paraId="36C493A5">
      <w:pPr>
        <w:widowControl/>
        <w:spacing w:line="360" w:lineRule="auto"/>
        <w:ind w:firstLine="480" w:firstLineChars="200"/>
        <w:jc w:val="lef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12</w:t>
      </w:r>
      <w:r>
        <w:rPr>
          <w:rFonts w:hint="eastAsia" w:ascii="仿宋" w:hAnsi="仿宋" w:eastAsia="仿宋" w:cs="仿宋"/>
          <w:color w:val="000000" w:themeColor="text1"/>
          <w:sz w:val="24"/>
          <w14:textFill>
            <w14:solidFill>
              <w14:schemeClr w14:val="tx1"/>
            </w14:solidFill>
          </w14:textFill>
        </w:rPr>
        <w:t>、本项目不接受联合体参加，不接受转包、分包。（供应商出具承诺函，相关格式详见响应文件格式）</w:t>
      </w:r>
    </w:p>
    <w:p w14:paraId="5BC0A984">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七、获取磋商文件的方法：</w:t>
      </w:r>
    </w:p>
    <w:p w14:paraId="34449B94">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1、符合资格的供应商应当在2026年10月30日至2026年11月10日（上午9:00时至11:30,下午14:00至17:00）期间办理响应登记及领购磋商文件。磋商文件每份售价300元，售后不退。</w:t>
      </w:r>
    </w:p>
    <w:p w14:paraId="2963B34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2、本项目需要提供如下资料办理响应登记：</w:t>
      </w:r>
    </w:p>
    <w:p w14:paraId="0E1B0D7F">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（1）附件一：响应登记表；</w:t>
      </w:r>
    </w:p>
    <w:p w14:paraId="61CD135C">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（2）营业执照副本复印件；</w:t>
      </w:r>
    </w:p>
    <w:p w14:paraId="4B4C117E">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（3）法人代表人证明书原件、法定代表人授权委托证明书原件（非法定代表人报名时提供）、供应商代表身份证；</w:t>
      </w:r>
    </w:p>
    <w:p w14:paraId="0E33EC7E">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3、竞争性磋商文件获取方式：</w:t>
      </w:r>
    </w:p>
    <w:p w14:paraId="2F168844">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（1）现场获取方式：凡有意参与的潜在供应商，请在规定的时间内提供登记资料在广州市越秀区东风中路318号嘉业大厦22楼获取磋商文件；</w:t>
      </w:r>
    </w:p>
    <w:p w14:paraId="2F8A5072">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（2）线上获取方式：凡有意参与的潜在供应商，请在规定的时间内上传报名及登记资料扫描件到gzjiancheng_hz@163.com，并通知采购代理单位020-83640115，由采购代理单位线上发放磋商文件。</w:t>
      </w:r>
    </w:p>
    <w:p w14:paraId="58E91CA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4、采购人及采购代理机构只接受通过以上方式正式获取竞争性磋商文件的供应商参加竞争性磋商采购活动。</w:t>
      </w:r>
    </w:p>
    <w:p w14:paraId="26F83020">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八、响应文件提交时间、截止时间及地点：</w:t>
      </w:r>
    </w:p>
    <w:p w14:paraId="2B668B65">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提交时间：2026年11月11日</w:t>
      </w:r>
      <w:r>
        <w:rPr>
          <w:rFonts w:hint="eastAsia" w:ascii="仿宋" w:hAnsi="仿宋" w:eastAsia="仿宋" w:cs="仿宋"/>
          <w:color w:val="000000" w:themeColor="text1"/>
          <w:sz w:val="24"/>
          <w:lang w:val="en-US" w:eastAsia="zh-CN"/>
          <w14:textFill>
            <w14:solidFill>
              <w14:schemeClr w14:val="tx1"/>
            </w14:solidFill>
          </w14:textFill>
        </w:rPr>
        <w:t>14</w:t>
      </w:r>
      <w:r>
        <w:rPr>
          <w:rFonts w:hint="eastAsia" w:ascii="仿宋" w:hAnsi="仿宋" w:eastAsia="仿宋" w:cs="仿宋"/>
          <w:color w:val="000000" w:themeColor="text1"/>
          <w:sz w:val="24"/>
          <w14:textFill>
            <w14:solidFill>
              <w14:schemeClr w14:val="tx1"/>
            </w14:solidFill>
          </w14:textFill>
        </w:rPr>
        <w:t>时00分至</w:t>
      </w:r>
      <w:r>
        <w:rPr>
          <w:rFonts w:hint="eastAsia" w:ascii="仿宋" w:hAnsi="仿宋" w:eastAsia="仿宋" w:cs="仿宋"/>
          <w:color w:val="000000" w:themeColor="text1"/>
          <w:sz w:val="24"/>
          <w:lang w:val="en-US" w:eastAsia="zh-CN"/>
          <w14:textFill>
            <w14:solidFill>
              <w14:schemeClr w14:val="tx1"/>
            </w14:solidFill>
          </w14:textFill>
        </w:rPr>
        <w:t>14</w:t>
      </w:r>
      <w:r>
        <w:rPr>
          <w:rFonts w:hint="eastAsia" w:ascii="仿宋" w:hAnsi="仿宋" w:eastAsia="仿宋" w:cs="仿宋"/>
          <w:color w:val="000000" w:themeColor="text1"/>
          <w:sz w:val="24"/>
          <w14:textFill>
            <w14:solidFill>
              <w14:schemeClr w14:val="tx1"/>
            </w14:solidFill>
          </w14:textFill>
        </w:rPr>
        <w:t>时30分</w:t>
      </w:r>
    </w:p>
    <w:p w14:paraId="3E5EFD3D">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截止时间：2026年11月11日</w:t>
      </w:r>
      <w:r>
        <w:rPr>
          <w:rFonts w:hint="eastAsia" w:ascii="仿宋" w:hAnsi="仿宋" w:eastAsia="仿宋" w:cs="仿宋"/>
          <w:color w:val="000000" w:themeColor="text1"/>
          <w:sz w:val="24"/>
          <w:lang w:val="en-US" w:eastAsia="zh-CN"/>
          <w14:textFill>
            <w14:solidFill>
              <w14:schemeClr w14:val="tx1"/>
            </w14:solidFill>
          </w14:textFill>
        </w:rPr>
        <w:t>14</w:t>
      </w:r>
      <w:r>
        <w:rPr>
          <w:rFonts w:hint="eastAsia" w:ascii="仿宋" w:hAnsi="仿宋" w:eastAsia="仿宋" w:cs="仿宋"/>
          <w:color w:val="000000" w:themeColor="text1"/>
          <w:sz w:val="24"/>
          <w14:textFill>
            <w14:solidFill>
              <w14:schemeClr w14:val="tx1"/>
            </w14:solidFill>
          </w14:textFill>
        </w:rPr>
        <w:t>时30分</w:t>
      </w:r>
      <w:bookmarkStart w:id="0" w:name="_GoBack"/>
      <w:bookmarkEnd w:id="0"/>
    </w:p>
    <w:p w14:paraId="63A762A0">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地点：广州市越秀区东风中路318号嘉业大厦22楼会议室</w:t>
      </w:r>
    </w:p>
    <w:p w14:paraId="6B1715F9">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在以上截止时间后送达到指定地点的响应文件为无效文件，该文件将被拒收。</w:t>
      </w:r>
    </w:p>
    <w:p w14:paraId="2BAC74D9">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九、最后报价提交时间及地点：</w:t>
      </w:r>
    </w:p>
    <w:p w14:paraId="1C4E4CD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提交时间：具体时间待磋商后另行通知</w:t>
      </w:r>
    </w:p>
    <w:p w14:paraId="5EED5D57">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地点：广州市越秀区东风中路318号嘉业大厦22楼会议室</w:t>
      </w:r>
    </w:p>
    <w:p w14:paraId="26897096">
      <w:pPr>
        <w:pStyle w:val="2"/>
        <w:ind w:firstLine="480" w:firstLineChars="200"/>
        <w:rPr>
          <w:rFonts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十. 公告发布</w:t>
      </w:r>
    </w:p>
    <w:p w14:paraId="36A60A36">
      <w:pPr>
        <w:pStyle w:val="2"/>
        <w:ind w:firstLine="480" w:firstLineChars="200"/>
        <w:rPr>
          <w:rFonts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本公告或公告的修改、补充同时在建成工程咨询股份有限公司（http://www.gzjc.com.cn）、中国招标投标公共服务平台（www.cebpubservice.com/）、中招联合招标采购网（www.365trade.com.cn/）上发布。本公告在各媒体发布的文本如有不同之处，以在建成工程咨询股份有限公司网站发布的文本为准。</w:t>
      </w:r>
    </w:p>
    <w:p w14:paraId="75128599">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十一、凡对竞争性磋商提出询问，请按下列内容与建成工程咨询股份有限公司联系：</w:t>
      </w:r>
    </w:p>
    <w:p w14:paraId="601823C6">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址：广州市越秀区东风中路318号嘉业大厦22楼</w:t>
      </w:r>
    </w:p>
    <w:p w14:paraId="5FBD1E18">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邮    编：510030</w:t>
      </w:r>
    </w:p>
    <w:p w14:paraId="333DE36C">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    话：020-83640115</w:t>
      </w:r>
    </w:p>
    <w:p w14:paraId="3AE348A6">
      <w:pPr>
        <w:spacing w:line="360" w:lineRule="auto"/>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电子信箱：gzjiancheng_hz@163.com</w:t>
      </w:r>
    </w:p>
    <w:p w14:paraId="024084D1">
      <w:pPr>
        <w:pStyle w:val="2"/>
        <w:ind w:firstLine="480" w:firstLineChars="200"/>
        <w:rPr>
          <w:rFonts w:ascii="仿宋" w:hAnsi="仿宋" w:eastAsia="仿宋" w:cs="仿宋"/>
        </w:rPr>
      </w:pPr>
      <w:r>
        <w:rPr>
          <w:rFonts w:hint="eastAsia" w:ascii="仿宋" w:hAnsi="仿宋" w:eastAsia="仿宋" w:cs="仿宋"/>
          <w:color w:val="000000" w:themeColor="text1"/>
          <w14:textFill>
            <w14:solidFill>
              <w14:schemeClr w14:val="tx1"/>
            </w14:solidFill>
          </w14:textFill>
        </w:rPr>
        <w:t>联 系 人：钟智泳、容志雄、庄文华、彭丽华、胡金金、冯航、刘葵</w:t>
      </w:r>
    </w:p>
    <w:p w14:paraId="101CC4CE">
      <w:pPr>
        <w:pStyle w:val="2"/>
        <w:ind w:firstLine="480" w:firstLineChars="200"/>
        <w:rPr>
          <w:rFonts w:ascii="仿宋" w:hAnsi="仿宋" w:eastAsia="仿宋" w:cs="仿宋"/>
        </w:rPr>
      </w:pPr>
      <w:r>
        <w:rPr>
          <w:rFonts w:hint="eastAsia" w:ascii="仿宋" w:hAnsi="仿宋" w:eastAsia="仿宋" w:cs="仿宋"/>
          <w:color w:val="000000" w:themeColor="text1"/>
          <w14:textFill>
            <w14:solidFill>
              <w14:schemeClr w14:val="tx1"/>
            </w14:solidFill>
          </w14:textFill>
        </w:rPr>
        <w:t>项目负责人：钟工</w:t>
      </w:r>
    </w:p>
    <w:p w14:paraId="7436E233">
      <w:pPr>
        <w:spacing w:line="560" w:lineRule="exact"/>
        <w:jc w:val="right"/>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建成工程咨询股份有限公司</w:t>
      </w:r>
    </w:p>
    <w:p w14:paraId="76A35D23">
      <w:pPr>
        <w:snapToGrid w:val="0"/>
        <w:spacing w:line="560" w:lineRule="exact"/>
        <w:ind w:firstLine="5760" w:firstLineChars="2400"/>
        <w:jc w:val="righ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2026年</w:t>
      </w:r>
      <w:r>
        <w:rPr>
          <w:rFonts w:hint="eastAsia" w:ascii="仿宋" w:hAnsi="仿宋" w:eastAsia="仿宋" w:cs="仿宋"/>
          <w:color w:val="000000" w:themeColor="text1"/>
          <w:sz w:val="24"/>
          <w:lang w:val="en-US" w:eastAsia="zh-CN"/>
          <w14:textFill>
            <w14:solidFill>
              <w14:schemeClr w14:val="tx1"/>
            </w14:solidFill>
          </w14:textFill>
        </w:rPr>
        <w:t>10</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lang w:val="en-US" w:eastAsia="zh-CN"/>
          <w14:textFill>
            <w14:solidFill>
              <w14:schemeClr w14:val="tx1"/>
            </w14:solidFill>
          </w14:textFill>
        </w:rPr>
        <w:t>29</w:t>
      </w:r>
      <w:r>
        <w:rPr>
          <w:rFonts w:hint="eastAsia" w:ascii="仿宋" w:hAnsi="仿宋" w:eastAsia="仿宋" w:cs="仿宋"/>
          <w:color w:val="000000" w:themeColor="text1"/>
          <w:sz w:val="24"/>
          <w14:textFill>
            <w14:solidFill>
              <w14:schemeClr w14:val="tx1"/>
            </w14:solidFill>
          </w14:textFill>
        </w:rPr>
        <w:t>日</w:t>
      </w:r>
    </w:p>
    <w:p w14:paraId="271FEA95">
      <w:pPr>
        <w:sectPr>
          <w:pgSz w:w="11906" w:h="16838"/>
          <w:pgMar w:top="1440" w:right="1800" w:bottom="1440" w:left="1800" w:header="851" w:footer="992" w:gutter="0"/>
          <w:cols w:space="425" w:num="1"/>
          <w:docGrid w:type="lines" w:linePitch="312" w:charSpace="0"/>
        </w:sectPr>
      </w:pPr>
    </w:p>
    <w:p w14:paraId="2025847D">
      <w:pPr>
        <w:shd w:val="clear" w:color="auto" w:fill="auto"/>
        <w:ind w:firstLine="480"/>
        <w:rPr>
          <w:rFonts w:hint="eastAsia" w:ascii="宋体" w:hAnsi="宋体" w:cs="宋体"/>
          <w:color w:val="auto"/>
          <w:highlight w:val="none"/>
        </w:rPr>
      </w:pPr>
      <w:r>
        <w:rPr>
          <w:rFonts w:hint="eastAsia" w:ascii="宋体" w:hAnsi="宋体" w:cs="宋体"/>
          <w:b/>
          <w:bCs/>
          <w:color w:val="auto"/>
          <w:sz w:val="28"/>
          <w:szCs w:val="28"/>
          <w:highlight w:val="none"/>
        </w:rPr>
        <w:t>附件一：</w:t>
      </w:r>
      <w:r>
        <w:rPr>
          <w:rFonts w:hint="eastAsia" w:ascii="宋体" w:hAnsi="宋体" w:cs="宋体"/>
          <w:b/>
          <w:bCs/>
          <w:color w:val="auto"/>
          <w:sz w:val="28"/>
          <w:szCs w:val="28"/>
          <w:highlight w:val="none"/>
          <w:lang w:eastAsia="zh-CN"/>
        </w:rPr>
        <w:t>响应</w:t>
      </w:r>
      <w:r>
        <w:rPr>
          <w:rFonts w:hint="eastAsia" w:ascii="宋体" w:hAnsi="宋体" w:cs="宋体"/>
          <w:b/>
          <w:bCs/>
          <w:color w:val="auto"/>
          <w:sz w:val="28"/>
          <w:szCs w:val="28"/>
          <w:highlight w:val="none"/>
        </w:rPr>
        <w:t>登记表</w:t>
      </w:r>
    </w:p>
    <w:p w14:paraId="4B26CA7C">
      <w:pPr>
        <w:shd w:val="clear" w:color="auto" w:fill="auto"/>
        <w:tabs>
          <w:tab w:val="left" w:pos="1984"/>
        </w:tabs>
        <w:snapToGrid w:val="0"/>
        <w:jc w:val="center"/>
        <w:rPr>
          <w:rFonts w:ascii="宋体" w:hAnsi="宋体" w:cs="宋体"/>
          <w:b/>
          <w:color w:val="auto"/>
          <w:sz w:val="28"/>
          <w:szCs w:val="28"/>
          <w:highlight w:val="none"/>
        </w:rPr>
      </w:pPr>
      <w:r>
        <w:rPr>
          <w:rFonts w:hint="eastAsia" w:ascii="宋体" w:hAnsi="宋体" w:cs="宋体"/>
          <w:b/>
          <w:bCs/>
          <w:color w:val="auto"/>
          <w:sz w:val="28"/>
          <w:szCs w:val="28"/>
          <w:highlight w:val="none"/>
          <w:lang w:eastAsia="zh-CN"/>
        </w:rPr>
        <w:t>响应</w:t>
      </w:r>
      <w:r>
        <w:rPr>
          <w:rFonts w:hint="eastAsia" w:ascii="宋体" w:hAnsi="宋体" w:cs="宋体"/>
          <w:b/>
          <w:color w:val="auto"/>
          <w:sz w:val="28"/>
          <w:szCs w:val="28"/>
          <w:highlight w:val="none"/>
        </w:rPr>
        <w:t>登记表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2"/>
        <w:gridCol w:w="1559"/>
        <w:gridCol w:w="915"/>
        <w:gridCol w:w="318"/>
        <w:gridCol w:w="1461"/>
        <w:gridCol w:w="71"/>
        <w:gridCol w:w="921"/>
        <w:gridCol w:w="2392"/>
      </w:tblGrid>
      <w:tr w14:paraId="34F1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742" w:type="dxa"/>
            <w:noWrap w:val="0"/>
            <w:vAlign w:val="center"/>
          </w:tcPr>
          <w:p w14:paraId="0F76B143">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项目编号</w:t>
            </w:r>
          </w:p>
        </w:tc>
        <w:tc>
          <w:tcPr>
            <w:tcW w:w="2792" w:type="dxa"/>
            <w:gridSpan w:val="3"/>
            <w:noWrap w:val="0"/>
            <w:vAlign w:val="center"/>
          </w:tcPr>
          <w:p w14:paraId="338D65B5">
            <w:pPr>
              <w:pStyle w:val="6"/>
              <w:shd w:val="clear" w:color="auto" w:fill="auto"/>
              <w:rPr>
                <w:rFonts w:hint="default" w:ascii="宋体" w:hAnsi="宋体" w:cs="宋体"/>
                <w:color w:val="auto"/>
                <w:sz w:val="24"/>
                <w:highlight w:val="none"/>
              </w:rPr>
            </w:pPr>
          </w:p>
        </w:tc>
        <w:tc>
          <w:tcPr>
            <w:tcW w:w="1532" w:type="dxa"/>
            <w:gridSpan w:val="2"/>
            <w:noWrap w:val="0"/>
            <w:vAlign w:val="center"/>
          </w:tcPr>
          <w:p w14:paraId="52A10774">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日期</w:t>
            </w:r>
          </w:p>
        </w:tc>
        <w:tc>
          <w:tcPr>
            <w:tcW w:w="3313" w:type="dxa"/>
            <w:gridSpan w:val="2"/>
            <w:noWrap w:val="0"/>
            <w:vAlign w:val="center"/>
          </w:tcPr>
          <w:p w14:paraId="45B6A0BF">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年   月   日</w:t>
            </w:r>
          </w:p>
        </w:tc>
      </w:tr>
      <w:tr w14:paraId="6C47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742" w:type="dxa"/>
            <w:noWrap w:val="0"/>
            <w:vAlign w:val="center"/>
          </w:tcPr>
          <w:p w14:paraId="5869BC2A">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项目名称</w:t>
            </w:r>
          </w:p>
        </w:tc>
        <w:tc>
          <w:tcPr>
            <w:tcW w:w="7637" w:type="dxa"/>
            <w:gridSpan w:val="7"/>
            <w:noWrap w:val="0"/>
            <w:vAlign w:val="center"/>
          </w:tcPr>
          <w:p w14:paraId="0520520F">
            <w:pPr>
              <w:pStyle w:val="6"/>
              <w:shd w:val="clear" w:color="auto" w:fill="auto"/>
              <w:rPr>
                <w:rFonts w:hint="default" w:ascii="宋体" w:hAnsi="宋体" w:cs="宋体"/>
                <w:color w:val="auto"/>
                <w:sz w:val="24"/>
                <w:highlight w:val="none"/>
              </w:rPr>
            </w:pPr>
          </w:p>
        </w:tc>
      </w:tr>
      <w:tr w14:paraId="5EB7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742" w:type="dxa"/>
            <w:vMerge w:val="restart"/>
            <w:noWrap w:val="0"/>
            <w:vAlign w:val="center"/>
          </w:tcPr>
          <w:p w14:paraId="0FAF656A">
            <w:pPr>
              <w:pStyle w:val="6"/>
              <w:shd w:val="clear" w:color="auto" w:fill="auto"/>
              <w:rPr>
                <w:rFonts w:hint="default" w:ascii="宋体" w:hAnsi="宋体" w:cs="宋体"/>
                <w:color w:val="auto"/>
                <w:sz w:val="24"/>
                <w:highlight w:val="none"/>
              </w:rPr>
            </w:pPr>
            <w:r>
              <w:rPr>
                <w:rFonts w:hint="eastAsia" w:ascii="宋体" w:hAnsi="宋体" w:cs="宋体"/>
                <w:color w:val="auto"/>
                <w:sz w:val="24"/>
                <w:highlight w:val="none"/>
                <w:lang w:eastAsia="zh-CN"/>
              </w:rPr>
              <w:t>供应商</w:t>
            </w:r>
            <w:r>
              <w:rPr>
                <w:rFonts w:ascii="宋体" w:hAnsi="宋体" w:cs="宋体"/>
                <w:color w:val="auto"/>
                <w:sz w:val="24"/>
                <w:highlight w:val="none"/>
              </w:rPr>
              <w:t>信息</w:t>
            </w:r>
          </w:p>
        </w:tc>
        <w:tc>
          <w:tcPr>
            <w:tcW w:w="1559" w:type="dxa"/>
            <w:noWrap w:val="0"/>
            <w:vAlign w:val="center"/>
          </w:tcPr>
          <w:p w14:paraId="75B7131E">
            <w:pPr>
              <w:pStyle w:val="6"/>
              <w:shd w:val="clear" w:color="auto" w:fill="auto"/>
              <w:rPr>
                <w:rFonts w:hint="default" w:ascii="宋体" w:hAnsi="宋体" w:cs="宋体"/>
                <w:color w:val="auto"/>
                <w:sz w:val="24"/>
                <w:highlight w:val="none"/>
              </w:rPr>
            </w:pPr>
            <w:r>
              <w:rPr>
                <w:rFonts w:hint="eastAsia" w:ascii="宋体" w:hAnsi="宋体" w:cs="宋体"/>
                <w:color w:val="auto"/>
                <w:sz w:val="24"/>
                <w:highlight w:val="none"/>
                <w:lang w:eastAsia="zh-CN"/>
              </w:rPr>
              <w:t>供应商</w:t>
            </w:r>
            <w:r>
              <w:rPr>
                <w:rFonts w:ascii="宋体" w:hAnsi="宋体" w:cs="宋体"/>
                <w:color w:val="auto"/>
                <w:sz w:val="24"/>
                <w:highlight w:val="none"/>
              </w:rPr>
              <w:t>名称</w:t>
            </w:r>
          </w:p>
        </w:tc>
        <w:tc>
          <w:tcPr>
            <w:tcW w:w="6078" w:type="dxa"/>
            <w:gridSpan w:val="6"/>
            <w:noWrap w:val="0"/>
            <w:vAlign w:val="center"/>
          </w:tcPr>
          <w:p w14:paraId="67CC84AB">
            <w:pPr>
              <w:pStyle w:val="6"/>
              <w:shd w:val="clear" w:color="auto" w:fill="auto"/>
              <w:rPr>
                <w:rFonts w:hint="default" w:ascii="宋体" w:hAnsi="宋体" w:cs="宋体"/>
                <w:color w:val="auto"/>
                <w:sz w:val="24"/>
                <w:highlight w:val="none"/>
              </w:rPr>
            </w:pPr>
          </w:p>
        </w:tc>
      </w:tr>
      <w:tr w14:paraId="0E30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742" w:type="dxa"/>
            <w:vMerge w:val="continue"/>
            <w:noWrap w:val="0"/>
            <w:vAlign w:val="center"/>
          </w:tcPr>
          <w:p w14:paraId="1B3395AB">
            <w:pPr>
              <w:pStyle w:val="6"/>
              <w:shd w:val="clear" w:color="auto" w:fill="auto"/>
              <w:rPr>
                <w:rFonts w:hint="default" w:ascii="宋体" w:hAnsi="宋体" w:cs="宋体"/>
                <w:color w:val="auto"/>
                <w:sz w:val="24"/>
                <w:highlight w:val="none"/>
              </w:rPr>
            </w:pPr>
          </w:p>
        </w:tc>
        <w:tc>
          <w:tcPr>
            <w:tcW w:w="1559" w:type="dxa"/>
            <w:noWrap w:val="0"/>
            <w:vAlign w:val="center"/>
          </w:tcPr>
          <w:p w14:paraId="79D8FEFE">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地址</w:t>
            </w:r>
          </w:p>
        </w:tc>
        <w:tc>
          <w:tcPr>
            <w:tcW w:w="6078" w:type="dxa"/>
            <w:gridSpan w:val="6"/>
            <w:noWrap w:val="0"/>
            <w:vAlign w:val="center"/>
          </w:tcPr>
          <w:p w14:paraId="478290E1">
            <w:pPr>
              <w:pStyle w:val="6"/>
              <w:shd w:val="clear" w:color="auto" w:fill="auto"/>
              <w:rPr>
                <w:rFonts w:hint="default" w:ascii="宋体" w:hAnsi="宋体" w:cs="宋体"/>
                <w:color w:val="auto"/>
                <w:sz w:val="24"/>
                <w:highlight w:val="none"/>
              </w:rPr>
            </w:pPr>
          </w:p>
        </w:tc>
      </w:tr>
      <w:tr w14:paraId="62CC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742" w:type="dxa"/>
            <w:vMerge w:val="continue"/>
            <w:noWrap w:val="0"/>
            <w:vAlign w:val="center"/>
          </w:tcPr>
          <w:p w14:paraId="4001E49E">
            <w:pPr>
              <w:pStyle w:val="6"/>
              <w:shd w:val="clear" w:color="auto" w:fill="auto"/>
              <w:rPr>
                <w:rFonts w:hint="default" w:ascii="宋体" w:hAnsi="宋体" w:cs="宋体"/>
                <w:color w:val="auto"/>
                <w:sz w:val="24"/>
                <w:highlight w:val="none"/>
              </w:rPr>
            </w:pPr>
          </w:p>
        </w:tc>
        <w:tc>
          <w:tcPr>
            <w:tcW w:w="1559" w:type="dxa"/>
            <w:vMerge w:val="restart"/>
            <w:noWrap w:val="0"/>
            <w:vAlign w:val="center"/>
          </w:tcPr>
          <w:p w14:paraId="0D27FA65">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联系人</w:t>
            </w:r>
          </w:p>
        </w:tc>
        <w:tc>
          <w:tcPr>
            <w:tcW w:w="915" w:type="dxa"/>
            <w:noWrap w:val="0"/>
            <w:vAlign w:val="center"/>
          </w:tcPr>
          <w:p w14:paraId="3163A5DD">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姓名</w:t>
            </w:r>
          </w:p>
        </w:tc>
        <w:tc>
          <w:tcPr>
            <w:tcW w:w="1779" w:type="dxa"/>
            <w:gridSpan w:val="2"/>
            <w:noWrap w:val="0"/>
            <w:vAlign w:val="center"/>
          </w:tcPr>
          <w:p w14:paraId="25570EF5">
            <w:pPr>
              <w:pStyle w:val="6"/>
              <w:shd w:val="clear" w:color="auto" w:fill="auto"/>
              <w:rPr>
                <w:rFonts w:hint="default" w:ascii="宋体" w:hAnsi="宋体" w:cs="宋体"/>
                <w:color w:val="auto"/>
                <w:sz w:val="24"/>
                <w:highlight w:val="none"/>
              </w:rPr>
            </w:pPr>
          </w:p>
        </w:tc>
        <w:tc>
          <w:tcPr>
            <w:tcW w:w="992" w:type="dxa"/>
            <w:gridSpan w:val="2"/>
            <w:noWrap w:val="0"/>
            <w:vAlign w:val="center"/>
          </w:tcPr>
          <w:p w14:paraId="16CB790D">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传真</w:t>
            </w:r>
          </w:p>
        </w:tc>
        <w:tc>
          <w:tcPr>
            <w:tcW w:w="2392" w:type="dxa"/>
            <w:noWrap w:val="0"/>
            <w:vAlign w:val="center"/>
          </w:tcPr>
          <w:p w14:paraId="5079E00C">
            <w:pPr>
              <w:pStyle w:val="6"/>
              <w:shd w:val="clear" w:color="auto" w:fill="auto"/>
              <w:rPr>
                <w:rFonts w:hint="default" w:ascii="宋体" w:hAnsi="宋体" w:cs="宋体"/>
                <w:color w:val="auto"/>
                <w:sz w:val="24"/>
                <w:highlight w:val="none"/>
              </w:rPr>
            </w:pPr>
          </w:p>
        </w:tc>
      </w:tr>
      <w:tr w14:paraId="5C07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jc w:val="center"/>
        </w:trPr>
        <w:tc>
          <w:tcPr>
            <w:tcW w:w="1742" w:type="dxa"/>
            <w:vMerge w:val="continue"/>
            <w:noWrap w:val="0"/>
            <w:vAlign w:val="center"/>
          </w:tcPr>
          <w:p w14:paraId="1B5D964A">
            <w:pPr>
              <w:pStyle w:val="6"/>
              <w:shd w:val="clear" w:color="auto" w:fill="auto"/>
              <w:rPr>
                <w:rFonts w:hint="default" w:ascii="宋体" w:hAnsi="宋体" w:cs="宋体"/>
                <w:color w:val="auto"/>
                <w:sz w:val="24"/>
                <w:highlight w:val="none"/>
              </w:rPr>
            </w:pPr>
          </w:p>
        </w:tc>
        <w:tc>
          <w:tcPr>
            <w:tcW w:w="1559" w:type="dxa"/>
            <w:vMerge w:val="continue"/>
            <w:noWrap w:val="0"/>
            <w:vAlign w:val="center"/>
          </w:tcPr>
          <w:p w14:paraId="456144BD">
            <w:pPr>
              <w:pStyle w:val="6"/>
              <w:shd w:val="clear" w:color="auto" w:fill="auto"/>
              <w:rPr>
                <w:rFonts w:hint="default" w:ascii="宋体" w:hAnsi="宋体" w:cs="宋体"/>
                <w:color w:val="auto"/>
                <w:sz w:val="24"/>
                <w:highlight w:val="none"/>
              </w:rPr>
            </w:pPr>
          </w:p>
        </w:tc>
        <w:tc>
          <w:tcPr>
            <w:tcW w:w="915" w:type="dxa"/>
            <w:noWrap w:val="0"/>
            <w:vAlign w:val="center"/>
          </w:tcPr>
          <w:p w14:paraId="743F545B">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办公电话</w:t>
            </w:r>
          </w:p>
        </w:tc>
        <w:tc>
          <w:tcPr>
            <w:tcW w:w="1779" w:type="dxa"/>
            <w:gridSpan w:val="2"/>
            <w:noWrap w:val="0"/>
            <w:vAlign w:val="center"/>
          </w:tcPr>
          <w:p w14:paraId="6C6E2E34">
            <w:pPr>
              <w:pStyle w:val="6"/>
              <w:shd w:val="clear" w:color="auto" w:fill="auto"/>
              <w:rPr>
                <w:rFonts w:hint="default" w:ascii="宋体" w:hAnsi="宋体" w:cs="宋体"/>
                <w:color w:val="auto"/>
                <w:sz w:val="24"/>
                <w:highlight w:val="none"/>
              </w:rPr>
            </w:pPr>
          </w:p>
        </w:tc>
        <w:tc>
          <w:tcPr>
            <w:tcW w:w="992" w:type="dxa"/>
            <w:gridSpan w:val="2"/>
            <w:noWrap w:val="0"/>
            <w:vAlign w:val="center"/>
          </w:tcPr>
          <w:p w14:paraId="0C0192E3">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手机</w:t>
            </w:r>
          </w:p>
        </w:tc>
        <w:tc>
          <w:tcPr>
            <w:tcW w:w="2392" w:type="dxa"/>
            <w:noWrap w:val="0"/>
            <w:vAlign w:val="center"/>
          </w:tcPr>
          <w:p w14:paraId="6E7CAFA7">
            <w:pPr>
              <w:pStyle w:val="6"/>
              <w:shd w:val="clear" w:color="auto" w:fill="auto"/>
              <w:rPr>
                <w:rFonts w:hint="default" w:ascii="宋体" w:hAnsi="宋体" w:cs="宋体"/>
                <w:color w:val="auto"/>
                <w:sz w:val="24"/>
                <w:highlight w:val="none"/>
              </w:rPr>
            </w:pPr>
          </w:p>
        </w:tc>
      </w:tr>
      <w:tr w14:paraId="5637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742" w:type="dxa"/>
            <w:vMerge w:val="continue"/>
            <w:noWrap w:val="0"/>
            <w:vAlign w:val="center"/>
          </w:tcPr>
          <w:p w14:paraId="199E20FB">
            <w:pPr>
              <w:pStyle w:val="6"/>
              <w:shd w:val="clear" w:color="auto" w:fill="auto"/>
              <w:rPr>
                <w:rFonts w:hint="default" w:ascii="宋体" w:hAnsi="宋体" w:cs="宋体"/>
                <w:color w:val="auto"/>
                <w:sz w:val="24"/>
                <w:highlight w:val="none"/>
              </w:rPr>
            </w:pPr>
          </w:p>
        </w:tc>
        <w:tc>
          <w:tcPr>
            <w:tcW w:w="1559" w:type="dxa"/>
            <w:vMerge w:val="continue"/>
            <w:noWrap w:val="0"/>
            <w:vAlign w:val="center"/>
          </w:tcPr>
          <w:p w14:paraId="4F87455D">
            <w:pPr>
              <w:pStyle w:val="6"/>
              <w:shd w:val="clear" w:color="auto" w:fill="auto"/>
              <w:rPr>
                <w:rFonts w:hint="default" w:ascii="宋体" w:hAnsi="宋体" w:cs="宋体"/>
                <w:color w:val="auto"/>
                <w:sz w:val="24"/>
                <w:highlight w:val="none"/>
              </w:rPr>
            </w:pPr>
          </w:p>
        </w:tc>
        <w:tc>
          <w:tcPr>
            <w:tcW w:w="915" w:type="dxa"/>
            <w:noWrap w:val="0"/>
            <w:vAlign w:val="center"/>
          </w:tcPr>
          <w:p w14:paraId="0577B0E4">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邮编</w:t>
            </w:r>
          </w:p>
        </w:tc>
        <w:tc>
          <w:tcPr>
            <w:tcW w:w="1779" w:type="dxa"/>
            <w:gridSpan w:val="2"/>
            <w:noWrap w:val="0"/>
            <w:vAlign w:val="center"/>
          </w:tcPr>
          <w:p w14:paraId="6D4355FC">
            <w:pPr>
              <w:pStyle w:val="6"/>
              <w:shd w:val="clear" w:color="auto" w:fill="auto"/>
              <w:rPr>
                <w:rFonts w:hint="default" w:ascii="宋体" w:hAnsi="宋体" w:cs="宋体"/>
                <w:color w:val="auto"/>
                <w:sz w:val="24"/>
                <w:highlight w:val="none"/>
              </w:rPr>
            </w:pPr>
          </w:p>
        </w:tc>
        <w:tc>
          <w:tcPr>
            <w:tcW w:w="992" w:type="dxa"/>
            <w:gridSpan w:val="2"/>
            <w:noWrap w:val="0"/>
            <w:vAlign w:val="center"/>
          </w:tcPr>
          <w:p w14:paraId="47F11E47">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邮箱</w:t>
            </w:r>
          </w:p>
        </w:tc>
        <w:tc>
          <w:tcPr>
            <w:tcW w:w="2392" w:type="dxa"/>
            <w:noWrap w:val="0"/>
            <w:vAlign w:val="center"/>
          </w:tcPr>
          <w:p w14:paraId="3BFC114E">
            <w:pPr>
              <w:pStyle w:val="6"/>
              <w:shd w:val="clear" w:color="auto" w:fill="auto"/>
              <w:rPr>
                <w:rFonts w:hint="default" w:ascii="宋体" w:hAnsi="宋体" w:cs="宋体"/>
                <w:color w:val="auto"/>
                <w:sz w:val="24"/>
                <w:highlight w:val="none"/>
              </w:rPr>
            </w:pPr>
          </w:p>
        </w:tc>
      </w:tr>
      <w:tr w14:paraId="20B8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742" w:type="dxa"/>
            <w:noWrap w:val="0"/>
            <w:vAlign w:val="center"/>
          </w:tcPr>
          <w:p w14:paraId="52BA5D53">
            <w:pPr>
              <w:pStyle w:val="6"/>
              <w:shd w:val="clear" w:color="auto" w:fill="auto"/>
              <w:rPr>
                <w:rFonts w:hint="default" w:ascii="宋体" w:hAnsi="宋体" w:cs="宋体"/>
                <w:color w:val="auto"/>
                <w:sz w:val="24"/>
                <w:highlight w:val="none"/>
              </w:rPr>
            </w:pPr>
            <w:r>
              <w:rPr>
                <w:rFonts w:ascii="宋体" w:hAnsi="宋体" w:cs="宋体"/>
                <w:color w:val="auto"/>
                <w:sz w:val="24"/>
                <w:highlight w:val="none"/>
              </w:rPr>
              <w:t>备注</w:t>
            </w:r>
          </w:p>
        </w:tc>
        <w:tc>
          <w:tcPr>
            <w:tcW w:w="7637" w:type="dxa"/>
            <w:gridSpan w:val="7"/>
            <w:noWrap w:val="0"/>
            <w:vAlign w:val="center"/>
          </w:tcPr>
          <w:p w14:paraId="5DCAEB22">
            <w:pPr>
              <w:pStyle w:val="6"/>
              <w:shd w:val="clear" w:color="auto" w:fill="auto"/>
              <w:rPr>
                <w:rFonts w:hint="default" w:ascii="宋体" w:hAnsi="宋体" w:cs="宋体"/>
                <w:color w:val="auto"/>
                <w:sz w:val="24"/>
                <w:highlight w:val="none"/>
              </w:rPr>
            </w:pPr>
          </w:p>
        </w:tc>
      </w:tr>
    </w:tbl>
    <w:p w14:paraId="625CD79B">
      <w:pPr>
        <w:shd w:val="clear" w:color="auto" w:fill="auto"/>
        <w:tabs>
          <w:tab w:val="left" w:pos="1984"/>
        </w:tabs>
        <w:snapToGrid w:val="0"/>
        <w:ind w:left="447" w:leftChars="213" w:firstLine="420"/>
        <w:rPr>
          <w:rFonts w:ascii="宋体" w:hAnsi="宋体" w:cs="宋体"/>
          <w:color w:val="auto"/>
          <w:sz w:val="24"/>
          <w:highlight w:val="none"/>
        </w:rPr>
      </w:pPr>
    </w:p>
    <w:p w14:paraId="2D10D605">
      <w:pPr>
        <w:shd w:val="clear" w:color="auto" w:fill="auto"/>
        <w:tabs>
          <w:tab w:val="left" w:pos="1984"/>
        </w:tabs>
        <w:snapToGrid w:val="0"/>
        <w:ind w:left="447" w:leftChars="213" w:firstLine="4620" w:firstLineChars="2200"/>
        <w:rPr>
          <w:rFonts w:ascii="宋体" w:hAnsi="宋体" w:cs="宋体"/>
          <w:color w:val="auto"/>
          <w:highlight w:val="none"/>
        </w:rPr>
      </w:pPr>
    </w:p>
    <w:p w14:paraId="5E4EB203">
      <w:pPr>
        <w:shd w:val="clear" w:color="auto" w:fill="auto"/>
        <w:spacing w:line="360" w:lineRule="auto"/>
        <w:ind w:firstLine="3600" w:firstLineChars="1500"/>
        <w:rPr>
          <w:rFonts w:ascii="宋体" w:hAnsi="宋体" w:cs="宋体"/>
          <w:color w:val="auto"/>
          <w:sz w:val="24"/>
          <w:highlight w:val="none"/>
          <w:u w:val="single"/>
        </w:rPr>
      </w:pPr>
      <w:r>
        <w:rPr>
          <w:rFonts w:hint="eastAsia" w:ascii="宋体" w:hAnsi="宋体" w:cs="宋体"/>
          <w:color w:val="auto"/>
          <w:sz w:val="24"/>
          <w:highlight w:val="none"/>
        </w:rPr>
        <w:t>单位名称（公章）：</w:t>
      </w:r>
    </w:p>
    <w:p w14:paraId="0721B9A9">
      <w:pPr>
        <w:shd w:val="clear" w:color="auto" w:fill="auto"/>
        <w:spacing w:line="360"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日  期：</w:t>
      </w:r>
    </w:p>
    <w:p w14:paraId="18D81FE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1664BA"/>
    <w:rsid w:val="5C6C4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kern w:val="0"/>
      <w:sz w:val="24"/>
      <w:szCs w:val="20"/>
    </w:rPr>
  </w:style>
  <w:style w:type="paragraph" w:customStyle="1" w:styleId="5">
    <w:name w:val="_Style 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
    <w:name w:val="无间隔11"/>
    <w:basedOn w:val="1"/>
    <w:qFormat/>
    <w:uiPriority w:val="0"/>
    <w:pPr>
      <w:jc w:val="center"/>
    </w:pPr>
    <w:rPr>
      <w:rFonts w:hint="eastAsi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2026-10-29T08:40:10Z</dcterms:created>
  <dc:creator>Administrator</dc:creator>
  <cp:lastModifiedBy>user</cp:lastModifiedBy>
  <dcterms:modified xsi:type="dcterms:W3CDTF">2026-10-29T08:50:14Z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eyJoZGlkIjoiMzI0YjE2M2I1OWVmMmQyMTRiN2RkMzE1ZTk0MGJhNmUiLCJ1c2VySWQiOiIzMTA5ODE4MDAifQ==</vt:lpwstr>
  </property>
  <property fmtid="{D5CDD505-2E9C-101B-9397-08002B2CF9AE}" pid="4" name="ICV">
    <vt:lpwstr>E5893B0F04304BC4A932081145857ED9_12</vt:lpwstr>
  </property>
</Properties>
</file>