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EA171">
      <w:pPr>
        <w:ind w:firstLine="3202" w:firstLineChars="1000"/>
        <w:jc w:val="both"/>
        <w:rPr>
          <w:rFonts w:eastAsia="微软雅黑"/>
          <w:b/>
          <w:color w:val="auto"/>
          <w:sz w:val="32"/>
          <w:szCs w:val="32"/>
          <w:highlight w:val="none"/>
        </w:rPr>
      </w:pPr>
      <w:r>
        <w:rPr>
          <w:rFonts w:eastAsia="微软雅黑"/>
          <w:b/>
          <w:color w:val="auto"/>
          <w:sz w:val="32"/>
          <w:szCs w:val="32"/>
          <w:highlight w:val="none"/>
        </w:rPr>
        <w:t>货物类/服务类政府采购项目</w:t>
      </w:r>
    </w:p>
    <w:p w14:paraId="413DA401">
      <w:pPr>
        <w:jc w:val="center"/>
        <w:rPr>
          <w:rFonts w:eastAsia="微软雅黑"/>
          <w:b/>
          <w:color w:val="auto"/>
          <w:sz w:val="32"/>
          <w:szCs w:val="32"/>
          <w:highlight w:val="none"/>
        </w:rPr>
      </w:pPr>
      <w:r>
        <w:rPr>
          <w:rFonts w:eastAsia="微软雅黑"/>
          <w:b/>
          <w:color w:val="auto"/>
          <w:sz w:val="32"/>
          <w:szCs w:val="32"/>
          <w:highlight w:val="none"/>
        </w:rPr>
        <w:t>采购需求及信息填报表</w:t>
      </w:r>
    </w:p>
    <w:p w14:paraId="24FFD85C">
      <w:pPr>
        <w:numPr>
          <w:ilvl w:val="0"/>
          <w:numId w:val="1"/>
        </w:numPr>
        <w:jc w:val="left"/>
        <w:rPr>
          <w:rFonts w:eastAsia="方正书宋简体"/>
          <w:b/>
          <w:color w:val="auto"/>
          <w:szCs w:val="21"/>
          <w:highlight w:val="none"/>
        </w:rPr>
      </w:pPr>
      <w:r>
        <w:rPr>
          <w:rFonts w:eastAsia="方正书宋简体"/>
          <w:b/>
          <w:color w:val="auto"/>
          <w:szCs w:val="21"/>
          <w:highlight w:val="none"/>
        </w:rPr>
        <w:t>采购标的需实现的功能或者目标：</w:t>
      </w:r>
    </w:p>
    <w:p w14:paraId="36BEA3A4">
      <w:pPr>
        <w:numPr>
          <w:ilvl w:val="0"/>
          <w:numId w:val="0"/>
        </w:numPr>
        <w:ind w:firstLine="420" w:firstLineChars="200"/>
        <w:jc w:val="left"/>
        <w:rPr>
          <w:rFonts w:hint="eastAsia" w:ascii="方正书宋简体" w:hAnsi="宋体" w:eastAsia="方正书宋简体" w:cs="Times New Roman"/>
          <w:b w:val="0"/>
          <w:bCs/>
          <w:color w:val="auto"/>
          <w:szCs w:val="21"/>
          <w:highlight w:val="none"/>
          <w:lang w:eastAsia="zh-CN"/>
        </w:rPr>
      </w:pPr>
      <w:r>
        <w:rPr>
          <w:rFonts w:hint="eastAsia" w:ascii="方正书宋简体" w:hAnsi="宋体" w:eastAsia="方正书宋简体" w:cs="Times New Roman"/>
          <w:b w:val="0"/>
          <w:bCs/>
          <w:color w:val="auto"/>
          <w:szCs w:val="21"/>
          <w:highlight w:val="none"/>
          <w:lang w:eastAsia="zh-CN"/>
        </w:rPr>
        <w:t>为更好地为全校广大师生员工提供优质的餐饮服务，提升食品安全，降低采购价格，优化饮食原材料供应商结构。根据国家招标采购相关文件精神，哈尔滨工业大学将对饮食原材料采购进行公开招标。</w:t>
      </w:r>
    </w:p>
    <w:p w14:paraId="7A2C6756">
      <w:pPr>
        <w:numPr>
          <w:ilvl w:val="0"/>
          <w:numId w:val="0"/>
        </w:numPr>
        <w:ind w:left="420" w:leftChars="0"/>
        <w:jc w:val="left"/>
        <w:rPr>
          <w:rFonts w:eastAsia="方正书宋简体"/>
          <w:b/>
          <w:color w:val="auto"/>
          <w:szCs w:val="21"/>
          <w:highlight w:val="none"/>
        </w:rPr>
      </w:pPr>
    </w:p>
    <w:p w14:paraId="59952568">
      <w:pPr>
        <w:numPr>
          <w:ilvl w:val="0"/>
          <w:numId w:val="1"/>
        </w:numPr>
        <w:jc w:val="left"/>
        <w:rPr>
          <w:rFonts w:hint="eastAsia" w:ascii="方正书宋简体" w:hAnsi="宋体" w:eastAsia="方正书宋简体" w:cs="Times New Roman"/>
          <w:b w:val="0"/>
          <w:bCs/>
          <w:color w:val="auto"/>
          <w:szCs w:val="21"/>
          <w:highlight w:val="none"/>
          <w:lang w:eastAsia="zh-CN"/>
        </w:rPr>
      </w:pPr>
      <w:r>
        <w:rPr>
          <w:rFonts w:hint="eastAsia" w:ascii="方正书宋简体" w:hAnsi="宋体" w:eastAsia="方正书宋简体"/>
          <w:b/>
          <w:bCs w:val="0"/>
          <w:color w:val="auto"/>
          <w:szCs w:val="21"/>
          <w:highlight w:val="none"/>
          <w:lang w:val="en-US" w:eastAsia="zh-CN"/>
        </w:rPr>
        <w:t>采购标的</w:t>
      </w:r>
      <w:r>
        <w:rPr>
          <w:rFonts w:hint="eastAsia" w:ascii="方正书宋简体" w:hAnsi="宋体" w:eastAsia="方正书宋简体"/>
          <w:b/>
          <w:bCs w:val="0"/>
          <w:color w:val="auto"/>
          <w:szCs w:val="21"/>
          <w:highlight w:val="none"/>
        </w:rPr>
        <w:t>明细</w:t>
      </w:r>
      <w:r>
        <w:rPr>
          <w:rFonts w:hint="eastAsia" w:ascii="方正书宋简体" w:hAnsi="宋体" w:eastAsia="方正书宋简体"/>
          <w:b/>
          <w:color w:val="auto"/>
          <w:szCs w:val="21"/>
          <w:highlight w:val="none"/>
        </w:rPr>
        <w:t>（名称、数量、单位）</w:t>
      </w:r>
      <w:r>
        <w:rPr>
          <w:rFonts w:hint="eastAsia" w:ascii="方正书宋简体" w:hAnsi="宋体" w:eastAsia="方正书宋简体"/>
          <w:b/>
          <w:color w:val="auto"/>
          <w:szCs w:val="21"/>
          <w:highlight w:val="none"/>
          <w:lang w:eastAsia="zh-CN"/>
        </w:rPr>
        <w:t>：</w:t>
      </w:r>
    </w:p>
    <w:p w14:paraId="3504A50B">
      <w:pPr>
        <w:numPr>
          <w:ilvl w:val="0"/>
          <w:numId w:val="0"/>
        </w:numPr>
        <w:ind w:left="420" w:leftChars="0"/>
        <w:jc w:val="left"/>
        <w:rPr>
          <w:rFonts w:hint="eastAsia" w:ascii="方正书宋简体" w:hAnsi="宋体" w:eastAsia="方正书宋简体" w:cs="Times New Roman"/>
          <w:b w:val="0"/>
          <w:bCs/>
          <w:color w:val="auto"/>
          <w:szCs w:val="21"/>
          <w:highlight w:val="none"/>
          <w:lang w:eastAsia="zh-CN"/>
        </w:rPr>
      </w:pPr>
      <w:r>
        <w:rPr>
          <w:rFonts w:hint="eastAsia" w:ascii="方正书宋简体" w:hAnsi="宋体" w:eastAsia="方正书宋简体" w:cs="Times New Roman"/>
          <w:b w:val="0"/>
          <w:bCs/>
          <w:color w:val="auto"/>
          <w:szCs w:val="21"/>
          <w:highlight w:val="none"/>
          <w:lang w:val="en-US" w:eastAsia="zh-CN"/>
        </w:rPr>
        <w:t>本项目划分为两个标段（包一740238.00元，包二740238.00元），</w:t>
      </w:r>
      <w:r>
        <w:rPr>
          <w:rFonts w:hint="eastAsia" w:ascii="方正书宋简体" w:hAnsi="宋体" w:eastAsia="方正书宋简体" w:cs="Times New Roman"/>
          <w:b w:val="0"/>
          <w:bCs/>
          <w:color w:val="auto"/>
          <w:szCs w:val="21"/>
          <w:highlight w:val="none"/>
          <w:lang w:val="en-US" w:eastAsia="zh-CN"/>
        </w:rPr>
        <w:t>允许兼投但不允许兼中，即兼投不兼中</w:t>
      </w:r>
      <w:r>
        <w:rPr>
          <w:rFonts w:hint="eastAsia" w:ascii="方正书宋简体" w:hAnsi="宋体" w:eastAsia="方正书宋简体" w:cs="Times New Roman"/>
          <w:b w:val="0"/>
          <w:bCs/>
          <w:color w:val="auto"/>
          <w:szCs w:val="21"/>
          <w:highlight w:val="none"/>
          <w:lang w:val="en-US" w:eastAsia="zh-CN"/>
        </w:rPr>
        <w:t>，按照第一包、第二包顺序进行评审，优先评审标段的预中标人不再参加后续标段评审。</w:t>
      </w:r>
    </w:p>
    <w:tbl>
      <w:tblPr>
        <w:tblStyle w:val="15"/>
        <w:tblW w:w="10380"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6"/>
        <w:gridCol w:w="1819"/>
        <w:gridCol w:w="750"/>
        <w:gridCol w:w="1620"/>
        <w:gridCol w:w="1125"/>
        <w:gridCol w:w="1200"/>
        <w:gridCol w:w="945"/>
        <w:gridCol w:w="2325"/>
      </w:tblGrid>
      <w:tr w14:paraId="3C799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F66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822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产品名称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5C9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777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规格</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C7F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包一参考数量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FDC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包二参考数量</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AB2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最高限价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36F9">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lang w:eastAsia="zh-CN"/>
              </w:rPr>
            </w:pPr>
            <w:r>
              <w:rPr>
                <w:rFonts w:hint="eastAsia" w:ascii="宋体" w:hAnsi="宋体" w:cs="宋体"/>
                <w:b/>
                <w:bCs/>
                <w:i w:val="0"/>
                <w:iCs w:val="0"/>
                <w:color w:val="auto"/>
                <w:sz w:val="20"/>
                <w:szCs w:val="20"/>
                <w:highlight w:val="none"/>
                <w:u w:val="none"/>
                <w:lang w:eastAsia="zh-CN"/>
              </w:rPr>
              <w:t>所投品牌不得低于以下三个品牌品质</w:t>
            </w:r>
          </w:p>
        </w:tc>
      </w:tr>
      <w:tr w14:paraId="50397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18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45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老豆腐</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44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BE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490g/盒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44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47325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58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47325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2E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4"/>
                <w:szCs w:val="24"/>
                <w:highlight w:val="none"/>
                <w:u w:val="none"/>
                <w:lang w:val="en-US" w:eastAsia="zh-CN" w:bidi="ar"/>
              </w:rPr>
              <w:t>4.00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65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北大荒、豆骅堂、金豆来</w:t>
            </w:r>
          </w:p>
        </w:tc>
      </w:tr>
      <w:tr w14:paraId="35C7A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C1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57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干豆腐</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39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FF9E">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E5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17415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53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17415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23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4"/>
                <w:szCs w:val="24"/>
                <w:highlight w:val="none"/>
                <w:u w:val="none"/>
                <w:lang w:val="en-US" w:eastAsia="zh-CN" w:bidi="ar"/>
              </w:rPr>
              <w:t>9.00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F6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北大荒、豆骅堂、金豆来</w:t>
            </w:r>
          </w:p>
        </w:tc>
      </w:tr>
      <w:tr w14:paraId="5AF9D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2E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72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干豆腐丝</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B2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AC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39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70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5960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94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4"/>
                <w:szCs w:val="24"/>
                <w:highlight w:val="none"/>
                <w:u w:val="none"/>
                <w:lang w:val="en-US" w:eastAsia="zh-CN" w:bidi="ar"/>
              </w:rPr>
              <w:t>10.00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08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豆骅堂、金豆来</w:t>
            </w:r>
          </w:p>
        </w:tc>
      </w:tr>
      <w:tr w14:paraId="3C1D7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84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FE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豆干</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C8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EF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2D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4830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22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AE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4"/>
                <w:szCs w:val="24"/>
                <w:highlight w:val="none"/>
                <w:u w:val="none"/>
                <w:lang w:val="en-US" w:eastAsia="zh-CN" w:bidi="ar"/>
              </w:rPr>
              <w:t>8.00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49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北大荒、豆骅堂、金豆来</w:t>
            </w:r>
          </w:p>
        </w:tc>
      </w:tr>
      <w:tr w14:paraId="0FEA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CE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1C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日本豆腐</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D2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40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85g/支</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84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39765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47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39765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D5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22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北大荒、豆骅堂、金豆来</w:t>
            </w:r>
          </w:p>
        </w:tc>
      </w:tr>
      <w:tr w14:paraId="1D8DF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DA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2F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内脂豆腐</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91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21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400g/盒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36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12110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F5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12110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9A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4"/>
                <w:szCs w:val="24"/>
                <w:highlight w:val="none"/>
                <w:u w:val="none"/>
                <w:lang w:val="en-US" w:eastAsia="zh-CN" w:bidi="ar"/>
              </w:rPr>
              <w:t>2.80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91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北大荒、豆骅堂、金豆来</w:t>
            </w:r>
          </w:p>
        </w:tc>
      </w:tr>
      <w:tr w14:paraId="5AC4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E7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A4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素鸡豆腐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63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F0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01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3290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E1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3290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F7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4"/>
                <w:szCs w:val="24"/>
                <w:highlight w:val="none"/>
                <w:u w:val="none"/>
                <w:lang w:val="en-US" w:eastAsia="zh-CN" w:bidi="ar"/>
              </w:rPr>
              <w:t>8.00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52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北大荒、豆骅堂、金豆来</w:t>
            </w:r>
          </w:p>
        </w:tc>
      </w:tr>
      <w:tr w14:paraId="0DEFF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C7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B2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水豆腐</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A3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板</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B8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9kg/板</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10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5785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BB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5785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9A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4"/>
                <w:szCs w:val="24"/>
                <w:highlight w:val="none"/>
                <w:u w:val="none"/>
                <w:lang w:val="en-US" w:eastAsia="zh-CN" w:bidi="ar"/>
              </w:rPr>
              <w:t>25.00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19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北大荒、豆骅堂、金豆来</w:t>
            </w:r>
          </w:p>
        </w:tc>
      </w:tr>
      <w:tr w14:paraId="5838F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6B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3E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豆腐泡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37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32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89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D6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27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4"/>
                <w:szCs w:val="24"/>
                <w:highlight w:val="none"/>
                <w:u w:val="none"/>
                <w:lang w:val="en-US" w:eastAsia="zh-CN" w:bidi="ar"/>
              </w:rPr>
              <w:t>9.00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C8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北大荒、豆骅堂、金豆来</w:t>
            </w:r>
          </w:p>
        </w:tc>
      </w:tr>
      <w:tr w14:paraId="516D7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35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79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冻豆腐</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08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BD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400g/袋</w:t>
            </w:r>
            <w:r>
              <w:rPr>
                <w:rFonts w:hint="eastAsia" w:ascii="宋体" w:hAnsi="宋体" w:cs="宋体"/>
                <w:i w:val="0"/>
                <w:iCs w:val="0"/>
                <w:color w:val="auto"/>
                <w:kern w:val="0"/>
                <w:sz w:val="22"/>
                <w:szCs w:val="22"/>
                <w:highlight w:val="none"/>
                <w:u w:val="none"/>
                <w:lang w:val="en-US" w:eastAsia="zh-CN" w:bidi="ar"/>
              </w:rPr>
              <w:t>独立包装</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61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3C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77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4"/>
                <w:szCs w:val="24"/>
                <w:highlight w:val="none"/>
                <w:u w:val="none"/>
                <w:lang w:val="en-US" w:eastAsia="zh-CN" w:bidi="ar"/>
              </w:rPr>
              <w:t>2.50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F0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北大荒、豆骅堂、金豆来</w:t>
            </w:r>
          </w:p>
        </w:tc>
      </w:tr>
      <w:tr w14:paraId="02EA5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522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FF0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064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EA7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6C2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方正书宋简体" w:hAnsi="宋体" w:eastAsia="方正书宋简体" w:cs="Times New Roman"/>
                <w:b w:val="0"/>
                <w:bCs/>
                <w:color w:val="auto"/>
                <w:szCs w:val="21"/>
                <w:highlight w:val="none"/>
                <w:lang w:val="en-US" w:eastAsia="zh-CN"/>
              </w:rPr>
              <w:t>740238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024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方正书宋简体" w:hAnsi="宋体" w:eastAsia="方正书宋简体" w:cs="Times New Roman"/>
                <w:b w:val="0"/>
                <w:bCs/>
                <w:color w:val="auto"/>
                <w:szCs w:val="21"/>
                <w:highlight w:val="none"/>
                <w:lang w:val="en-US" w:eastAsia="zh-CN"/>
              </w:rPr>
              <w:t>740238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58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A3B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070C3AF2">
      <w:pPr>
        <w:numPr>
          <w:ilvl w:val="0"/>
          <w:numId w:val="0"/>
        </w:numPr>
        <w:ind w:left="420" w:leftChars="0"/>
        <w:jc w:val="left"/>
        <w:rPr>
          <w:rFonts w:hint="eastAsia" w:ascii="方正书宋简体" w:hAnsi="宋体" w:eastAsia="方正书宋简体" w:cs="Times New Roman"/>
          <w:b w:val="0"/>
          <w:bCs/>
          <w:color w:val="auto"/>
          <w:szCs w:val="21"/>
          <w:highlight w:val="none"/>
          <w:lang w:eastAsia="zh-CN"/>
        </w:rPr>
      </w:pPr>
    </w:p>
    <w:p w14:paraId="71AA15E2">
      <w:pPr>
        <w:pStyle w:val="29"/>
        <w:tabs>
          <w:tab w:val="left" w:pos="2685"/>
        </w:tabs>
        <w:snapToGrid w:val="0"/>
        <w:ind w:firstLine="0" w:firstLineChars="0"/>
        <w:jc w:val="center"/>
        <w:rPr>
          <w:rFonts w:eastAsia="华文仿宋"/>
          <w:bCs/>
          <w:color w:val="auto"/>
          <w:sz w:val="18"/>
          <w:szCs w:val="18"/>
          <w:highlight w:val="none"/>
        </w:rPr>
      </w:pPr>
      <w:sdt>
        <w:sdtPr>
          <w:rPr>
            <w:rFonts w:hint="eastAsia" w:ascii="华文仿宋" w:hAnsi="华文仿宋" w:eastAsia="华文仿宋"/>
            <w:bCs/>
            <w:color w:val="auto"/>
            <w:sz w:val="18"/>
            <w:szCs w:val="18"/>
            <w:highlight w:val="none"/>
          </w:rPr>
          <w:alias w:val="选项框"/>
          <w:tag w:val="选项框"/>
          <w:id w:val="147456242"/>
          <w14:checkbox>
            <w14:checked w14:val="1"/>
            <w14:checkedState w14:val="25A0" w14:font="Malgun Gothic"/>
            <w14:uncheckedState w14:val="2610" w14:font="MS Gothic"/>
          </w14:checkbox>
        </w:sdtPr>
        <w:sdtEndPr>
          <w:rPr>
            <w:rFonts w:hint="eastAsia" w:ascii="华文仿宋" w:hAnsi="华文仿宋" w:eastAsia="华文仿宋"/>
            <w:bCs/>
            <w:color w:val="auto"/>
            <w:sz w:val="18"/>
            <w:szCs w:val="18"/>
            <w:highlight w:val="none"/>
          </w:rPr>
        </w:sdtEndPr>
        <w:sdtContent>
          <w:r>
            <w:rPr>
              <w:rFonts w:hint="eastAsia" w:ascii="Malgun Gothic" w:hAnsi="Malgun Gothic" w:eastAsia="MS Gothic" w:cs="Times New Roman"/>
              <w:bCs/>
              <w:color w:val="auto"/>
              <w:kern w:val="2"/>
              <w:sz w:val="18"/>
              <w:szCs w:val="18"/>
              <w:highlight w:val="none"/>
              <w:lang w:val="en-US" w:eastAsia="zh-CN" w:bidi="ar-SA"/>
            </w:rPr>
            <w:t>■</w:t>
          </w:r>
        </w:sdtContent>
      </w:sdt>
      <w:r>
        <w:rPr>
          <w:rFonts w:eastAsia="华文仿宋"/>
          <w:bCs/>
          <w:color w:val="auto"/>
          <w:sz w:val="18"/>
          <w:szCs w:val="18"/>
          <w:highlight w:val="none"/>
        </w:rPr>
        <w:t>是/</w:t>
      </w:r>
      <w:sdt>
        <w:sdtPr>
          <w:rPr>
            <w:rFonts w:hint="eastAsia" w:ascii="华文仿宋" w:hAnsi="华文仿宋" w:eastAsia="华文仿宋"/>
            <w:bCs/>
            <w:color w:val="auto"/>
            <w:sz w:val="18"/>
            <w:szCs w:val="18"/>
            <w:highlight w:val="none"/>
          </w:rPr>
          <w:alias w:val="选项框"/>
          <w:tag w:val="选项框"/>
          <w:id w:val="147457525"/>
          <w14:checkbox>
            <w14:checked w14:val="0"/>
            <w14:checkedState w14:val="25A0" w14:font="Malgun Gothic"/>
            <w14:uncheckedState w14:val="2610" w14:font="MS Gothic"/>
          </w14:checkbox>
        </w:sdtPr>
        <w:sdtEndPr>
          <w:rPr>
            <w:rFonts w:hint="eastAsia" w:ascii="华文仿宋" w:hAnsi="华文仿宋" w:eastAsia="华文仿宋"/>
            <w:bCs/>
            <w:color w:val="auto"/>
            <w:sz w:val="18"/>
            <w:szCs w:val="18"/>
            <w:highlight w:val="none"/>
          </w:rPr>
        </w:sdtEndPr>
        <w:sdtContent>
          <w:r>
            <w:rPr>
              <w:rFonts w:hint="eastAsia" w:ascii="MS Gothic" w:hAnsi="MS Gothic" w:eastAsia="MS Gothic"/>
              <w:bCs/>
              <w:color w:val="auto"/>
              <w:sz w:val="18"/>
              <w:szCs w:val="18"/>
              <w:highlight w:val="none"/>
            </w:rPr>
            <w:t>☐</w:t>
          </w:r>
        </w:sdtContent>
      </w:sdt>
      <w:r>
        <w:rPr>
          <w:rFonts w:eastAsia="华文仿宋"/>
          <w:bCs/>
          <w:color w:val="auto"/>
          <w:sz w:val="18"/>
          <w:szCs w:val="18"/>
          <w:highlight w:val="none"/>
        </w:rPr>
        <w:t>否实行分项预算控制</w:t>
      </w:r>
    </w:p>
    <w:p w14:paraId="0A2BCB9E">
      <w:pPr>
        <w:pStyle w:val="14"/>
        <w:rPr>
          <w:color w:val="auto"/>
          <w:highlight w:val="none"/>
        </w:rPr>
      </w:pPr>
      <w:r>
        <w:rPr>
          <w:rFonts w:eastAsia="华文仿宋"/>
          <w:bCs/>
          <w:color w:val="auto"/>
          <w:sz w:val="18"/>
          <w:szCs w:val="18"/>
          <w:highlight w:val="none"/>
        </w:rPr>
        <w:t>（即供应商对应分项报价，不得超过本表分项预算，分项报价超过对应分项预算的，其投标作无效投标处理”）</w:t>
      </w:r>
    </w:p>
    <w:p w14:paraId="498A62F2">
      <w:pPr>
        <w:numPr>
          <w:ilvl w:val="0"/>
          <w:numId w:val="0"/>
        </w:numPr>
        <w:ind w:left="420" w:leftChars="0"/>
        <w:jc w:val="left"/>
        <w:rPr>
          <w:rFonts w:eastAsia="方正书宋简体"/>
          <w:b/>
          <w:color w:val="auto"/>
          <w:szCs w:val="21"/>
          <w:highlight w:val="none"/>
        </w:rPr>
      </w:pPr>
    </w:p>
    <w:p w14:paraId="2D2983A9">
      <w:pPr>
        <w:jc w:val="left"/>
        <w:rPr>
          <w:rFonts w:eastAsia="华文仿宋"/>
          <w:b/>
          <w:color w:val="auto"/>
          <w:sz w:val="18"/>
          <w:szCs w:val="18"/>
          <w:highlight w:val="none"/>
        </w:rPr>
      </w:pPr>
    </w:p>
    <w:p w14:paraId="18BF20E0">
      <w:pPr>
        <w:numPr>
          <w:ilvl w:val="0"/>
          <w:numId w:val="1"/>
        </w:numPr>
        <w:jc w:val="left"/>
        <w:rPr>
          <w:rFonts w:eastAsia="方正书宋简体"/>
          <w:b/>
          <w:color w:val="auto"/>
          <w:szCs w:val="21"/>
          <w:highlight w:val="none"/>
        </w:rPr>
      </w:pPr>
      <w:r>
        <w:rPr>
          <w:rFonts w:eastAsia="方正书宋简体"/>
          <w:b/>
          <w:color w:val="auto"/>
          <w:szCs w:val="21"/>
          <w:highlight w:val="none"/>
        </w:rPr>
        <w:t>需执行的相关政策合规要求、执行标准和规范要求：</w:t>
      </w:r>
    </w:p>
    <w:p w14:paraId="141B1289">
      <w:pPr>
        <w:widowControl/>
        <w:spacing w:line="360" w:lineRule="auto"/>
        <w:ind w:firstLine="420" w:firstLineChars="200"/>
        <w:rPr>
          <w:rFonts w:hint="eastAsia" w:ascii="宋体" w:hAnsi="宋体" w:eastAsia="宋体" w:cs="宋体"/>
          <w:color w:val="auto"/>
          <w:kern w:val="0"/>
          <w:sz w:val="24"/>
          <w:highlight w:val="none"/>
          <w:lang w:val="en-US" w:eastAsia="zh-CN"/>
        </w:rPr>
      </w:pPr>
      <w:r>
        <w:rPr>
          <w:rFonts w:hint="eastAsia" w:ascii="宋体" w:hAnsi="宋体" w:cs="宋体"/>
          <w:b w:val="0"/>
          <w:bCs w:val="0"/>
          <w:snapToGrid w:val="0"/>
          <w:color w:val="auto"/>
          <w:position w:val="0"/>
          <w:sz w:val="21"/>
          <w:szCs w:val="21"/>
          <w:highlight w:val="none"/>
          <w:lang w:val="en-US" w:eastAsia="zh-CN"/>
        </w:rPr>
        <w:t>3.1</w:t>
      </w:r>
      <w:r>
        <w:rPr>
          <w:rFonts w:hint="eastAsia" w:ascii="宋体" w:hAnsi="宋体" w:eastAsia="宋体" w:cs="宋体"/>
          <w:color w:val="auto"/>
          <w:kern w:val="0"/>
          <w:sz w:val="24"/>
          <w:highlight w:val="none"/>
          <w:lang w:val="en-US" w:eastAsia="zh-CN"/>
        </w:rPr>
        <w:t>所供产品均符合相关国家标准、行业标准、地方标准（如有）及采购文件相关标准要求：</w:t>
      </w:r>
      <w:r>
        <w:rPr>
          <w:rStyle w:val="18"/>
          <w:rFonts w:ascii="Arial" w:hAnsi="Arial" w:eastAsia="宋体" w:cs="Arial"/>
          <w:b/>
          <w:bCs/>
          <w:i w:val="0"/>
          <w:iCs w:val="0"/>
          <w:caps w:val="0"/>
          <w:color w:val="auto"/>
          <w:spacing w:val="0"/>
          <w:sz w:val="21"/>
          <w:szCs w:val="21"/>
          <w:highlight w:val="none"/>
          <w:shd w:val="clear" w:fill="FFFFFF"/>
        </w:rPr>
        <w:t>GB2712-2014《食品安全国家标准豆制品》</w:t>
      </w:r>
      <w:r>
        <w:rPr>
          <w:rStyle w:val="18"/>
          <w:rFonts w:hint="eastAsia" w:ascii="Arial" w:hAnsi="Arial" w:eastAsia="宋体" w:cs="Arial"/>
          <w:b/>
          <w:bCs/>
          <w:i w:val="0"/>
          <w:iCs w:val="0"/>
          <w:caps w:val="0"/>
          <w:color w:val="auto"/>
          <w:spacing w:val="0"/>
          <w:sz w:val="21"/>
          <w:szCs w:val="21"/>
          <w:highlight w:val="none"/>
          <w:shd w:val="clear" w:fill="FFFFFF"/>
          <w:lang w:eastAsia="zh-CN"/>
        </w:rPr>
        <w:t>、</w:t>
      </w:r>
      <w:r>
        <w:rPr>
          <w:rFonts w:hint="default" w:ascii="宋体" w:hAnsi="宋体" w:eastAsia="宋体" w:cs="宋体"/>
          <w:color w:val="auto"/>
          <w:kern w:val="0"/>
          <w:sz w:val="24"/>
          <w:highlight w:val="none"/>
          <w:lang w:val="en-US" w:eastAsia="zh-CN"/>
        </w:rPr>
        <w:t>GB/T 23494-2009</w:t>
      </w:r>
      <w:r>
        <w:rPr>
          <w:rFonts w:hint="eastAsia" w:ascii="宋体" w:hAnsi="宋体" w:eastAsia="宋体" w:cs="宋体"/>
          <w:color w:val="auto"/>
          <w:kern w:val="0"/>
          <w:sz w:val="24"/>
          <w:highlight w:val="none"/>
          <w:lang w:val="en-US" w:eastAsia="zh-CN"/>
        </w:rPr>
        <w:t>《豆腐干》、GB/T 22106-2008《非发酵豆制品》、GB2760-20</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4《食品安全国家标准食品添加剂使用标准》、GB2762-202</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《食品安全国家标准 食品中污染物限量》、GB29921-2021</w:t>
      </w:r>
      <w:r>
        <w:rPr>
          <w:rFonts w:hint="eastAsia" w:ascii="宋体" w:hAnsi="宋体" w:cs="宋体"/>
          <w:color w:val="auto"/>
          <w:kern w:val="0"/>
          <w:sz w:val="24"/>
          <w:highlight w:val="none"/>
          <w:lang w:val="en-US" w:eastAsia="zh-CN"/>
        </w:rPr>
        <w:t>《食品安全国家标准预包装食品中致病菌限量》、</w:t>
      </w:r>
      <w:r>
        <w:rPr>
          <w:rFonts w:hint="eastAsia" w:ascii="宋体" w:hAnsi="宋体" w:cs="宋体"/>
          <w:strike w:val="0"/>
          <w:dstrike w:val="0"/>
          <w:color w:val="auto"/>
          <w:kern w:val="0"/>
          <w:sz w:val="24"/>
          <w:highlight w:val="none"/>
          <w:lang w:val="en-US" w:eastAsia="zh-CN"/>
        </w:rPr>
        <w:t>和国家市场监督管理总局第70号《定量包装商品计量监督管理办法》标准要求</w:t>
      </w:r>
      <w:r>
        <w:rPr>
          <w:rFonts w:hint="eastAsia" w:ascii="宋体" w:hAnsi="宋体" w:eastAsia="宋体" w:cs="宋体"/>
          <w:color w:val="auto"/>
          <w:kern w:val="0"/>
          <w:sz w:val="24"/>
          <w:highlight w:val="none"/>
          <w:lang w:val="en-US" w:eastAsia="zh-CN"/>
        </w:rPr>
        <w:t>。以上相</w:t>
      </w:r>
      <w:r>
        <w:rPr>
          <w:rFonts w:hint="eastAsia" w:ascii="宋体" w:hAnsi="宋体" w:eastAsia="宋体" w:cs="宋体"/>
          <w:color w:val="auto"/>
          <w:kern w:val="0"/>
          <w:sz w:val="24"/>
          <w:highlight w:val="none"/>
          <w:lang w:val="en-US" w:eastAsia="zh-CN"/>
        </w:rPr>
        <w:t>关标准若有更新规定以最新规定为准；未列明的规范标准执行国家现行发布的最新标准。</w:t>
      </w:r>
    </w:p>
    <w:p w14:paraId="22744E53">
      <w:pPr>
        <w:spacing w:line="360" w:lineRule="auto"/>
        <w:ind w:firstLine="420" w:firstLineChars="200"/>
        <w:jc w:val="both"/>
        <w:outlineLvl w:val="0"/>
        <w:rPr>
          <w:rFonts w:hint="eastAsia" w:ascii="宋体" w:hAnsi="宋体" w:eastAsia="宋体" w:cs="宋体"/>
          <w:b w:val="0"/>
          <w:bCs w:val="0"/>
          <w:snapToGrid w:val="0"/>
          <w:color w:val="auto"/>
          <w:position w:val="0"/>
          <w:sz w:val="21"/>
          <w:szCs w:val="21"/>
          <w:highlight w:val="none"/>
          <w:lang w:val="en-US" w:eastAsia="zh-CN"/>
        </w:rPr>
      </w:pPr>
      <w:r>
        <w:rPr>
          <w:rFonts w:hint="eastAsia" w:ascii="宋体" w:hAnsi="宋体" w:eastAsia="宋体" w:cs="宋体"/>
          <w:b w:val="0"/>
          <w:bCs w:val="0"/>
          <w:snapToGrid w:val="0"/>
          <w:color w:val="auto"/>
          <w:position w:val="0"/>
          <w:sz w:val="21"/>
          <w:szCs w:val="21"/>
          <w:highlight w:val="none"/>
          <w:lang w:val="en-US" w:eastAsia="zh-CN"/>
        </w:rPr>
        <w:t>3.2所供产品均符合《中华人民共和国食品安全法》的相关规定，一经发现供应以下产品，采购人除全部退货外，取消中标单位的供货资格，没收履约保证金，中标单位并承担由此造成的经济责任和法律责任。</w:t>
      </w:r>
    </w:p>
    <w:p w14:paraId="7210D58B">
      <w:pPr>
        <w:spacing w:line="360" w:lineRule="auto"/>
        <w:ind w:firstLine="420" w:firstLineChars="200"/>
        <w:jc w:val="both"/>
        <w:outlineLvl w:val="0"/>
        <w:rPr>
          <w:rFonts w:hint="eastAsia" w:ascii="宋体" w:hAnsi="宋体" w:eastAsia="宋体" w:cs="宋体"/>
          <w:b w:val="0"/>
          <w:bCs w:val="0"/>
          <w:snapToGrid w:val="0"/>
          <w:color w:val="auto"/>
          <w:position w:val="0"/>
          <w:sz w:val="21"/>
          <w:szCs w:val="21"/>
          <w:highlight w:val="none"/>
          <w:lang w:val="en-US" w:eastAsia="zh-CN"/>
        </w:rPr>
      </w:pPr>
      <w:r>
        <w:rPr>
          <w:rFonts w:hint="eastAsia" w:ascii="宋体" w:hAnsi="宋体" w:cs="宋体"/>
          <w:b w:val="0"/>
          <w:bCs w:val="0"/>
          <w:snapToGrid w:val="0"/>
          <w:color w:val="auto"/>
          <w:position w:val="0"/>
          <w:sz w:val="21"/>
          <w:szCs w:val="21"/>
          <w:highlight w:val="none"/>
          <w:lang w:val="en-US" w:eastAsia="zh-CN"/>
        </w:rPr>
        <w:t>3.2.1</w:t>
      </w:r>
      <w:r>
        <w:rPr>
          <w:rFonts w:hint="eastAsia" w:ascii="宋体" w:hAnsi="宋体" w:eastAsia="宋体" w:cs="宋体"/>
          <w:b w:val="0"/>
          <w:bCs w:val="0"/>
          <w:snapToGrid w:val="0"/>
          <w:color w:val="auto"/>
          <w:position w:val="0"/>
          <w:sz w:val="21"/>
          <w:szCs w:val="21"/>
          <w:highlight w:val="none"/>
          <w:lang w:val="en-US" w:eastAsia="zh-CN"/>
        </w:rPr>
        <w:t>腐烂变质、个体间裂缝、黏连、颜色沉浊，色泽灰暗不均匀、霉变、生虫、污秽不洁、混有异物或者其他感官性状异常，对人体健康有害的；</w:t>
      </w:r>
    </w:p>
    <w:p w14:paraId="53DA0FE5">
      <w:pPr>
        <w:spacing w:line="360" w:lineRule="auto"/>
        <w:ind w:firstLine="420" w:firstLineChars="200"/>
        <w:jc w:val="both"/>
        <w:outlineLvl w:val="0"/>
        <w:rPr>
          <w:rFonts w:hint="eastAsia" w:ascii="宋体" w:hAnsi="宋体" w:eastAsia="宋体" w:cs="宋体"/>
          <w:b w:val="0"/>
          <w:bCs w:val="0"/>
          <w:snapToGrid w:val="0"/>
          <w:color w:val="auto"/>
          <w:position w:val="0"/>
          <w:sz w:val="21"/>
          <w:szCs w:val="21"/>
          <w:highlight w:val="none"/>
          <w:lang w:val="en-US" w:eastAsia="zh-CN"/>
        </w:rPr>
      </w:pPr>
      <w:r>
        <w:rPr>
          <w:rFonts w:hint="eastAsia" w:ascii="宋体" w:hAnsi="宋体" w:cs="宋体"/>
          <w:b w:val="0"/>
          <w:bCs w:val="0"/>
          <w:snapToGrid w:val="0"/>
          <w:color w:val="auto"/>
          <w:position w:val="0"/>
          <w:sz w:val="21"/>
          <w:szCs w:val="21"/>
          <w:highlight w:val="none"/>
          <w:lang w:val="en-US" w:eastAsia="zh-CN"/>
        </w:rPr>
        <w:t>3.2.2</w:t>
      </w:r>
      <w:r>
        <w:rPr>
          <w:rFonts w:hint="eastAsia" w:ascii="宋体" w:hAnsi="宋体" w:eastAsia="宋体" w:cs="宋体"/>
          <w:b w:val="0"/>
          <w:bCs w:val="0"/>
          <w:snapToGrid w:val="0"/>
          <w:color w:val="auto"/>
          <w:position w:val="0"/>
          <w:sz w:val="21"/>
          <w:szCs w:val="21"/>
          <w:highlight w:val="none"/>
          <w:lang w:val="en-US" w:eastAsia="zh-CN"/>
        </w:rPr>
        <w:t>含有毒、有害物质或者被有害物质污染，对人体健康有害的；</w:t>
      </w:r>
    </w:p>
    <w:p w14:paraId="4112D534">
      <w:pPr>
        <w:spacing w:line="360" w:lineRule="auto"/>
        <w:ind w:firstLine="420" w:firstLineChars="200"/>
        <w:jc w:val="both"/>
        <w:outlineLvl w:val="0"/>
        <w:rPr>
          <w:rFonts w:hint="eastAsia" w:ascii="宋体" w:hAnsi="宋体" w:eastAsia="宋体" w:cs="宋体"/>
          <w:b w:val="0"/>
          <w:bCs w:val="0"/>
          <w:snapToGrid w:val="0"/>
          <w:color w:val="auto"/>
          <w:position w:val="0"/>
          <w:sz w:val="21"/>
          <w:szCs w:val="21"/>
          <w:highlight w:val="none"/>
          <w:lang w:val="en-US" w:eastAsia="zh-CN"/>
        </w:rPr>
      </w:pPr>
      <w:r>
        <w:rPr>
          <w:rFonts w:hint="eastAsia" w:ascii="宋体" w:hAnsi="宋体" w:cs="宋体"/>
          <w:b w:val="0"/>
          <w:bCs w:val="0"/>
          <w:snapToGrid w:val="0"/>
          <w:color w:val="auto"/>
          <w:position w:val="0"/>
          <w:sz w:val="21"/>
          <w:szCs w:val="21"/>
          <w:highlight w:val="none"/>
          <w:lang w:val="en-US" w:eastAsia="zh-CN"/>
        </w:rPr>
        <w:t>3.2.3</w:t>
      </w:r>
      <w:r>
        <w:rPr>
          <w:rFonts w:hint="eastAsia" w:ascii="宋体" w:hAnsi="宋体" w:eastAsia="宋体" w:cs="宋体"/>
          <w:b w:val="0"/>
          <w:bCs w:val="0"/>
          <w:snapToGrid w:val="0"/>
          <w:color w:val="auto"/>
          <w:position w:val="0"/>
          <w:sz w:val="21"/>
          <w:szCs w:val="21"/>
          <w:highlight w:val="none"/>
          <w:lang w:val="en-US" w:eastAsia="zh-CN"/>
        </w:rPr>
        <w:t>含有致病性寄生虫、微生物或者微生物含量超过国家限定标准的；</w:t>
      </w:r>
    </w:p>
    <w:p w14:paraId="74E8DF31">
      <w:pPr>
        <w:spacing w:line="360" w:lineRule="auto"/>
        <w:ind w:firstLine="420" w:firstLineChars="200"/>
        <w:jc w:val="both"/>
        <w:outlineLvl w:val="0"/>
        <w:rPr>
          <w:rFonts w:hint="eastAsia" w:ascii="宋体" w:hAnsi="宋体" w:eastAsia="宋体" w:cs="宋体"/>
          <w:b w:val="0"/>
          <w:bCs w:val="0"/>
          <w:snapToGrid w:val="0"/>
          <w:color w:val="auto"/>
          <w:position w:val="0"/>
          <w:sz w:val="21"/>
          <w:szCs w:val="21"/>
          <w:highlight w:val="none"/>
          <w:lang w:val="en-US" w:eastAsia="zh-CN"/>
        </w:rPr>
      </w:pPr>
      <w:r>
        <w:rPr>
          <w:rFonts w:hint="eastAsia" w:ascii="宋体" w:hAnsi="宋体" w:cs="宋体"/>
          <w:b w:val="0"/>
          <w:bCs w:val="0"/>
          <w:snapToGrid w:val="0"/>
          <w:color w:val="auto"/>
          <w:position w:val="0"/>
          <w:sz w:val="21"/>
          <w:szCs w:val="21"/>
          <w:highlight w:val="none"/>
          <w:lang w:val="en-US" w:eastAsia="zh-CN"/>
        </w:rPr>
        <w:t>3.2.4</w:t>
      </w:r>
      <w:r>
        <w:rPr>
          <w:rFonts w:hint="eastAsia" w:ascii="宋体" w:hAnsi="宋体" w:eastAsia="宋体" w:cs="宋体"/>
          <w:b w:val="0"/>
          <w:bCs w:val="0"/>
          <w:snapToGrid w:val="0"/>
          <w:color w:val="auto"/>
          <w:position w:val="0"/>
          <w:sz w:val="21"/>
          <w:szCs w:val="21"/>
          <w:highlight w:val="none"/>
          <w:lang w:val="en-US" w:eastAsia="zh-CN"/>
        </w:rPr>
        <w:t>掺假、掺杂、伪造，影响营养、卫生的；</w:t>
      </w:r>
    </w:p>
    <w:p w14:paraId="7CF6C642">
      <w:pPr>
        <w:spacing w:line="360" w:lineRule="auto"/>
        <w:ind w:firstLine="420" w:firstLineChars="200"/>
        <w:jc w:val="both"/>
        <w:outlineLvl w:val="0"/>
        <w:rPr>
          <w:rFonts w:hint="eastAsia" w:ascii="宋体" w:hAnsi="宋体" w:eastAsia="宋体" w:cs="宋体"/>
          <w:b w:val="0"/>
          <w:bCs w:val="0"/>
          <w:snapToGrid w:val="0"/>
          <w:color w:val="auto"/>
          <w:position w:val="0"/>
          <w:sz w:val="21"/>
          <w:szCs w:val="21"/>
          <w:highlight w:val="none"/>
          <w:lang w:val="en-US" w:eastAsia="zh-CN"/>
        </w:rPr>
      </w:pPr>
      <w:r>
        <w:rPr>
          <w:rFonts w:hint="eastAsia" w:ascii="宋体" w:hAnsi="宋体" w:cs="宋体"/>
          <w:b w:val="0"/>
          <w:bCs w:val="0"/>
          <w:snapToGrid w:val="0"/>
          <w:color w:val="auto"/>
          <w:position w:val="0"/>
          <w:sz w:val="21"/>
          <w:szCs w:val="21"/>
          <w:highlight w:val="none"/>
          <w:lang w:val="en-US" w:eastAsia="zh-CN"/>
        </w:rPr>
        <w:t>3.2.5</w:t>
      </w:r>
      <w:r>
        <w:rPr>
          <w:rFonts w:hint="eastAsia" w:ascii="宋体" w:hAnsi="宋体" w:eastAsia="宋体" w:cs="宋体"/>
          <w:b w:val="0"/>
          <w:bCs w:val="0"/>
          <w:snapToGrid w:val="0"/>
          <w:color w:val="auto"/>
          <w:position w:val="0"/>
          <w:sz w:val="21"/>
          <w:szCs w:val="21"/>
          <w:highlight w:val="none"/>
          <w:lang w:val="en-US" w:eastAsia="zh-CN"/>
        </w:rPr>
        <w:t>用非食品原料加工的，假如非食品用化学物质或者将非食品当做食品的；</w:t>
      </w:r>
    </w:p>
    <w:p w14:paraId="19134F11">
      <w:pPr>
        <w:spacing w:line="360" w:lineRule="auto"/>
        <w:ind w:firstLine="420" w:firstLineChars="200"/>
        <w:jc w:val="both"/>
        <w:outlineLvl w:val="0"/>
        <w:rPr>
          <w:rFonts w:hint="eastAsia" w:ascii="宋体" w:hAnsi="宋体" w:eastAsia="宋体" w:cs="宋体"/>
          <w:b w:val="0"/>
          <w:bCs w:val="0"/>
          <w:snapToGrid w:val="0"/>
          <w:color w:val="auto"/>
          <w:position w:val="0"/>
          <w:sz w:val="21"/>
          <w:szCs w:val="21"/>
          <w:highlight w:val="none"/>
          <w:lang w:val="en-US" w:eastAsia="zh-CN"/>
        </w:rPr>
      </w:pPr>
      <w:r>
        <w:rPr>
          <w:rFonts w:hint="eastAsia" w:ascii="宋体" w:hAnsi="宋体" w:cs="宋体"/>
          <w:b w:val="0"/>
          <w:bCs w:val="0"/>
          <w:snapToGrid w:val="0"/>
          <w:color w:val="auto"/>
          <w:position w:val="0"/>
          <w:sz w:val="21"/>
          <w:szCs w:val="21"/>
          <w:highlight w:val="none"/>
          <w:lang w:val="en-US" w:eastAsia="zh-CN"/>
        </w:rPr>
        <w:t>3.2.6</w:t>
      </w:r>
      <w:r>
        <w:rPr>
          <w:rFonts w:hint="eastAsia" w:ascii="宋体" w:hAnsi="宋体" w:eastAsia="宋体" w:cs="宋体"/>
          <w:b w:val="0"/>
          <w:bCs w:val="0"/>
          <w:snapToGrid w:val="0"/>
          <w:color w:val="auto"/>
          <w:position w:val="0"/>
          <w:sz w:val="21"/>
          <w:szCs w:val="21"/>
          <w:highlight w:val="none"/>
          <w:lang w:val="en-US" w:eastAsia="zh-CN"/>
        </w:rPr>
        <w:t>超过保质期限的。</w:t>
      </w:r>
    </w:p>
    <w:p w14:paraId="46B84DB3">
      <w:pPr>
        <w:pStyle w:val="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en-US" w:eastAsia="zh-CN" w:bidi="ar-SA"/>
        </w:rPr>
        <w:t>3.</w:t>
      </w:r>
      <w:r>
        <w:rPr>
          <w:rFonts w:hint="eastAsia" w:ascii="宋体" w:hAnsi="宋体" w:cs="宋体"/>
          <w:b w:val="0"/>
          <w:bCs/>
          <w:color w:val="auto"/>
          <w:kern w:val="2"/>
          <w:sz w:val="21"/>
          <w:szCs w:val="21"/>
          <w:highlight w:val="none"/>
          <w:lang w:val="en-US" w:eastAsia="zh-CN" w:bidi="ar-SA"/>
        </w:rPr>
        <w:t>2</w:t>
      </w:r>
      <w:r>
        <w:rPr>
          <w:rFonts w:hint="eastAsia" w:ascii="宋体" w:hAnsi="宋体" w:eastAsia="宋体" w:cs="宋体"/>
          <w:b w:val="0"/>
          <w:bCs/>
          <w:color w:val="auto"/>
          <w:kern w:val="2"/>
          <w:sz w:val="21"/>
          <w:szCs w:val="21"/>
          <w:highlight w:val="none"/>
          <w:lang w:val="en-US" w:eastAsia="zh-CN" w:bidi="ar-SA"/>
        </w:rPr>
        <w:t>.7资质证照弄虚作假的，以次充好、未按投标文件承诺的质量要求供货的，造成严重损失或发生食品安全等不良后果的。</w:t>
      </w:r>
    </w:p>
    <w:p w14:paraId="18D11977">
      <w:pPr>
        <w:pStyle w:val="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color w:val="auto"/>
          <w:sz w:val="21"/>
          <w:szCs w:val="21"/>
          <w:highlight w:val="none"/>
          <w:lang w:eastAsia="zh-CN"/>
        </w:rPr>
      </w:pPr>
      <w:r>
        <w:rPr>
          <w:rFonts w:hint="eastAsia" w:ascii="宋体" w:hAnsi="宋体" w:eastAsia="宋体" w:cs="宋体"/>
          <w:b w:val="0"/>
          <w:bCs/>
          <w:color w:val="auto"/>
          <w:kern w:val="2"/>
          <w:sz w:val="21"/>
          <w:szCs w:val="21"/>
          <w:highlight w:val="none"/>
          <w:lang w:val="en-US" w:eastAsia="zh-CN" w:bidi="ar-SA"/>
        </w:rPr>
        <w:t>3.</w:t>
      </w:r>
      <w:r>
        <w:rPr>
          <w:rFonts w:hint="eastAsia" w:ascii="宋体" w:hAnsi="宋体" w:cs="宋体"/>
          <w:b w:val="0"/>
          <w:bCs/>
          <w:color w:val="auto"/>
          <w:kern w:val="2"/>
          <w:sz w:val="21"/>
          <w:szCs w:val="21"/>
          <w:highlight w:val="none"/>
          <w:lang w:val="en-US" w:eastAsia="zh-CN" w:bidi="ar-SA"/>
        </w:rPr>
        <w:t>2.8</w:t>
      </w:r>
      <w:r>
        <w:rPr>
          <w:rFonts w:hint="eastAsia" w:ascii="宋体" w:hAnsi="宋体" w:eastAsia="宋体" w:cs="宋体"/>
          <w:b w:val="0"/>
          <w:bCs/>
          <w:color w:val="auto"/>
          <w:kern w:val="2"/>
          <w:sz w:val="21"/>
          <w:szCs w:val="21"/>
          <w:highlight w:val="none"/>
          <w:lang w:val="en-US" w:eastAsia="zh-CN" w:bidi="ar-SA"/>
        </w:rPr>
        <w:t>其他经相关部门及采购人确认的质量问题。</w:t>
      </w:r>
    </w:p>
    <w:p w14:paraId="23E338A6">
      <w:pPr>
        <w:numPr>
          <w:ilvl w:val="0"/>
          <w:numId w:val="1"/>
        </w:numPr>
        <w:jc w:val="left"/>
        <w:rPr>
          <w:rFonts w:eastAsia="方正书宋简体"/>
          <w:b/>
          <w:color w:val="auto"/>
          <w:szCs w:val="21"/>
          <w:highlight w:val="none"/>
        </w:rPr>
      </w:pPr>
      <w:r>
        <w:rPr>
          <w:rFonts w:eastAsia="方正书宋简体"/>
          <w:b/>
          <w:color w:val="auto"/>
          <w:szCs w:val="21"/>
          <w:highlight w:val="none"/>
        </w:rPr>
        <w:t>项目技术/服务要求（核心）</w:t>
      </w:r>
    </w:p>
    <w:p w14:paraId="3C933C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trike/>
          <w:dstrike w:val="0"/>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5.1合同期内如供应商中途主动退出供货，采购人将扣除全额履约保证金；如出现任何食品质量、卫生、安全问题，或配送产品不符合投标时响应描述的质量标准，投标方应承担一切责任并扣除履约保障金。</w:t>
      </w:r>
    </w:p>
    <w:p w14:paraId="4E055D59">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5.2产品包装运输</w:t>
      </w:r>
    </w:p>
    <w:p w14:paraId="472CE876">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5.2.1产品送货时应装在卫生良好的容器内（如食品专用周转箱、塑料筐、塑料袋等），不同类别产品使用不同容器分别盛装容器要求清洁、牢固、无污染、无异味、无霉变现象，产品不得散放或堆积，不得与地面、车厢地面直接接触。</w:t>
      </w:r>
    </w:p>
    <w:p w14:paraId="7617C3D6">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5.2.2 预包装产品标识要符合国家标准并进行密封，避免装卸二次污染原材料。商品包装必须符合国家相关规定，即：品名、商标、厂名、厂址、联系方式、生产日期、保质期等。散装或拆包产品须外包装完好，标明品名、生产日期及保质期，供货商名称、联系人及电话。</w:t>
      </w:r>
    </w:p>
    <w:p w14:paraId="2AFAB96D">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5.2.3 投标方配送车辆要密封完好，保证清洁、无污染，其中冷冻产品运输车辆须为冷链食品专用车辆，避免原材料因高温变质；运输车辆必须有商业险。</w:t>
      </w:r>
    </w:p>
    <w:p w14:paraId="3CE9DCE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lang w:val="en-US" w:eastAsia="zh-CN"/>
        </w:rPr>
      </w:pPr>
      <w:r>
        <w:rPr>
          <w:rFonts w:hint="eastAsia" w:ascii="宋体" w:hAnsi="宋体" w:eastAsia="宋体" w:cs="宋体"/>
          <w:b w:val="0"/>
          <w:bCs/>
          <w:color w:val="auto"/>
          <w:kern w:val="2"/>
          <w:sz w:val="21"/>
          <w:szCs w:val="21"/>
          <w:highlight w:val="none"/>
          <w:lang w:val="en-US" w:eastAsia="zh-CN" w:bidi="ar-SA"/>
        </w:rPr>
        <w:t xml:space="preserve"> 5.2.4配送人员及车辆进出学校应遵守学校相关规定，接受采购人统一管理，如：按照校园内交通标志、标线行驶，不争道抢行，不进入步行街等禁行路段；行驶速度不得超过30公里/小时（一校区通往科学园连通路、一校区管制区域内限速20公里/小时），不得超速行驶等，发生任何人员与设施损伤，均由供应商承担责任。</w:t>
      </w:r>
    </w:p>
    <w:p w14:paraId="5E32486A">
      <w:pPr>
        <w:spacing w:line="360" w:lineRule="auto"/>
        <w:ind w:firstLine="420" w:firstLineChars="200"/>
        <w:jc w:val="both"/>
        <w:outlineLvl w:val="0"/>
        <w:rPr>
          <w:rFonts w:hint="eastAsia" w:ascii="宋体" w:hAnsi="宋体" w:cs="宋体"/>
          <w:b w:val="0"/>
          <w:bCs w:val="0"/>
          <w:snapToGrid w:val="0"/>
          <w:color w:val="auto"/>
          <w:position w:val="0"/>
          <w:sz w:val="24"/>
          <w:szCs w:val="24"/>
          <w:highlight w:val="none"/>
          <w:lang w:val="en-US" w:eastAsia="zh-CN"/>
        </w:rPr>
      </w:pPr>
      <w:r>
        <w:rPr>
          <w:rFonts w:hint="eastAsia" w:ascii="宋体" w:hAnsi="宋体" w:eastAsia="宋体" w:cs="宋体"/>
          <w:b w:val="0"/>
          <w:bCs/>
          <w:color w:val="auto"/>
          <w:kern w:val="2"/>
          <w:sz w:val="21"/>
          <w:szCs w:val="21"/>
          <w:highlight w:val="none"/>
          <w:lang w:val="en-US" w:eastAsia="zh-CN" w:bidi="ar-SA"/>
        </w:rPr>
        <w:t>5.3投标人须提供</w:t>
      </w:r>
      <w:r>
        <w:rPr>
          <w:rFonts w:hint="eastAsia" w:ascii="宋体" w:hAnsi="宋体" w:cs="宋体"/>
          <w:b w:val="0"/>
          <w:bCs/>
          <w:color w:val="auto"/>
          <w:kern w:val="2"/>
          <w:sz w:val="21"/>
          <w:szCs w:val="21"/>
          <w:highlight w:val="none"/>
          <w:lang w:val="en-US" w:eastAsia="zh-CN" w:bidi="ar-SA"/>
        </w:rPr>
        <w:t>3个（老豆腐、水豆腐、干豆腐）有效</w:t>
      </w:r>
      <w:r>
        <w:rPr>
          <w:rFonts w:hint="eastAsia" w:ascii="宋体" w:hAnsi="宋体" w:eastAsia="宋体" w:cs="宋体"/>
          <w:b w:val="0"/>
          <w:bCs/>
          <w:color w:val="auto"/>
          <w:kern w:val="2"/>
          <w:sz w:val="21"/>
          <w:szCs w:val="21"/>
          <w:highlight w:val="none"/>
          <w:lang w:val="en-US" w:eastAsia="zh-CN" w:bidi="ar-SA"/>
        </w:rPr>
        <w:t>期</w:t>
      </w:r>
      <w:r>
        <w:rPr>
          <w:rFonts w:hint="eastAsia" w:ascii="宋体" w:hAnsi="宋体" w:cs="宋体"/>
          <w:b w:val="0"/>
          <w:bCs/>
          <w:color w:val="auto"/>
          <w:kern w:val="2"/>
          <w:sz w:val="21"/>
          <w:szCs w:val="21"/>
          <w:highlight w:val="none"/>
          <w:lang w:val="en-US" w:eastAsia="zh-CN" w:bidi="ar-SA"/>
        </w:rPr>
        <w:t>（6个月内）的</w:t>
      </w:r>
      <w:r>
        <w:rPr>
          <w:rFonts w:hint="eastAsia" w:ascii="宋体" w:hAnsi="宋体" w:eastAsia="宋体" w:cs="宋体"/>
          <w:b w:val="0"/>
          <w:bCs/>
          <w:color w:val="auto"/>
          <w:kern w:val="2"/>
          <w:sz w:val="21"/>
          <w:szCs w:val="21"/>
          <w:highlight w:val="none"/>
          <w:lang w:val="en-US" w:eastAsia="zh-CN" w:bidi="ar-SA"/>
        </w:rPr>
        <w:t>第三方检测机构出具的符合国家标准的检测报告。（投标文件内附复印件加盖企业公章）</w:t>
      </w:r>
      <w:r>
        <w:rPr>
          <w:rFonts w:hint="eastAsia" w:ascii="宋体" w:hAnsi="宋体" w:cs="宋体"/>
          <w:b w:val="0"/>
          <w:bCs/>
          <w:color w:val="auto"/>
          <w:kern w:val="2"/>
          <w:sz w:val="21"/>
          <w:szCs w:val="21"/>
          <w:highlight w:val="none"/>
          <w:lang w:val="en-US" w:eastAsia="zh-CN" w:bidi="ar-SA"/>
        </w:rPr>
        <w:t>，</w:t>
      </w:r>
      <w:r>
        <w:rPr>
          <w:rFonts w:hint="eastAsia" w:ascii="宋体" w:hAnsi="宋体" w:cs="宋体"/>
          <w:b w:val="0"/>
          <w:bCs w:val="0"/>
          <w:snapToGrid w:val="0"/>
          <w:color w:val="auto"/>
          <w:position w:val="0"/>
          <w:sz w:val="21"/>
          <w:szCs w:val="21"/>
          <w:highlight w:val="none"/>
          <w:lang w:val="en-US" w:eastAsia="zh-CN"/>
        </w:rPr>
        <w:t>供货前需提供全部品项的检测报告</w:t>
      </w:r>
      <w:r>
        <w:rPr>
          <w:rFonts w:hint="eastAsia" w:ascii="宋体" w:hAnsi="宋体" w:cs="宋体"/>
          <w:b/>
          <w:bCs/>
          <w:snapToGrid w:val="0"/>
          <w:color w:val="auto"/>
          <w:position w:val="0"/>
          <w:sz w:val="21"/>
          <w:szCs w:val="21"/>
          <w:highlight w:val="none"/>
          <w:lang w:val="en-US" w:eastAsia="zh-CN"/>
        </w:rPr>
        <w:t>。</w:t>
      </w:r>
    </w:p>
    <w:p w14:paraId="38998F89">
      <w:pPr>
        <w:numPr>
          <w:ilvl w:val="0"/>
          <w:numId w:val="1"/>
        </w:numPr>
        <w:jc w:val="left"/>
        <w:rPr>
          <w:rFonts w:eastAsia="方正书宋简体"/>
          <w:b/>
          <w:color w:val="auto"/>
          <w:szCs w:val="21"/>
          <w:highlight w:val="none"/>
        </w:rPr>
      </w:pPr>
      <w:r>
        <w:rPr>
          <w:rFonts w:eastAsia="方正书宋简体"/>
          <w:b/>
          <w:color w:val="auto"/>
          <w:szCs w:val="21"/>
          <w:highlight w:val="none"/>
        </w:rPr>
        <w:t>项目实施要求</w:t>
      </w:r>
    </w:p>
    <w:p w14:paraId="48E661C2">
      <w:pPr>
        <w:pStyle w:val="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宋体" w:hAnsi="宋体" w:eastAsia="宋体" w:cs="宋体"/>
          <w:b w:val="0"/>
          <w:bCs/>
          <w:color w:val="auto"/>
          <w:kern w:val="2"/>
          <w:sz w:val="21"/>
          <w:szCs w:val="21"/>
          <w:highlight w:val="none"/>
          <w:lang w:val="en-US" w:eastAsia="zh-CN" w:bidi="ar-SA"/>
        </w:rPr>
      </w:pPr>
      <w:r>
        <w:rPr>
          <w:rFonts w:hint="eastAsia" w:cs="宋体"/>
          <w:b w:val="0"/>
          <w:bCs/>
          <w:color w:val="auto"/>
          <w:kern w:val="2"/>
          <w:sz w:val="21"/>
          <w:szCs w:val="21"/>
          <w:highlight w:val="none"/>
          <w:lang w:val="en-US" w:eastAsia="zh-CN" w:bidi="ar-SA"/>
        </w:rPr>
        <w:t>6</w:t>
      </w:r>
      <w:r>
        <w:rPr>
          <w:rFonts w:hint="eastAsia" w:ascii="宋体" w:hAnsi="宋体" w:eastAsia="宋体" w:cs="宋体"/>
          <w:b w:val="0"/>
          <w:bCs/>
          <w:color w:val="auto"/>
          <w:kern w:val="2"/>
          <w:sz w:val="21"/>
          <w:szCs w:val="21"/>
          <w:highlight w:val="none"/>
          <w:lang w:val="en-US" w:eastAsia="zh-CN" w:bidi="ar-SA"/>
        </w:rPr>
        <w:t>.1能够准确提供本项目售后服务总负责人的姓名、职务、详细地址和联系方式，成交人在配送地点城市的本地化服务机构（及售后服务网点明细）及相关证明材料。</w:t>
      </w:r>
    </w:p>
    <w:p w14:paraId="75B0CF12">
      <w:pPr>
        <w:pStyle w:val="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6.2</w:t>
      </w:r>
      <w:r>
        <w:rPr>
          <w:rFonts w:hint="eastAsia" w:ascii="宋体" w:hAnsi="宋体" w:eastAsia="宋体" w:cs="宋体"/>
          <w:b/>
          <w:bCs w:val="0"/>
          <w:color w:val="auto"/>
          <w:kern w:val="2"/>
          <w:sz w:val="21"/>
          <w:szCs w:val="21"/>
          <w:highlight w:val="none"/>
          <w:lang w:val="en-US" w:eastAsia="zh-CN" w:bidi="ar-SA"/>
        </w:rPr>
        <w:t>承诺所配送产品在质保期内因产品质量问题投标供应商负责免费更换。</w:t>
      </w:r>
    </w:p>
    <w:p w14:paraId="51D2712D">
      <w:pPr>
        <w:spacing w:line="360" w:lineRule="auto"/>
        <w:ind w:firstLine="420" w:firstLineChars="200"/>
        <w:jc w:val="both"/>
        <w:outlineLvl w:val="0"/>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6.3</w:t>
      </w:r>
      <w:r>
        <w:rPr>
          <w:rFonts w:hint="eastAsia" w:ascii="宋体" w:hAnsi="宋体" w:eastAsia="宋体" w:cs="宋体"/>
          <w:b/>
          <w:bCs w:val="0"/>
          <w:color w:val="auto"/>
          <w:kern w:val="2"/>
          <w:sz w:val="21"/>
          <w:szCs w:val="21"/>
          <w:highlight w:val="none"/>
          <w:lang w:val="en-US" w:eastAsia="zh-CN" w:bidi="ar-SA"/>
        </w:rPr>
        <w:t>投标人能够承诺在接到售后服务电话后半小时内响应，3小时内解决问题（如临时加货、换货等）。</w:t>
      </w:r>
    </w:p>
    <w:p w14:paraId="7D1202D8">
      <w:pPr>
        <w:pStyle w:val="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6.4投标人应提供突发事件处置方案，避免因突发事件导致供货不及时，延误招标人使用。</w:t>
      </w:r>
    </w:p>
    <w:p w14:paraId="576A31AD">
      <w:pPr>
        <w:pStyle w:val="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6.5不得提供临近保质期、超过保质期的原料或距有效期不足二分之一的原料 (如生产日期为 1月1日，保质期为一年的产品，不得在同年7月1日之后提供）。</w:t>
      </w:r>
    </w:p>
    <w:p w14:paraId="72B808D9">
      <w:pPr>
        <w:spacing w:line="360" w:lineRule="auto"/>
        <w:ind w:firstLine="420" w:firstLineChars="200"/>
        <w:jc w:val="both"/>
        <w:outlineLvl w:val="0"/>
        <w:rPr>
          <w:rFonts w:hint="eastAsia" w:ascii="宋体" w:hAnsi="宋体" w:eastAsia="宋体" w:cs="宋体"/>
          <w:b w:val="0"/>
          <w:bCs w:val="0"/>
          <w:snapToGrid w:val="0"/>
          <w:color w:val="auto"/>
          <w:position w:val="0"/>
          <w:sz w:val="21"/>
          <w:szCs w:val="21"/>
          <w:highlight w:val="none"/>
          <w:lang w:val="en-US" w:eastAsia="zh-CN"/>
        </w:rPr>
      </w:pPr>
      <w:r>
        <w:rPr>
          <w:rFonts w:hint="eastAsia" w:ascii="宋体" w:hAnsi="宋体" w:eastAsia="宋体" w:cs="宋体"/>
          <w:b w:val="0"/>
          <w:bCs w:val="0"/>
          <w:snapToGrid w:val="0"/>
          <w:color w:val="auto"/>
          <w:position w:val="0"/>
          <w:sz w:val="21"/>
          <w:szCs w:val="21"/>
          <w:highlight w:val="none"/>
          <w:lang w:val="en-US" w:eastAsia="zh-CN"/>
        </w:rPr>
        <w:t>6.6</w:t>
      </w:r>
      <w:r>
        <w:rPr>
          <w:rFonts w:hint="eastAsia" w:ascii="宋体" w:hAnsi="宋体" w:eastAsia="宋体" w:cs="宋体"/>
          <w:color w:val="auto"/>
          <w:sz w:val="21"/>
          <w:szCs w:val="21"/>
          <w:highlight w:val="none"/>
          <w:lang w:val="en-US" w:eastAsia="zh-CN"/>
        </w:rPr>
        <w:t>为明确食材供应标准，确保实际供货与采购需求一致，在合同正式签订前，甲乙双方需确定样品，样品一经确认不得随意更换。</w:t>
      </w:r>
    </w:p>
    <w:p w14:paraId="2D3EFA7A">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具体要求如下：</w:t>
      </w:r>
    </w:p>
    <w:p w14:paraId="0295A3B7">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hAnsi="宋体" w:eastAsia="宋体" w:cs="宋体"/>
          <w:b w:val="0"/>
          <w:bCs w:val="0"/>
          <w:color w:val="auto"/>
          <w:sz w:val="21"/>
          <w:szCs w:val="21"/>
          <w:highlight w:val="none"/>
          <w:lang w:val="en-US" w:eastAsia="zh-CN"/>
        </w:rPr>
        <w:t>6.6.1</w:t>
      </w:r>
      <w:r>
        <w:rPr>
          <w:rFonts w:hint="eastAsia" w:ascii="宋体" w:hAnsi="宋体" w:eastAsia="宋体" w:cs="宋体"/>
          <w:b w:val="0"/>
          <w:bCs w:val="0"/>
          <w:color w:val="auto"/>
          <w:sz w:val="21"/>
          <w:szCs w:val="21"/>
          <w:highlight w:val="none"/>
          <w:lang w:val="en-US" w:eastAsia="zh-CN"/>
        </w:rPr>
        <w:t>提交时间：中标通知书发出后、合同签订前3个工作日内，供应商需完成样品提交</w:t>
      </w:r>
      <w:r>
        <w:rPr>
          <w:rFonts w:hint="eastAsia" w:ascii="宋体" w:hAnsi="宋体" w:cs="宋体"/>
          <w:color w:val="auto"/>
          <w:sz w:val="21"/>
          <w:szCs w:val="21"/>
          <w:highlight w:val="none"/>
          <w:lang w:val="en-US" w:eastAsia="zh-CN"/>
        </w:rPr>
        <w:t>（首次提供所有样品费用由乙方承担）</w:t>
      </w:r>
      <w:r>
        <w:rPr>
          <w:rFonts w:hint="eastAsia" w:ascii="宋体" w:hAnsi="宋体" w:eastAsia="宋体" w:cs="宋体"/>
          <w:b w:val="0"/>
          <w:bCs w:val="0"/>
          <w:color w:val="auto"/>
          <w:sz w:val="21"/>
          <w:szCs w:val="21"/>
          <w:highlight w:val="none"/>
          <w:lang w:val="en-US" w:eastAsia="zh-CN"/>
        </w:rPr>
        <w:t>。</w:t>
      </w:r>
    </w:p>
    <w:p w14:paraId="330A969B">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hAnsi="宋体" w:eastAsia="宋体" w:cs="宋体"/>
          <w:b w:val="0"/>
          <w:bCs w:val="0"/>
          <w:color w:val="auto"/>
          <w:sz w:val="21"/>
          <w:szCs w:val="21"/>
          <w:highlight w:val="none"/>
          <w:lang w:val="en-US" w:eastAsia="zh-CN"/>
        </w:rPr>
        <w:t>6.6.2</w:t>
      </w:r>
      <w:r>
        <w:rPr>
          <w:rFonts w:hint="eastAsia" w:ascii="宋体" w:hAnsi="宋体" w:eastAsia="宋体" w:cs="宋体"/>
          <w:b w:val="0"/>
          <w:bCs w:val="0"/>
          <w:color w:val="auto"/>
          <w:sz w:val="21"/>
          <w:szCs w:val="21"/>
          <w:highlight w:val="none"/>
          <w:lang w:val="en-US" w:eastAsia="zh-CN"/>
        </w:rPr>
        <w:t>样品范围：由甲方指定投标文件中“所投包货物内容”品种。</w:t>
      </w:r>
    </w:p>
    <w:p w14:paraId="74614A2F">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hAnsi="宋体" w:eastAsia="宋体" w:cs="宋体"/>
          <w:b w:val="0"/>
          <w:bCs w:val="0"/>
          <w:color w:val="auto"/>
          <w:sz w:val="21"/>
          <w:szCs w:val="21"/>
          <w:highlight w:val="none"/>
          <w:lang w:val="en-US" w:eastAsia="zh-CN"/>
        </w:rPr>
        <w:t>6.6.3</w:t>
      </w:r>
      <w:r>
        <w:rPr>
          <w:rFonts w:hint="eastAsia" w:ascii="宋体" w:hAnsi="宋体" w:eastAsia="宋体" w:cs="宋体"/>
          <w:b w:val="0"/>
          <w:bCs w:val="0"/>
          <w:color w:val="auto"/>
          <w:sz w:val="21"/>
          <w:szCs w:val="21"/>
          <w:highlight w:val="none"/>
          <w:lang w:val="en-US" w:eastAsia="zh-CN"/>
        </w:rPr>
        <w:t>样品要求：</w:t>
      </w:r>
    </w:p>
    <w:p w14:paraId="774CFE84">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hAnsi="宋体" w:eastAsia="宋体" w:cs="宋体"/>
          <w:b w:val="0"/>
          <w:bCs w:val="0"/>
          <w:color w:val="auto"/>
          <w:sz w:val="21"/>
          <w:szCs w:val="21"/>
          <w:highlight w:val="none"/>
          <w:lang w:val="en-US" w:eastAsia="zh-CN"/>
        </w:rPr>
        <w:t>6.6.3.1所供产品不得低于食堂现用产品品质，</w:t>
      </w:r>
      <w:r>
        <w:rPr>
          <w:rFonts w:hint="eastAsia" w:ascii="宋体" w:hAnsi="宋体" w:eastAsia="宋体" w:cs="宋体"/>
          <w:b w:val="0"/>
          <w:bCs w:val="0"/>
          <w:color w:val="auto"/>
          <w:sz w:val="21"/>
          <w:szCs w:val="21"/>
          <w:highlight w:val="none"/>
          <w:lang w:val="en-US" w:eastAsia="zh-CN"/>
        </w:rPr>
        <w:t>样品需与实际供货品质、规格完全一致，不得提供“特供样”“展示样”等与实际交付不符的产品。</w:t>
      </w:r>
    </w:p>
    <w:p w14:paraId="026F7495">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hAnsi="宋体" w:eastAsia="宋体" w:cs="宋体"/>
          <w:b w:val="0"/>
          <w:bCs w:val="0"/>
          <w:color w:val="auto"/>
          <w:sz w:val="21"/>
          <w:szCs w:val="21"/>
          <w:highlight w:val="none"/>
          <w:lang w:val="en-US" w:eastAsia="zh-CN"/>
        </w:rPr>
        <w:t>6.6.3.2</w:t>
      </w:r>
      <w:r>
        <w:rPr>
          <w:rFonts w:hint="eastAsia" w:ascii="宋体" w:hAnsi="宋体" w:eastAsia="宋体" w:cs="宋体"/>
          <w:b w:val="0"/>
          <w:bCs w:val="0"/>
          <w:color w:val="auto"/>
          <w:sz w:val="21"/>
          <w:szCs w:val="21"/>
          <w:highlight w:val="none"/>
          <w:lang w:val="en-US" w:eastAsia="zh-CN"/>
        </w:rPr>
        <w:t>预包装食材样品需提供完整包装（含标签、配料表、生产信息等合规内容）。</w:t>
      </w:r>
    </w:p>
    <w:p w14:paraId="11A2C797">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hAnsi="宋体" w:eastAsia="宋体" w:cs="宋体"/>
          <w:b w:val="0"/>
          <w:bCs w:val="0"/>
          <w:color w:val="auto"/>
          <w:sz w:val="21"/>
          <w:szCs w:val="21"/>
          <w:highlight w:val="none"/>
          <w:lang w:val="en-US" w:eastAsia="zh-CN"/>
        </w:rPr>
        <w:t>6.6.3.3</w:t>
      </w:r>
      <w:r>
        <w:rPr>
          <w:rFonts w:hint="eastAsia" w:ascii="宋体" w:hAnsi="宋体" w:eastAsia="宋体" w:cs="宋体"/>
          <w:b w:val="0"/>
          <w:bCs w:val="0"/>
          <w:color w:val="auto"/>
          <w:sz w:val="21"/>
          <w:szCs w:val="21"/>
          <w:highlight w:val="none"/>
          <w:lang w:val="en-US" w:eastAsia="zh-CN"/>
        </w:rPr>
        <w:t>样品需附带对应的质量检测报告（如</w:t>
      </w:r>
      <w:r>
        <w:rPr>
          <w:rFonts w:hint="eastAsia" w:hAnsi="宋体" w:cs="宋体"/>
          <w:b w:val="0"/>
          <w:bCs w:val="0"/>
          <w:color w:val="auto"/>
          <w:sz w:val="21"/>
          <w:szCs w:val="21"/>
          <w:highlight w:val="none"/>
          <w:lang w:val="en-US" w:eastAsia="zh-CN"/>
        </w:rPr>
        <w:t>第三方检测报告、批次检验合格证明</w:t>
      </w:r>
      <w:r>
        <w:rPr>
          <w:rFonts w:hint="eastAsia" w:ascii="宋体" w:hAnsi="宋体" w:eastAsia="宋体" w:cs="宋体"/>
          <w:b w:val="0"/>
          <w:bCs w:val="0"/>
          <w:color w:val="auto"/>
          <w:sz w:val="21"/>
          <w:szCs w:val="21"/>
          <w:highlight w:val="none"/>
          <w:lang w:val="en-US" w:eastAsia="zh-CN"/>
        </w:rPr>
        <w:t>），与实际供货所需凭证类型一致。</w:t>
      </w:r>
    </w:p>
    <w:p w14:paraId="66E0DF0F">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hAnsi="宋体" w:eastAsia="宋体" w:cs="宋体"/>
          <w:b w:val="0"/>
          <w:bCs w:val="0"/>
          <w:color w:val="auto"/>
          <w:sz w:val="21"/>
          <w:szCs w:val="21"/>
          <w:highlight w:val="none"/>
          <w:lang w:val="en-US" w:eastAsia="zh-CN"/>
        </w:rPr>
        <w:t>6.6.4</w:t>
      </w:r>
      <w:r>
        <w:rPr>
          <w:rFonts w:hint="eastAsia" w:ascii="宋体" w:hAnsi="宋体" w:eastAsia="宋体" w:cs="宋体"/>
          <w:b w:val="0"/>
          <w:bCs w:val="0"/>
          <w:color w:val="auto"/>
          <w:sz w:val="21"/>
          <w:szCs w:val="21"/>
          <w:highlight w:val="none"/>
          <w:lang w:val="en-US" w:eastAsia="zh-CN"/>
        </w:rPr>
        <w:t>标准核定：</w:t>
      </w:r>
    </w:p>
    <w:p w14:paraId="4A0209A6">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hAnsi="宋体" w:eastAsia="宋体" w:cs="宋体"/>
          <w:b w:val="0"/>
          <w:bCs w:val="0"/>
          <w:color w:val="auto"/>
          <w:sz w:val="21"/>
          <w:szCs w:val="21"/>
          <w:highlight w:val="none"/>
          <w:lang w:val="en-US" w:eastAsia="zh-CN"/>
        </w:rPr>
        <w:t>6.6.4.1</w:t>
      </w:r>
      <w:r>
        <w:rPr>
          <w:rFonts w:hint="eastAsia" w:ascii="宋体" w:hAnsi="宋体" w:eastAsia="宋体" w:cs="宋体"/>
          <w:b w:val="0"/>
          <w:bCs w:val="0"/>
          <w:color w:val="auto"/>
          <w:sz w:val="21"/>
          <w:szCs w:val="21"/>
          <w:highlight w:val="none"/>
          <w:lang w:val="en-US" w:eastAsia="zh-CN"/>
        </w:rPr>
        <w:t>由</w:t>
      </w:r>
      <w:r>
        <w:rPr>
          <w:rFonts w:hint="eastAsia"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lang w:val="en-US" w:eastAsia="zh-CN"/>
        </w:rPr>
        <w:t>方组织食堂专项核定小组（成员含</w:t>
      </w:r>
      <w:r>
        <w:rPr>
          <w:rFonts w:hint="eastAsia" w:hAnsi="宋体" w:eastAsia="宋体" w:cs="宋体"/>
          <w:b w:val="0"/>
          <w:bCs w:val="0"/>
          <w:color w:val="auto"/>
          <w:sz w:val="21"/>
          <w:szCs w:val="21"/>
          <w:highlight w:val="none"/>
          <w:lang w:val="en-US" w:eastAsia="zh-CN"/>
        </w:rPr>
        <w:t>食堂保管员</w:t>
      </w:r>
      <w:r>
        <w:rPr>
          <w:rFonts w:hint="eastAsia" w:ascii="宋体" w:hAnsi="宋体" w:eastAsia="宋体" w:cs="宋体"/>
          <w:b w:val="0"/>
          <w:bCs w:val="0"/>
          <w:color w:val="auto"/>
          <w:sz w:val="21"/>
          <w:szCs w:val="21"/>
          <w:highlight w:val="none"/>
          <w:lang w:val="en-US" w:eastAsia="zh-CN"/>
        </w:rPr>
        <w:t>、食堂</w:t>
      </w:r>
      <w:r>
        <w:rPr>
          <w:rFonts w:hint="eastAsia" w:hAnsi="宋体" w:eastAsia="宋体" w:cs="宋体"/>
          <w:b w:val="0"/>
          <w:bCs w:val="0"/>
          <w:color w:val="auto"/>
          <w:sz w:val="21"/>
          <w:szCs w:val="21"/>
          <w:highlight w:val="none"/>
          <w:lang w:val="en-US" w:eastAsia="zh-CN"/>
        </w:rPr>
        <w:t>经理/主管</w:t>
      </w:r>
      <w:r>
        <w:rPr>
          <w:rFonts w:hint="eastAsia" w:ascii="宋体" w:hAnsi="宋体" w:eastAsia="宋体" w:cs="宋体"/>
          <w:b w:val="0"/>
          <w:bCs w:val="0"/>
          <w:color w:val="auto"/>
          <w:sz w:val="21"/>
          <w:szCs w:val="21"/>
          <w:highlight w:val="none"/>
          <w:lang w:val="en-US" w:eastAsia="zh-CN"/>
        </w:rPr>
        <w:t>、</w:t>
      </w:r>
      <w:r>
        <w:rPr>
          <w:rFonts w:hint="eastAsia" w:hAnsi="宋体" w:eastAsia="宋体" w:cs="宋体"/>
          <w:b w:val="0"/>
          <w:bCs w:val="0"/>
          <w:color w:val="auto"/>
          <w:sz w:val="21"/>
          <w:szCs w:val="21"/>
          <w:highlight w:val="none"/>
          <w:lang w:val="en-US" w:eastAsia="zh-CN"/>
        </w:rPr>
        <w:t>食堂</w:t>
      </w:r>
      <w:r>
        <w:rPr>
          <w:rFonts w:hint="eastAsia" w:ascii="宋体" w:hAnsi="宋体" w:eastAsia="宋体" w:cs="宋体"/>
          <w:b w:val="0"/>
          <w:bCs w:val="0"/>
          <w:color w:val="auto"/>
          <w:sz w:val="21"/>
          <w:szCs w:val="21"/>
          <w:highlight w:val="none"/>
          <w:lang w:val="en-US" w:eastAsia="zh-CN"/>
        </w:rPr>
        <w:t>厨师</w:t>
      </w:r>
      <w:r>
        <w:rPr>
          <w:rFonts w:hint="eastAsia" w:hAnsi="宋体" w:eastAsia="宋体" w:cs="宋体"/>
          <w:b w:val="0"/>
          <w:bCs w:val="0"/>
          <w:color w:val="auto"/>
          <w:sz w:val="21"/>
          <w:szCs w:val="21"/>
          <w:highlight w:val="none"/>
          <w:lang w:val="en-US" w:eastAsia="zh-CN"/>
        </w:rPr>
        <w:t>等</w:t>
      </w:r>
      <w:r>
        <w:rPr>
          <w:rFonts w:hint="eastAsia" w:ascii="宋体" w:hAnsi="宋体" w:eastAsia="宋体" w:cs="宋体"/>
          <w:b w:val="0"/>
          <w:bCs w:val="0"/>
          <w:color w:val="auto"/>
          <w:sz w:val="21"/>
          <w:szCs w:val="21"/>
          <w:highlight w:val="none"/>
          <w:lang w:val="en-US" w:eastAsia="zh-CN"/>
        </w:rPr>
        <w:t>），对提交的样品进行现场核验。</w:t>
      </w:r>
    </w:p>
    <w:p w14:paraId="31B89388">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hAnsi="宋体" w:eastAsia="宋体" w:cs="宋体"/>
          <w:b w:val="0"/>
          <w:bCs w:val="0"/>
          <w:color w:val="auto"/>
          <w:sz w:val="21"/>
          <w:szCs w:val="21"/>
          <w:highlight w:val="none"/>
          <w:lang w:val="en-US" w:eastAsia="zh-CN"/>
        </w:rPr>
        <w:t>6.6.4.2核验内容</w:t>
      </w:r>
      <w:r>
        <w:rPr>
          <w:rFonts w:hint="eastAsia" w:ascii="宋体" w:hAnsi="宋体" w:eastAsia="宋体" w:cs="宋体"/>
          <w:b w:val="0"/>
          <w:bCs w:val="0"/>
          <w:color w:val="auto"/>
          <w:sz w:val="21"/>
          <w:szCs w:val="21"/>
          <w:highlight w:val="none"/>
          <w:lang w:val="en-US" w:eastAsia="zh-CN"/>
        </w:rPr>
        <w:t>包括：食</w:t>
      </w:r>
      <w:r>
        <w:rPr>
          <w:rFonts w:hint="eastAsia" w:ascii="宋体" w:hAnsi="宋体" w:eastAsia="宋体" w:cs="宋体"/>
          <w:color w:val="auto"/>
          <w:sz w:val="21"/>
          <w:szCs w:val="21"/>
          <w:highlight w:val="none"/>
          <w:lang w:val="en-US" w:eastAsia="zh-CN"/>
        </w:rPr>
        <w:t>材新鲜度、规格一致性、等级达标情况、口感适配性（需符合食堂供餐需求）等。</w:t>
      </w:r>
    </w:p>
    <w:p w14:paraId="4F546D86">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b w:val="0"/>
          <w:bCs w:val="0"/>
          <w:strike w:val="0"/>
          <w:dstrike w:val="0"/>
          <w:color w:val="auto"/>
          <w:sz w:val="21"/>
          <w:szCs w:val="21"/>
          <w:highlight w:val="none"/>
          <w:lang w:val="en-US" w:eastAsia="zh-CN"/>
        </w:rPr>
      </w:pPr>
      <w:r>
        <w:rPr>
          <w:rFonts w:hint="eastAsia" w:hAnsi="宋体" w:eastAsia="宋体" w:cs="宋体"/>
          <w:b w:val="0"/>
          <w:bCs w:val="0"/>
          <w:color w:val="auto"/>
          <w:sz w:val="21"/>
          <w:szCs w:val="21"/>
          <w:highlight w:val="none"/>
          <w:lang w:val="en-US" w:eastAsia="zh-CN"/>
        </w:rPr>
        <w:t>6.6.4.3</w:t>
      </w:r>
      <w:r>
        <w:rPr>
          <w:rFonts w:hint="eastAsia" w:ascii="宋体" w:hAnsi="宋体" w:eastAsia="宋体" w:cs="宋体"/>
          <w:b w:val="0"/>
          <w:bCs w:val="0"/>
          <w:color w:val="auto"/>
          <w:sz w:val="21"/>
          <w:szCs w:val="21"/>
          <w:highlight w:val="none"/>
          <w:lang w:val="en-US" w:eastAsia="zh-CN"/>
        </w:rPr>
        <w:t>核定通过后，需形成《</w:t>
      </w:r>
      <w:r>
        <w:rPr>
          <w:rFonts w:hint="eastAsia" w:hAnsi="宋体" w:eastAsia="宋体" w:cs="宋体"/>
          <w:b w:val="0"/>
          <w:bCs w:val="0"/>
          <w:color w:val="auto"/>
          <w:sz w:val="21"/>
          <w:szCs w:val="21"/>
          <w:highlight w:val="none"/>
          <w:lang w:val="en-US" w:eastAsia="zh-CN"/>
        </w:rPr>
        <w:t>饮食原材料样品验收单</w:t>
      </w:r>
      <w:r>
        <w:rPr>
          <w:rFonts w:hint="eastAsia" w:ascii="宋体" w:hAnsi="宋体" w:eastAsia="宋体" w:cs="宋体"/>
          <w:b w:val="0"/>
          <w:bCs w:val="0"/>
          <w:color w:val="auto"/>
          <w:sz w:val="21"/>
          <w:szCs w:val="21"/>
          <w:highlight w:val="none"/>
          <w:lang w:val="en-US" w:eastAsia="zh-CN"/>
        </w:rPr>
        <w:t>》，明确每种食材的验收标准（以</w:t>
      </w:r>
      <w:r>
        <w:rPr>
          <w:rFonts w:hint="eastAsia" w:ascii="宋体" w:hAnsi="宋体" w:eastAsia="宋体" w:cs="宋体"/>
          <w:b w:val="0"/>
          <w:bCs w:val="0"/>
          <w:strike w:val="0"/>
          <w:dstrike w:val="0"/>
          <w:color w:val="auto"/>
          <w:sz w:val="21"/>
          <w:szCs w:val="21"/>
          <w:highlight w:val="none"/>
          <w:lang w:val="en-US" w:eastAsia="zh-CN"/>
        </w:rPr>
        <w:t>样品为基准），由采购方核定小组与供应商双方签字确认，作为后续供货验收的核心依据。</w:t>
      </w:r>
      <w:r>
        <w:rPr>
          <w:rFonts w:hint="eastAsia" w:ascii="宋体" w:hAnsi="宋体" w:eastAsia="宋体" w:cs="宋体"/>
          <w:b w:val="0"/>
          <w:bCs w:val="0"/>
          <w:strike w:val="0"/>
          <w:dstrike w:val="0"/>
          <w:snapToGrid w:val="0"/>
          <w:color w:val="auto"/>
          <w:position w:val="0"/>
          <w:sz w:val="21"/>
          <w:szCs w:val="21"/>
          <w:highlight w:val="none"/>
          <w:lang w:val="en-US" w:eastAsia="zh-CN"/>
        </w:rPr>
        <w:t>之后供货须与提供的样品标准一致，如出现标准不符或质量问题要无条件退换货，且甲方有权对问题产品不予结算。</w:t>
      </w:r>
    </w:p>
    <w:p w14:paraId="22499742">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strike w:val="0"/>
          <w:dstrike w:val="0"/>
          <w:snapToGrid w:val="0"/>
          <w:color w:val="auto"/>
          <w:position w:val="0"/>
          <w:sz w:val="21"/>
          <w:szCs w:val="21"/>
          <w:highlight w:val="none"/>
          <w:lang w:val="en-US" w:eastAsia="zh-CN"/>
        </w:rPr>
      </w:pPr>
      <w:r>
        <w:rPr>
          <w:rFonts w:hint="eastAsia" w:hAnsi="宋体" w:eastAsia="宋体" w:cs="宋体"/>
          <w:b w:val="0"/>
          <w:bCs w:val="0"/>
          <w:color w:val="auto"/>
          <w:sz w:val="21"/>
          <w:szCs w:val="21"/>
          <w:highlight w:val="none"/>
          <w:lang w:val="en-US" w:eastAsia="zh-CN"/>
        </w:rPr>
        <w:t>6.6.5</w:t>
      </w:r>
      <w:r>
        <w:rPr>
          <w:rFonts w:hint="eastAsia" w:ascii="宋体" w:hAnsi="宋体" w:eastAsia="宋体" w:cs="宋体"/>
          <w:b w:val="0"/>
          <w:bCs w:val="0"/>
          <w:color w:val="auto"/>
          <w:sz w:val="21"/>
          <w:szCs w:val="21"/>
          <w:highlight w:val="none"/>
          <w:lang w:val="en-US" w:eastAsia="zh-CN"/>
        </w:rPr>
        <w:t>若样品未通过核定（如品质不达标等），供应商需在2个工作日内重新提交样</w:t>
      </w:r>
      <w:r>
        <w:rPr>
          <w:rFonts w:hint="eastAsia" w:ascii="宋体" w:hAnsi="宋体" w:eastAsia="宋体" w:cs="宋体"/>
          <w:color w:val="auto"/>
          <w:sz w:val="21"/>
          <w:szCs w:val="21"/>
          <w:highlight w:val="none"/>
          <w:lang w:val="en-US" w:eastAsia="zh-CN"/>
        </w:rPr>
        <w:t>品</w:t>
      </w:r>
      <w:r>
        <w:rPr>
          <w:rFonts w:hint="eastAsia" w:hAnsi="宋体" w:cs="宋体"/>
          <w:color w:val="auto"/>
          <w:sz w:val="21"/>
          <w:szCs w:val="21"/>
          <w:highlight w:val="none"/>
          <w:lang w:val="en-US" w:eastAsia="zh-CN"/>
        </w:rPr>
        <w:t>，</w:t>
      </w:r>
      <w:r>
        <w:rPr>
          <w:rFonts w:hint="eastAsia" w:ascii="宋体" w:hAnsi="宋体" w:eastAsia="宋体" w:cs="宋体"/>
          <w:strike w:val="0"/>
          <w:dstrike w:val="0"/>
          <w:color w:val="auto"/>
          <w:sz w:val="21"/>
          <w:szCs w:val="21"/>
          <w:highlight w:val="none"/>
          <w:lang w:val="en-US" w:eastAsia="zh-CN"/>
        </w:rPr>
        <w:t>累计15天内提交仍未通过的，</w:t>
      </w:r>
      <w:r>
        <w:rPr>
          <w:rFonts w:hint="eastAsia" w:hAnsi="宋体" w:cs="宋体"/>
          <w:strike w:val="0"/>
          <w:dstrike w:val="0"/>
          <w:color w:val="auto"/>
          <w:sz w:val="21"/>
          <w:szCs w:val="21"/>
          <w:highlight w:val="none"/>
          <w:lang w:val="en-US" w:eastAsia="zh-CN"/>
        </w:rPr>
        <w:t>视为与投标承诺不符。</w:t>
      </w:r>
    </w:p>
    <w:p w14:paraId="254054D1">
      <w:pPr>
        <w:numPr>
          <w:ilvl w:val="0"/>
          <w:numId w:val="0"/>
        </w:numPr>
        <w:spacing w:line="360" w:lineRule="auto"/>
        <w:ind w:firstLine="420" w:firstLineChars="200"/>
        <w:jc w:val="both"/>
        <w:outlineLvl w:val="0"/>
        <w:rPr>
          <w:rFonts w:hint="eastAsia" w:ascii="宋体" w:hAnsi="宋体" w:eastAsia="宋体" w:cs="宋体"/>
          <w:b w:val="0"/>
          <w:bCs w:val="0"/>
          <w:snapToGrid w:val="0"/>
          <w:color w:val="auto"/>
          <w:position w:val="0"/>
          <w:sz w:val="21"/>
          <w:szCs w:val="21"/>
          <w:highlight w:val="none"/>
          <w:lang w:val="en-US" w:eastAsia="zh-CN"/>
        </w:rPr>
      </w:pPr>
      <w:r>
        <w:rPr>
          <w:rFonts w:hint="eastAsia" w:ascii="宋体" w:hAnsi="宋体" w:eastAsia="宋体" w:cs="宋体"/>
          <w:b w:val="0"/>
          <w:bCs w:val="0"/>
          <w:snapToGrid w:val="0"/>
          <w:color w:val="auto"/>
          <w:position w:val="0"/>
          <w:sz w:val="21"/>
          <w:szCs w:val="21"/>
          <w:highlight w:val="none"/>
          <w:lang w:val="en-US" w:eastAsia="zh-CN"/>
        </w:rPr>
        <w:t>6.7订单接收：每日 15:00 以后自行通过《哈尔滨工业大学饮食中心饮智慧后勤供应链管理系统》 接收订单，自行打印配送单</w:t>
      </w:r>
      <w:r>
        <w:rPr>
          <w:rFonts w:hint="eastAsia" w:ascii="宋体" w:hAnsi="宋体" w:cs="宋体"/>
          <w:b w:val="0"/>
          <w:bCs w:val="0"/>
          <w:snapToGrid w:val="0"/>
          <w:color w:val="auto"/>
          <w:position w:val="0"/>
          <w:sz w:val="21"/>
          <w:szCs w:val="21"/>
          <w:highlight w:val="none"/>
          <w:lang w:val="en-US" w:eastAsia="zh-CN"/>
        </w:rPr>
        <w:t>（</w:t>
      </w:r>
      <w:r>
        <w:rPr>
          <w:rFonts w:hint="eastAsia" w:ascii="宋体" w:hAnsi="宋体" w:eastAsia="宋体" w:cs="宋体"/>
          <w:b w:val="0"/>
          <w:bCs w:val="0"/>
          <w:snapToGrid w:val="0"/>
          <w:color w:val="auto"/>
          <w:position w:val="0"/>
          <w:sz w:val="21"/>
          <w:szCs w:val="21"/>
          <w:highlight w:val="none"/>
          <w:lang w:val="en-US" w:eastAsia="zh-CN"/>
        </w:rPr>
        <w:t>加盖单位公章</w:t>
      </w:r>
      <w:r>
        <w:rPr>
          <w:rFonts w:hint="eastAsia" w:ascii="宋体" w:hAnsi="宋体" w:cs="宋体"/>
          <w:b w:val="0"/>
          <w:bCs w:val="0"/>
          <w:snapToGrid w:val="0"/>
          <w:color w:val="auto"/>
          <w:position w:val="0"/>
          <w:sz w:val="21"/>
          <w:szCs w:val="21"/>
          <w:highlight w:val="none"/>
          <w:lang w:val="en-US" w:eastAsia="zh-CN"/>
        </w:rPr>
        <w:t>）随货同行</w:t>
      </w:r>
      <w:r>
        <w:rPr>
          <w:rFonts w:hint="eastAsia" w:ascii="宋体" w:hAnsi="宋体" w:eastAsia="宋体" w:cs="宋体"/>
          <w:b w:val="0"/>
          <w:bCs w:val="0"/>
          <w:snapToGrid w:val="0"/>
          <w:color w:val="auto"/>
          <w:position w:val="0"/>
          <w:sz w:val="21"/>
          <w:szCs w:val="21"/>
          <w:highlight w:val="none"/>
          <w:lang w:val="en-US" w:eastAsia="zh-CN"/>
        </w:rPr>
        <w:t>。 供应商具备上网条件，自备电脑、票据打印机，有专人接受《哈尔滨工业大学饮食中心饮智慧后勤供应链管理系统》培训，负责接收和查询采购方订单情况，负责对每日订单验收信息复核与确认。</w:t>
      </w:r>
    </w:p>
    <w:p w14:paraId="7233AB07">
      <w:pPr>
        <w:numPr>
          <w:ilvl w:val="0"/>
          <w:numId w:val="0"/>
        </w:numPr>
        <w:spacing w:line="360" w:lineRule="auto"/>
        <w:ind w:firstLine="420" w:firstLineChars="200"/>
        <w:jc w:val="both"/>
        <w:outlineLvl w:val="0"/>
        <w:rPr>
          <w:rFonts w:hint="eastAsia" w:ascii="宋体" w:hAnsi="宋体" w:eastAsia="宋体" w:cs="宋体"/>
          <w:b w:val="0"/>
          <w:bCs w:val="0"/>
          <w:snapToGrid w:val="0"/>
          <w:color w:val="auto"/>
          <w:position w:val="0"/>
          <w:sz w:val="21"/>
          <w:szCs w:val="21"/>
          <w:highlight w:val="none"/>
          <w:lang w:val="en-US" w:eastAsia="zh-CN"/>
        </w:rPr>
      </w:pPr>
      <w:r>
        <w:rPr>
          <w:rFonts w:hint="eastAsia" w:ascii="宋体" w:hAnsi="宋体" w:eastAsia="宋体" w:cs="宋体"/>
          <w:b w:val="0"/>
          <w:bCs w:val="0"/>
          <w:snapToGrid w:val="0"/>
          <w:color w:val="auto"/>
          <w:position w:val="0"/>
          <w:sz w:val="21"/>
          <w:szCs w:val="21"/>
          <w:highlight w:val="none"/>
          <w:lang w:val="en-US" w:eastAsia="zh-CN"/>
        </w:rPr>
        <w:t>6.8</w:t>
      </w:r>
      <w:r>
        <w:rPr>
          <w:rFonts w:hint="default" w:ascii="宋体" w:hAnsi="宋体" w:eastAsia="宋体" w:cs="宋体"/>
          <w:b w:val="0"/>
          <w:bCs w:val="0"/>
          <w:snapToGrid w:val="0"/>
          <w:color w:val="auto"/>
          <w:position w:val="0"/>
          <w:sz w:val="21"/>
          <w:szCs w:val="21"/>
          <w:highlight w:val="none"/>
          <w:lang w:val="en-US" w:eastAsia="zh-CN"/>
        </w:rPr>
        <w:t>有关主管部门</w:t>
      </w:r>
      <w:r>
        <w:rPr>
          <w:rFonts w:hint="eastAsia" w:ascii="宋体" w:hAnsi="宋体" w:eastAsia="宋体" w:cs="宋体"/>
          <w:b w:val="0"/>
          <w:bCs w:val="0"/>
          <w:snapToGrid w:val="0"/>
          <w:color w:val="auto"/>
          <w:position w:val="0"/>
          <w:sz w:val="21"/>
          <w:szCs w:val="21"/>
          <w:highlight w:val="none"/>
          <w:lang w:val="en-US" w:eastAsia="zh-CN"/>
        </w:rPr>
        <w:t>对</w:t>
      </w:r>
      <w:r>
        <w:rPr>
          <w:rFonts w:hint="default" w:ascii="宋体" w:hAnsi="宋体" w:eastAsia="宋体" w:cs="宋体"/>
          <w:b w:val="0"/>
          <w:bCs w:val="0"/>
          <w:snapToGrid w:val="0"/>
          <w:color w:val="auto"/>
          <w:position w:val="0"/>
          <w:sz w:val="21"/>
          <w:szCs w:val="21"/>
          <w:highlight w:val="none"/>
          <w:lang w:val="en-US" w:eastAsia="zh-CN"/>
        </w:rPr>
        <w:t>所供</w:t>
      </w:r>
      <w:r>
        <w:rPr>
          <w:rFonts w:hint="eastAsia" w:ascii="宋体" w:hAnsi="宋体" w:eastAsia="宋体" w:cs="宋体"/>
          <w:b w:val="0"/>
          <w:bCs w:val="0"/>
          <w:snapToGrid w:val="0"/>
          <w:color w:val="auto"/>
          <w:position w:val="0"/>
          <w:sz w:val="21"/>
          <w:szCs w:val="21"/>
          <w:highlight w:val="none"/>
          <w:lang w:val="en-US" w:eastAsia="zh-CN"/>
        </w:rPr>
        <w:t>产品进</w:t>
      </w:r>
      <w:r>
        <w:rPr>
          <w:rFonts w:hint="default" w:ascii="宋体" w:hAnsi="宋体" w:eastAsia="宋体" w:cs="宋体"/>
          <w:b w:val="0"/>
          <w:bCs w:val="0"/>
          <w:snapToGrid w:val="0"/>
          <w:color w:val="auto"/>
          <w:position w:val="0"/>
          <w:sz w:val="21"/>
          <w:szCs w:val="21"/>
          <w:highlight w:val="none"/>
          <w:lang w:val="en-US" w:eastAsia="zh-CN"/>
        </w:rPr>
        <w:t>行抽</w:t>
      </w:r>
      <w:r>
        <w:rPr>
          <w:rFonts w:hint="eastAsia" w:ascii="宋体" w:hAnsi="宋体" w:eastAsia="宋体" w:cs="宋体"/>
          <w:b w:val="0"/>
          <w:bCs w:val="0"/>
          <w:snapToGrid w:val="0"/>
          <w:color w:val="auto"/>
          <w:position w:val="0"/>
          <w:sz w:val="21"/>
          <w:szCs w:val="21"/>
          <w:highlight w:val="none"/>
          <w:lang w:val="en-US" w:eastAsia="zh-CN"/>
        </w:rPr>
        <w:t>样检测时</w:t>
      </w:r>
      <w:r>
        <w:rPr>
          <w:rFonts w:hint="default" w:ascii="宋体" w:hAnsi="宋体" w:eastAsia="宋体" w:cs="宋体"/>
          <w:b w:val="0"/>
          <w:bCs w:val="0"/>
          <w:snapToGrid w:val="0"/>
          <w:color w:val="auto"/>
          <w:position w:val="0"/>
          <w:sz w:val="21"/>
          <w:szCs w:val="21"/>
          <w:highlight w:val="none"/>
          <w:lang w:val="en-US" w:eastAsia="zh-CN"/>
        </w:rPr>
        <w:t>，如达不到国家行</w:t>
      </w:r>
      <w:r>
        <w:rPr>
          <w:rFonts w:hint="eastAsia" w:ascii="宋体" w:hAnsi="宋体" w:eastAsia="宋体" w:cs="宋体"/>
          <w:b w:val="0"/>
          <w:bCs w:val="0"/>
          <w:snapToGrid w:val="0"/>
          <w:color w:val="auto"/>
          <w:position w:val="0"/>
          <w:sz w:val="21"/>
          <w:szCs w:val="21"/>
          <w:highlight w:val="none"/>
          <w:lang w:val="en-US" w:eastAsia="zh-CN"/>
        </w:rPr>
        <w:t>业</w:t>
      </w:r>
      <w:r>
        <w:rPr>
          <w:rFonts w:hint="default" w:ascii="宋体" w:hAnsi="宋体" w:eastAsia="宋体" w:cs="宋体"/>
          <w:b w:val="0"/>
          <w:bCs w:val="0"/>
          <w:snapToGrid w:val="0"/>
          <w:color w:val="auto"/>
          <w:position w:val="0"/>
          <w:sz w:val="21"/>
          <w:szCs w:val="21"/>
          <w:highlight w:val="none"/>
          <w:lang w:val="en-US" w:eastAsia="zh-CN"/>
        </w:rPr>
        <w:t>主管部门</w:t>
      </w:r>
      <w:r>
        <w:rPr>
          <w:rFonts w:hint="eastAsia" w:ascii="宋体" w:hAnsi="宋体" w:eastAsia="宋体" w:cs="宋体"/>
          <w:b w:val="0"/>
          <w:bCs w:val="0"/>
          <w:snapToGrid w:val="0"/>
          <w:color w:val="auto"/>
          <w:position w:val="0"/>
          <w:sz w:val="21"/>
          <w:szCs w:val="21"/>
          <w:highlight w:val="none"/>
          <w:lang w:val="en-US" w:eastAsia="zh-CN"/>
        </w:rPr>
        <w:t>规</w:t>
      </w:r>
      <w:r>
        <w:rPr>
          <w:rFonts w:hint="default" w:ascii="宋体" w:hAnsi="宋体" w:eastAsia="宋体" w:cs="宋体"/>
          <w:b w:val="0"/>
          <w:bCs w:val="0"/>
          <w:snapToGrid w:val="0"/>
          <w:color w:val="auto"/>
          <w:position w:val="0"/>
          <w:sz w:val="21"/>
          <w:szCs w:val="21"/>
          <w:highlight w:val="none"/>
          <w:lang w:val="en-US" w:eastAsia="zh-CN"/>
        </w:rPr>
        <w:t>定的</w:t>
      </w:r>
      <w:r>
        <w:rPr>
          <w:rFonts w:hint="eastAsia" w:ascii="宋体" w:hAnsi="宋体" w:eastAsia="宋体" w:cs="宋体"/>
          <w:b w:val="0"/>
          <w:bCs w:val="0"/>
          <w:snapToGrid w:val="0"/>
          <w:color w:val="auto"/>
          <w:position w:val="0"/>
          <w:sz w:val="21"/>
          <w:szCs w:val="21"/>
          <w:highlight w:val="none"/>
          <w:lang w:val="en-US" w:eastAsia="zh-CN"/>
        </w:rPr>
        <w:t>标</w:t>
      </w:r>
      <w:r>
        <w:rPr>
          <w:rFonts w:hint="default" w:ascii="宋体" w:hAnsi="宋体" w:eastAsia="宋体" w:cs="宋体"/>
          <w:b w:val="0"/>
          <w:bCs w:val="0"/>
          <w:snapToGrid w:val="0"/>
          <w:color w:val="auto"/>
          <w:position w:val="0"/>
          <w:sz w:val="21"/>
          <w:szCs w:val="21"/>
          <w:highlight w:val="none"/>
          <w:lang w:val="en-US" w:eastAsia="zh-CN"/>
        </w:rPr>
        <w:t>准，</w:t>
      </w:r>
      <w:r>
        <w:rPr>
          <w:rFonts w:hint="eastAsia" w:ascii="宋体" w:hAnsi="宋体" w:eastAsia="宋体" w:cs="宋体"/>
          <w:b w:val="0"/>
          <w:bCs w:val="0"/>
          <w:snapToGrid w:val="0"/>
          <w:color w:val="auto"/>
          <w:position w:val="0"/>
          <w:sz w:val="21"/>
          <w:szCs w:val="21"/>
          <w:highlight w:val="none"/>
          <w:lang w:val="en-US" w:eastAsia="zh-CN"/>
        </w:rPr>
        <w:t>因此导</w:t>
      </w:r>
      <w:r>
        <w:rPr>
          <w:rFonts w:hint="default" w:ascii="宋体" w:hAnsi="宋体" w:eastAsia="宋体" w:cs="宋体"/>
          <w:b w:val="0"/>
          <w:bCs w:val="0"/>
          <w:snapToGrid w:val="0"/>
          <w:color w:val="auto"/>
          <w:position w:val="0"/>
          <w:sz w:val="21"/>
          <w:szCs w:val="21"/>
          <w:highlight w:val="none"/>
          <w:lang w:val="en-US" w:eastAsia="zh-CN"/>
        </w:rPr>
        <w:t>致</w:t>
      </w:r>
      <w:r>
        <w:rPr>
          <w:rFonts w:hint="eastAsia" w:ascii="宋体" w:hAnsi="宋体" w:eastAsia="宋体" w:cs="宋体"/>
          <w:b w:val="0"/>
          <w:bCs w:val="0"/>
          <w:snapToGrid w:val="0"/>
          <w:color w:val="auto"/>
          <w:position w:val="0"/>
          <w:sz w:val="21"/>
          <w:szCs w:val="21"/>
          <w:highlight w:val="none"/>
          <w:lang w:val="en-US" w:eastAsia="zh-CN"/>
        </w:rPr>
        <w:t>采购人</w:t>
      </w:r>
      <w:r>
        <w:rPr>
          <w:rFonts w:hint="default" w:ascii="宋体" w:hAnsi="宋体" w:eastAsia="宋体" w:cs="宋体"/>
          <w:b w:val="0"/>
          <w:bCs w:val="0"/>
          <w:snapToGrid w:val="0"/>
          <w:color w:val="auto"/>
          <w:position w:val="0"/>
          <w:sz w:val="21"/>
          <w:szCs w:val="21"/>
          <w:highlight w:val="none"/>
          <w:lang w:val="en-US" w:eastAsia="zh-CN"/>
        </w:rPr>
        <w:t>受到</w:t>
      </w:r>
      <w:r>
        <w:rPr>
          <w:rFonts w:hint="eastAsia" w:ascii="宋体" w:hAnsi="宋体" w:eastAsia="宋体" w:cs="宋体"/>
          <w:b w:val="0"/>
          <w:bCs w:val="0"/>
          <w:snapToGrid w:val="0"/>
          <w:color w:val="auto"/>
          <w:position w:val="0"/>
          <w:sz w:val="21"/>
          <w:szCs w:val="21"/>
          <w:highlight w:val="none"/>
          <w:lang w:val="en-US" w:eastAsia="zh-CN"/>
        </w:rPr>
        <w:t>罚</w:t>
      </w:r>
      <w:r>
        <w:rPr>
          <w:rFonts w:hint="default" w:ascii="宋体" w:hAnsi="宋体" w:eastAsia="宋体" w:cs="宋体"/>
          <w:b w:val="0"/>
          <w:bCs w:val="0"/>
          <w:snapToGrid w:val="0"/>
          <w:color w:val="auto"/>
          <w:position w:val="0"/>
          <w:sz w:val="21"/>
          <w:szCs w:val="21"/>
          <w:highlight w:val="none"/>
          <w:lang w:val="en-US" w:eastAsia="zh-CN"/>
        </w:rPr>
        <w:t>款、</w:t>
      </w:r>
      <w:r>
        <w:rPr>
          <w:rFonts w:hint="eastAsia" w:ascii="宋体" w:hAnsi="宋体" w:eastAsia="宋体" w:cs="宋体"/>
          <w:b w:val="0"/>
          <w:bCs w:val="0"/>
          <w:snapToGrid w:val="0"/>
          <w:color w:val="auto"/>
          <w:position w:val="0"/>
          <w:sz w:val="21"/>
          <w:szCs w:val="21"/>
          <w:highlight w:val="none"/>
          <w:lang w:val="en-US" w:eastAsia="zh-CN"/>
        </w:rPr>
        <w:t>经济</w:t>
      </w:r>
      <w:r>
        <w:rPr>
          <w:rFonts w:hint="default" w:ascii="宋体" w:hAnsi="宋体" w:eastAsia="宋体" w:cs="宋体"/>
          <w:b w:val="0"/>
          <w:bCs w:val="0"/>
          <w:snapToGrid w:val="0"/>
          <w:color w:val="auto"/>
          <w:position w:val="0"/>
          <w:sz w:val="21"/>
          <w:szCs w:val="21"/>
          <w:highlight w:val="none"/>
          <w:lang w:val="en-US" w:eastAsia="zh-CN"/>
        </w:rPr>
        <w:t>或名誉</w:t>
      </w:r>
      <w:r>
        <w:rPr>
          <w:rFonts w:hint="eastAsia" w:ascii="宋体" w:hAnsi="宋体" w:eastAsia="宋体" w:cs="宋体"/>
          <w:b w:val="0"/>
          <w:bCs w:val="0"/>
          <w:snapToGrid w:val="0"/>
          <w:color w:val="auto"/>
          <w:position w:val="0"/>
          <w:sz w:val="21"/>
          <w:szCs w:val="21"/>
          <w:highlight w:val="none"/>
          <w:lang w:val="en-US" w:eastAsia="zh-CN"/>
        </w:rPr>
        <w:t>损</w:t>
      </w:r>
      <w:r>
        <w:rPr>
          <w:rFonts w:hint="default" w:ascii="宋体" w:hAnsi="宋体" w:eastAsia="宋体" w:cs="宋体"/>
          <w:b w:val="0"/>
          <w:bCs w:val="0"/>
          <w:snapToGrid w:val="0"/>
          <w:color w:val="auto"/>
          <w:position w:val="0"/>
          <w:sz w:val="21"/>
          <w:szCs w:val="21"/>
          <w:highlight w:val="none"/>
          <w:lang w:val="en-US" w:eastAsia="zh-CN"/>
        </w:rPr>
        <w:t>害的，</w:t>
      </w:r>
      <w:r>
        <w:rPr>
          <w:rFonts w:hint="eastAsia" w:ascii="宋体" w:hAnsi="宋体" w:eastAsia="宋体" w:cs="宋体"/>
          <w:b w:val="0"/>
          <w:bCs w:val="0"/>
          <w:snapToGrid w:val="0"/>
          <w:color w:val="auto"/>
          <w:position w:val="0"/>
          <w:sz w:val="21"/>
          <w:szCs w:val="21"/>
          <w:highlight w:val="none"/>
          <w:lang w:val="en-US" w:eastAsia="zh-CN"/>
        </w:rPr>
        <w:t>采购人</w:t>
      </w:r>
      <w:r>
        <w:rPr>
          <w:rFonts w:hint="default" w:ascii="宋体" w:hAnsi="宋体" w:eastAsia="宋体" w:cs="宋体"/>
          <w:b w:val="0"/>
          <w:bCs w:val="0"/>
          <w:snapToGrid w:val="0"/>
          <w:color w:val="auto"/>
          <w:position w:val="0"/>
          <w:sz w:val="21"/>
          <w:szCs w:val="21"/>
          <w:highlight w:val="none"/>
          <w:lang w:val="en-US" w:eastAsia="zh-CN"/>
        </w:rPr>
        <w:t>有权从</w:t>
      </w:r>
      <w:r>
        <w:rPr>
          <w:rFonts w:hint="eastAsia" w:ascii="宋体" w:hAnsi="宋体" w:eastAsia="宋体" w:cs="宋体"/>
          <w:b w:val="0"/>
          <w:bCs w:val="0"/>
          <w:snapToGrid w:val="0"/>
          <w:color w:val="auto"/>
          <w:position w:val="0"/>
          <w:sz w:val="21"/>
          <w:szCs w:val="21"/>
          <w:highlight w:val="none"/>
          <w:lang w:val="en-US" w:eastAsia="zh-CN"/>
        </w:rPr>
        <w:t>中标人货</w:t>
      </w:r>
      <w:r>
        <w:rPr>
          <w:rFonts w:hint="default" w:ascii="宋体" w:hAnsi="宋体" w:eastAsia="宋体" w:cs="宋体"/>
          <w:b w:val="0"/>
          <w:bCs w:val="0"/>
          <w:snapToGrid w:val="0"/>
          <w:color w:val="auto"/>
          <w:position w:val="0"/>
          <w:sz w:val="21"/>
          <w:szCs w:val="21"/>
          <w:highlight w:val="none"/>
          <w:lang w:val="en-US" w:eastAsia="zh-CN"/>
        </w:rPr>
        <w:t>款中扣除相当于</w:t>
      </w:r>
      <w:r>
        <w:rPr>
          <w:rFonts w:hint="eastAsia" w:ascii="宋体" w:hAnsi="宋体" w:eastAsia="宋体" w:cs="宋体"/>
          <w:b w:val="0"/>
          <w:bCs w:val="0"/>
          <w:snapToGrid w:val="0"/>
          <w:color w:val="auto"/>
          <w:position w:val="0"/>
          <w:sz w:val="21"/>
          <w:szCs w:val="21"/>
          <w:highlight w:val="none"/>
          <w:lang w:val="en-US" w:eastAsia="zh-CN"/>
        </w:rPr>
        <w:t>罚</w:t>
      </w:r>
      <w:r>
        <w:rPr>
          <w:rFonts w:hint="default" w:ascii="宋体" w:hAnsi="宋体" w:eastAsia="宋体" w:cs="宋体"/>
          <w:b w:val="0"/>
          <w:bCs w:val="0"/>
          <w:snapToGrid w:val="0"/>
          <w:color w:val="auto"/>
          <w:position w:val="0"/>
          <w:sz w:val="21"/>
          <w:szCs w:val="21"/>
          <w:highlight w:val="none"/>
          <w:lang w:val="en-US" w:eastAsia="zh-CN"/>
        </w:rPr>
        <w:t>款或</w:t>
      </w:r>
      <w:r>
        <w:rPr>
          <w:rFonts w:hint="eastAsia" w:ascii="宋体" w:hAnsi="宋体" w:eastAsia="宋体" w:cs="宋体"/>
          <w:b w:val="0"/>
          <w:bCs w:val="0"/>
          <w:snapToGrid w:val="0"/>
          <w:color w:val="auto"/>
          <w:position w:val="0"/>
          <w:sz w:val="21"/>
          <w:szCs w:val="21"/>
          <w:highlight w:val="none"/>
          <w:lang w:val="en-US" w:eastAsia="zh-CN"/>
        </w:rPr>
        <w:t>合同金额</w:t>
      </w:r>
      <w:r>
        <w:rPr>
          <w:rFonts w:hint="default" w:ascii="宋体" w:hAnsi="宋体" w:eastAsia="宋体" w:cs="宋体"/>
          <w:b w:val="0"/>
          <w:bCs w:val="0"/>
          <w:snapToGrid w:val="0"/>
          <w:color w:val="auto"/>
          <w:position w:val="0"/>
          <w:sz w:val="21"/>
          <w:szCs w:val="21"/>
          <w:highlight w:val="none"/>
          <w:lang w:val="en-US" w:eastAsia="zh-CN"/>
        </w:rPr>
        <w:t>30%的</w:t>
      </w:r>
      <w:r>
        <w:rPr>
          <w:rFonts w:hint="eastAsia" w:ascii="宋体" w:hAnsi="宋体" w:eastAsia="宋体" w:cs="宋体"/>
          <w:b w:val="0"/>
          <w:bCs w:val="0"/>
          <w:snapToGrid w:val="0"/>
          <w:color w:val="auto"/>
          <w:position w:val="0"/>
          <w:sz w:val="21"/>
          <w:szCs w:val="21"/>
          <w:highlight w:val="none"/>
          <w:lang w:val="en-US" w:eastAsia="zh-CN"/>
        </w:rPr>
        <w:t>违约</w:t>
      </w:r>
      <w:r>
        <w:rPr>
          <w:rFonts w:hint="default" w:ascii="宋体" w:hAnsi="宋体" w:eastAsia="宋体" w:cs="宋体"/>
          <w:b w:val="0"/>
          <w:bCs w:val="0"/>
          <w:snapToGrid w:val="0"/>
          <w:color w:val="auto"/>
          <w:position w:val="0"/>
          <w:sz w:val="21"/>
          <w:szCs w:val="21"/>
          <w:highlight w:val="none"/>
          <w:lang w:val="en-US" w:eastAsia="zh-CN"/>
        </w:rPr>
        <w:t>金，</w:t>
      </w:r>
      <w:r>
        <w:rPr>
          <w:rFonts w:hint="eastAsia" w:ascii="宋体" w:hAnsi="宋体" w:eastAsia="宋体" w:cs="宋体"/>
          <w:b w:val="0"/>
          <w:bCs w:val="0"/>
          <w:snapToGrid w:val="0"/>
          <w:color w:val="auto"/>
          <w:position w:val="0"/>
          <w:sz w:val="21"/>
          <w:szCs w:val="21"/>
          <w:highlight w:val="none"/>
          <w:lang w:val="en-US" w:eastAsia="zh-CN"/>
        </w:rPr>
        <w:t>并</w:t>
      </w:r>
      <w:r>
        <w:rPr>
          <w:rFonts w:hint="default" w:ascii="宋体" w:hAnsi="宋体" w:eastAsia="宋体" w:cs="宋体"/>
          <w:b w:val="0"/>
          <w:bCs w:val="0"/>
          <w:snapToGrid w:val="0"/>
          <w:color w:val="auto"/>
          <w:position w:val="0"/>
          <w:sz w:val="21"/>
          <w:szCs w:val="21"/>
          <w:highlight w:val="none"/>
          <w:lang w:val="en-US" w:eastAsia="zh-CN"/>
        </w:rPr>
        <w:t xml:space="preserve">有权解除合同。 </w:t>
      </w:r>
    </w:p>
    <w:p w14:paraId="61DC7F98">
      <w:pPr>
        <w:numPr>
          <w:ilvl w:val="0"/>
          <w:numId w:val="0"/>
        </w:numPr>
        <w:spacing w:line="360" w:lineRule="auto"/>
        <w:ind w:firstLine="420" w:firstLineChars="200"/>
        <w:jc w:val="both"/>
        <w:outlineLvl w:val="0"/>
        <w:rPr>
          <w:rFonts w:hint="eastAsia" w:ascii="宋体" w:hAnsi="宋体" w:eastAsia="宋体" w:cs="宋体"/>
          <w:b w:val="0"/>
          <w:bCs w:val="0"/>
          <w:strike w:val="0"/>
          <w:dstrike w:val="0"/>
          <w:snapToGrid w:val="0"/>
          <w:color w:val="auto"/>
          <w:position w:val="0"/>
          <w:sz w:val="21"/>
          <w:szCs w:val="21"/>
          <w:highlight w:val="none"/>
          <w:lang w:val="en-US" w:eastAsia="zh-CN"/>
        </w:rPr>
      </w:pPr>
      <w:r>
        <w:rPr>
          <w:rFonts w:hint="eastAsia" w:ascii="宋体" w:hAnsi="宋体" w:eastAsia="宋体" w:cs="宋体"/>
          <w:b w:val="0"/>
          <w:bCs w:val="0"/>
          <w:strike w:val="0"/>
          <w:dstrike w:val="0"/>
          <w:snapToGrid w:val="0"/>
          <w:color w:val="auto"/>
          <w:position w:val="0"/>
          <w:sz w:val="21"/>
          <w:szCs w:val="21"/>
          <w:highlight w:val="none"/>
          <w:lang w:val="en-US" w:eastAsia="zh-CN"/>
        </w:rPr>
        <w:t>6.9中标人</w:t>
      </w:r>
      <w:r>
        <w:rPr>
          <w:rFonts w:hint="default" w:ascii="宋体" w:hAnsi="宋体" w:eastAsia="宋体" w:cs="宋体"/>
          <w:b w:val="0"/>
          <w:bCs w:val="0"/>
          <w:strike w:val="0"/>
          <w:dstrike w:val="0"/>
          <w:snapToGrid w:val="0"/>
          <w:color w:val="auto"/>
          <w:position w:val="0"/>
          <w:sz w:val="21"/>
          <w:szCs w:val="21"/>
          <w:highlight w:val="none"/>
          <w:lang w:val="en-US" w:eastAsia="zh-CN"/>
        </w:rPr>
        <w:t>不能按期交</w:t>
      </w:r>
      <w:r>
        <w:rPr>
          <w:rFonts w:hint="eastAsia" w:ascii="宋体" w:hAnsi="宋体" w:eastAsia="宋体" w:cs="宋体"/>
          <w:b w:val="0"/>
          <w:bCs w:val="0"/>
          <w:strike w:val="0"/>
          <w:dstrike w:val="0"/>
          <w:snapToGrid w:val="0"/>
          <w:color w:val="auto"/>
          <w:position w:val="0"/>
          <w:sz w:val="21"/>
          <w:szCs w:val="21"/>
          <w:highlight w:val="none"/>
          <w:lang w:val="en-US" w:eastAsia="zh-CN"/>
        </w:rPr>
        <w:t>货</w:t>
      </w:r>
      <w:r>
        <w:rPr>
          <w:rFonts w:hint="default" w:ascii="宋体" w:hAnsi="宋体" w:eastAsia="宋体" w:cs="宋体"/>
          <w:b w:val="0"/>
          <w:bCs w:val="0"/>
          <w:strike w:val="0"/>
          <w:dstrike w:val="0"/>
          <w:snapToGrid w:val="0"/>
          <w:color w:val="auto"/>
          <w:position w:val="0"/>
          <w:sz w:val="21"/>
          <w:szCs w:val="21"/>
          <w:highlight w:val="none"/>
          <w:lang w:val="en-US" w:eastAsia="zh-CN"/>
        </w:rPr>
        <w:t>的，</w:t>
      </w:r>
      <w:r>
        <w:rPr>
          <w:rFonts w:hint="eastAsia" w:ascii="宋体" w:hAnsi="宋体" w:eastAsia="宋体" w:cs="宋体"/>
          <w:b w:val="0"/>
          <w:bCs w:val="0"/>
          <w:strike w:val="0"/>
          <w:dstrike w:val="0"/>
          <w:snapToGrid w:val="0"/>
          <w:color w:val="auto"/>
          <w:position w:val="0"/>
          <w:sz w:val="21"/>
          <w:szCs w:val="21"/>
          <w:highlight w:val="none"/>
          <w:lang w:val="en-US" w:eastAsia="zh-CN"/>
        </w:rPr>
        <w:t>应至少</w:t>
      </w:r>
      <w:r>
        <w:rPr>
          <w:rFonts w:hint="default" w:ascii="宋体" w:hAnsi="宋体" w:eastAsia="宋体" w:cs="宋体"/>
          <w:b w:val="0"/>
          <w:bCs w:val="0"/>
          <w:strike w:val="0"/>
          <w:dstrike w:val="0"/>
          <w:snapToGrid w:val="0"/>
          <w:color w:val="auto"/>
          <w:position w:val="0"/>
          <w:sz w:val="21"/>
          <w:szCs w:val="21"/>
          <w:highlight w:val="none"/>
          <w:lang w:val="en-US" w:eastAsia="zh-CN"/>
        </w:rPr>
        <w:t>提前</w:t>
      </w:r>
      <w:r>
        <w:rPr>
          <w:rFonts w:hint="eastAsia" w:ascii="宋体" w:hAnsi="宋体" w:eastAsia="宋体" w:cs="宋体"/>
          <w:b w:val="0"/>
          <w:bCs w:val="0"/>
          <w:strike w:val="0"/>
          <w:dstrike w:val="0"/>
          <w:snapToGrid w:val="0"/>
          <w:color w:val="auto"/>
          <w:position w:val="0"/>
          <w:sz w:val="21"/>
          <w:szCs w:val="21"/>
          <w:highlight w:val="none"/>
          <w:lang w:val="en-US" w:eastAsia="zh-CN"/>
        </w:rPr>
        <w:t>2</w:t>
      </w:r>
      <w:r>
        <w:rPr>
          <w:rFonts w:hint="default" w:ascii="宋体" w:hAnsi="宋体" w:eastAsia="宋体" w:cs="宋体"/>
          <w:b w:val="0"/>
          <w:bCs w:val="0"/>
          <w:strike w:val="0"/>
          <w:dstrike w:val="0"/>
          <w:snapToGrid w:val="0"/>
          <w:color w:val="auto"/>
          <w:position w:val="0"/>
          <w:sz w:val="21"/>
          <w:szCs w:val="21"/>
          <w:highlight w:val="none"/>
          <w:lang w:val="en-US" w:eastAsia="zh-CN"/>
        </w:rPr>
        <w:t>日</w:t>
      </w:r>
      <w:r>
        <w:rPr>
          <w:rFonts w:hint="eastAsia" w:ascii="宋体" w:hAnsi="宋体" w:eastAsia="宋体" w:cs="宋体"/>
          <w:b w:val="0"/>
          <w:bCs w:val="0"/>
          <w:strike w:val="0"/>
          <w:dstrike w:val="0"/>
          <w:snapToGrid w:val="0"/>
          <w:color w:val="auto"/>
          <w:position w:val="0"/>
          <w:sz w:val="21"/>
          <w:szCs w:val="21"/>
          <w:highlight w:val="none"/>
          <w:lang w:val="en-US" w:eastAsia="zh-CN"/>
        </w:rPr>
        <w:t>书</w:t>
      </w:r>
      <w:r>
        <w:rPr>
          <w:rFonts w:hint="default" w:ascii="宋体" w:hAnsi="宋体" w:eastAsia="宋体" w:cs="宋体"/>
          <w:b w:val="0"/>
          <w:bCs w:val="0"/>
          <w:strike w:val="0"/>
          <w:dstrike w:val="0"/>
          <w:snapToGrid w:val="0"/>
          <w:color w:val="auto"/>
          <w:position w:val="0"/>
          <w:sz w:val="21"/>
          <w:szCs w:val="21"/>
          <w:highlight w:val="none"/>
          <w:lang w:val="en-US" w:eastAsia="zh-CN"/>
        </w:rPr>
        <w:t>面通知</w:t>
      </w:r>
      <w:r>
        <w:rPr>
          <w:rFonts w:hint="eastAsia" w:ascii="宋体" w:hAnsi="宋体" w:eastAsia="宋体" w:cs="宋体"/>
          <w:b w:val="0"/>
          <w:bCs w:val="0"/>
          <w:strike w:val="0"/>
          <w:dstrike w:val="0"/>
          <w:snapToGrid w:val="0"/>
          <w:color w:val="auto"/>
          <w:position w:val="0"/>
          <w:sz w:val="21"/>
          <w:szCs w:val="21"/>
          <w:highlight w:val="none"/>
          <w:lang w:val="en-US" w:eastAsia="zh-CN"/>
        </w:rPr>
        <w:t>采购人</w:t>
      </w:r>
      <w:r>
        <w:rPr>
          <w:rFonts w:hint="default" w:ascii="宋体" w:hAnsi="宋体" w:eastAsia="宋体" w:cs="宋体"/>
          <w:b w:val="0"/>
          <w:bCs w:val="0"/>
          <w:strike w:val="0"/>
          <w:dstrike w:val="0"/>
          <w:snapToGrid w:val="0"/>
          <w:color w:val="auto"/>
          <w:position w:val="0"/>
          <w:sz w:val="21"/>
          <w:szCs w:val="21"/>
          <w:highlight w:val="none"/>
          <w:lang w:val="en-US" w:eastAsia="zh-CN"/>
        </w:rPr>
        <w:t>，并</w:t>
      </w:r>
      <w:r>
        <w:rPr>
          <w:rFonts w:hint="eastAsia" w:ascii="宋体" w:hAnsi="宋体" w:eastAsia="宋体" w:cs="宋体"/>
          <w:b w:val="0"/>
          <w:bCs w:val="0"/>
          <w:strike w:val="0"/>
          <w:dstrike w:val="0"/>
          <w:snapToGrid w:val="0"/>
          <w:color w:val="auto"/>
          <w:position w:val="0"/>
          <w:sz w:val="21"/>
          <w:szCs w:val="21"/>
          <w:highlight w:val="none"/>
          <w:lang w:val="en-US" w:eastAsia="zh-CN"/>
        </w:rPr>
        <w:t>设</w:t>
      </w:r>
      <w:r>
        <w:rPr>
          <w:rFonts w:hint="default" w:ascii="宋体" w:hAnsi="宋体" w:eastAsia="宋体" w:cs="宋体"/>
          <w:b w:val="0"/>
          <w:bCs w:val="0"/>
          <w:strike w:val="0"/>
          <w:dstrike w:val="0"/>
          <w:snapToGrid w:val="0"/>
          <w:color w:val="auto"/>
          <w:position w:val="0"/>
          <w:sz w:val="21"/>
          <w:szCs w:val="21"/>
          <w:highlight w:val="none"/>
          <w:lang w:val="en-US" w:eastAsia="zh-CN"/>
        </w:rPr>
        <w:t>法通</w:t>
      </w:r>
      <w:r>
        <w:rPr>
          <w:rFonts w:hint="eastAsia" w:ascii="宋体" w:hAnsi="宋体" w:eastAsia="宋体" w:cs="宋体"/>
          <w:b w:val="0"/>
          <w:bCs w:val="0"/>
          <w:strike w:val="0"/>
          <w:dstrike w:val="0"/>
          <w:snapToGrid w:val="0"/>
          <w:color w:val="auto"/>
          <w:position w:val="0"/>
          <w:sz w:val="21"/>
          <w:szCs w:val="21"/>
          <w:highlight w:val="none"/>
          <w:lang w:val="en-US" w:eastAsia="zh-CN"/>
        </w:rPr>
        <w:t>过</w:t>
      </w:r>
      <w:r>
        <w:rPr>
          <w:rFonts w:hint="default" w:ascii="宋体" w:hAnsi="宋体" w:eastAsia="宋体" w:cs="宋体"/>
          <w:b w:val="0"/>
          <w:bCs w:val="0"/>
          <w:strike w:val="0"/>
          <w:dstrike w:val="0"/>
          <w:snapToGrid w:val="0"/>
          <w:color w:val="auto"/>
          <w:position w:val="0"/>
          <w:sz w:val="21"/>
          <w:szCs w:val="21"/>
          <w:highlight w:val="none"/>
          <w:lang w:val="en-US" w:eastAsia="zh-CN"/>
        </w:rPr>
        <w:t>其他途径保</w:t>
      </w:r>
      <w:r>
        <w:rPr>
          <w:rFonts w:hint="eastAsia" w:ascii="宋体" w:hAnsi="宋体" w:eastAsia="宋体" w:cs="宋体"/>
          <w:b w:val="0"/>
          <w:bCs w:val="0"/>
          <w:strike w:val="0"/>
          <w:dstrike w:val="0"/>
          <w:snapToGrid w:val="0"/>
          <w:color w:val="auto"/>
          <w:position w:val="0"/>
          <w:sz w:val="21"/>
          <w:szCs w:val="21"/>
          <w:highlight w:val="none"/>
          <w:lang w:val="en-US" w:eastAsia="zh-CN"/>
        </w:rPr>
        <w:t>证采购人</w:t>
      </w:r>
      <w:r>
        <w:rPr>
          <w:rFonts w:hint="default" w:ascii="宋体" w:hAnsi="宋体" w:eastAsia="宋体" w:cs="宋体"/>
          <w:b w:val="0"/>
          <w:bCs w:val="0"/>
          <w:strike w:val="0"/>
          <w:dstrike w:val="0"/>
          <w:snapToGrid w:val="0"/>
          <w:color w:val="auto"/>
          <w:position w:val="0"/>
          <w:sz w:val="21"/>
          <w:szCs w:val="21"/>
          <w:highlight w:val="none"/>
          <w:lang w:val="en-US" w:eastAsia="zh-CN"/>
        </w:rPr>
        <w:t>原材料需要</w:t>
      </w:r>
      <w:r>
        <w:rPr>
          <w:rFonts w:hint="eastAsia" w:ascii="宋体" w:hAnsi="宋体" w:eastAsia="宋体" w:cs="宋体"/>
          <w:b w:val="0"/>
          <w:bCs w:val="0"/>
          <w:strike w:val="0"/>
          <w:dstrike w:val="0"/>
          <w:snapToGrid w:val="0"/>
          <w:color w:val="auto"/>
          <w:position w:val="0"/>
          <w:sz w:val="21"/>
          <w:szCs w:val="21"/>
          <w:highlight w:val="none"/>
          <w:lang w:val="en-US" w:eastAsia="zh-CN"/>
        </w:rPr>
        <w:t>；</w:t>
      </w:r>
      <w:r>
        <w:rPr>
          <w:rFonts w:hint="default" w:ascii="宋体" w:hAnsi="宋体" w:eastAsia="宋体" w:cs="宋体"/>
          <w:b w:val="0"/>
          <w:bCs w:val="0"/>
          <w:strike w:val="0"/>
          <w:dstrike w:val="0"/>
          <w:snapToGrid w:val="0"/>
          <w:color w:val="auto"/>
          <w:position w:val="0"/>
          <w:sz w:val="21"/>
          <w:szCs w:val="21"/>
          <w:highlight w:val="none"/>
          <w:lang w:val="en-US" w:eastAsia="zh-CN"/>
        </w:rPr>
        <w:t>若</w:t>
      </w:r>
      <w:r>
        <w:rPr>
          <w:rFonts w:hint="eastAsia" w:ascii="宋体" w:hAnsi="宋体" w:eastAsia="宋体" w:cs="宋体"/>
          <w:b w:val="0"/>
          <w:bCs w:val="0"/>
          <w:strike w:val="0"/>
          <w:dstrike w:val="0"/>
          <w:snapToGrid w:val="0"/>
          <w:color w:val="auto"/>
          <w:position w:val="0"/>
          <w:sz w:val="21"/>
          <w:szCs w:val="21"/>
          <w:highlight w:val="none"/>
          <w:lang w:val="en-US" w:eastAsia="zh-CN"/>
        </w:rPr>
        <w:t>导</w:t>
      </w:r>
      <w:r>
        <w:rPr>
          <w:rFonts w:hint="default" w:ascii="宋体" w:hAnsi="宋体" w:eastAsia="宋体" w:cs="宋体"/>
          <w:b w:val="0"/>
          <w:bCs w:val="0"/>
          <w:strike w:val="0"/>
          <w:dstrike w:val="0"/>
          <w:snapToGrid w:val="0"/>
          <w:color w:val="auto"/>
          <w:position w:val="0"/>
          <w:sz w:val="21"/>
          <w:szCs w:val="21"/>
          <w:highlight w:val="none"/>
          <w:lang w:val="en-US" w:eastAsia="zh-CN"/>
        </w:rPr>
        <w:t>致</w:t>
      </w:r>
      <w:r>
        <w:rPr>
          <w:rFonts w:hint="eastAsia" w:ascii="宋体" w:hAnsi="宋体" w:eastAsia="宋体" w:cs="宋体"/>
          <w:b w:val="0"/>
          <w:bCs w:val="0"/>
          <w:strike w:val="0"/>
          <w:dstrike w:val="0"/>
          <w:snapToGrid w:val="0"/>
          <w:color w:val="auto"/>
          <w:position w:val="0"/>
          <w:sz w:val="21"/>
          <w:szCs w:val="21"/>
          <w:highlight w:val="none"/>
          <w:lang w:val="en-US" w:eastAsia="zh-CN"/>
        </w:rPr>
        <w:t>采购人</w:t>
      </w:r>
      <w:r>
        <w:rPr>
          <w:rFonts w:hint="default" w:ascii="宋体" w:hAnsi="宋体" w:eastAsia="宋体" w:cs="宋体"/>
          <w:b w:val="0"/>
          <w:bCs w:val="0"/>
          <w:strike w:val="0"/>
          <w:dstrike w:val="0"/>
          <w:snapToGrid w:val="0"/>
          <w:color w:val="auto"/>
          <w:position w:val="0"/>
          <w:sz w:val="21"/>
          <w:szCs w:val="21"/>
          <w:highlight w:val="none"/>
          <w:lang w:val="en-US" w:eastAsia="zh-CN"/>
        </w:rPr>
        <w:t>原材料中断，影响到</w:t>
      </w:r>
      <w:r>
        <w:rPr>
          <w:rFonts w:hint="eastAsia" w:ascii="宋体" w:hAnsi="宋体" w:eastAsia="宋体" w:cs="宋体"/>
          <w:b w:val="0"/>
          <w:bCs w:val="0"/>
          <w:strike w:val="0"/>
          <w:dstrike w:val="0"/>
          <w:snapToGrid w:val="0"/>
          <w:color w:val="auto"/>
          <w:position w:val="0"/>
          <w:sz w:val="21"/>
          <w:szCs w:val="21"/>
          <w:highlight w:val="none"/>
          <w:lang w:val="en-US" w:eastAsia="zh-CN"/>
        </w:rPr>
        <w:t>采购人</w:t>
      </w:r>
      <w:r>
        <w:rPr>
          <w:rFonts w:hint="default" w:ascii="宋体" w:hAnsi="宋体" w:eastAsia="宋体" w:cs="宋体"/>
          <w:b w:val="0"/>
          <w:bCs w:val="0"/>
          <w:strike w:val="0"/>
          <w:dstrike w:val="0"/>
          <w:snapToGrid w:val="0"/>
          <w:color w:val="auto"/>
          <w:position w:val="0"/>
          <w:sz w:val="21"/>
          <w:szCs w:val="21"/>
          <w:highlight w:val="none"/>
          <w:lang w:val="en-US" w:eastAsia="zh-CN"/>
        </w:rPr>
        <w:t>的正常工作，</w:t>
      </w:r>
      <w:r>
        <w:rPr>
          <w:rFonts w:hint="eastAsia" w:ascii="宋体" w:hAnsi="宋体" w:eastAsia="宋体" w:cs="宋体"/>
          <w:b w:val="0"/>
          <w:bCs w:val="0"/>
          <w:strike w:val="0"/>
          <w:dstrike w:val="0"/>
          <w:snapToGrid w:val="0"/>
          <w:color w:val="auto"/>
          <w:position w:val="0"/>
          <w:sz w:val="21"/>
          <w:szCs w:val="21"/>
          <w:highlight w:val="none"/>
          <w:lang w:val="en-US" w:eastAsia="zh-CN"/>
        </w:rPr>
        <w:t>中标人</w:t>
      </w:r>
      <w:r>
        <w:rPr>
          <w:rFonts w:hint="default" w:ascii="宋体" w:hAnsi="宋体" w:eastAsia="宋体" w:cs="宋体"/>
          <w:b w:val="0"/>
          <w:bCs w:val="0"/>
          <w:strike w:val="0"/>
          <w:dstrike w:val="0"/>
          <w:snapToGrid w:val="0"/>
          <w:color w:val="auto"/>
          <w:position w:val="0"/>
          <w:sz w:val="21"/>
          <w:szCs w:val="21"/>
          <w:highlight w:val="none"/>
          <w:lang w:val="en-US" w:eastAsia="zh-CN"/>
        </w:rPr>
        <w:t>承担由此引</w:t>
      </w:r>
      <w:r>
        <w:rPr>
          <w:rFonts w:hint="eastAsia" w:ascii="宋体" w:hAnsi="宋体" w:eastAsia="宋体" w:cs="宋体"/>
          <w:b w:val="0"/>
          <w:bCs w:val="0"/>
          <w:strike w:val="0"/>
          <w:dstrike w:val="0"/>
          <w:snapToGrid w:val="0"/>
          <w:color w:val="auto"/>
          <w:position w:val="0"/>
          <w:sz w:val="21"/>
          <w:szCs w:val="21"/>
          <w:highlight w:val="none"/>
          <w:lang w:val="en-US" w:eastAsia="zh-CN"/>
        </w:rPr>
        <w:t>发</w:t>
      </w:r>
      <w:r>
        <w:rPr>
          <w:rFonts w:hint="default" w:ascii="宋体" w:hAnsi="宋体" w:eastAsia="宋体" w:cs="宋体"/>
          <w:b w:val="0"/>
          <w:bCs w:val="0"/>
          <w:strike w:val="0"/>
          <w:dstrike w:val="0"/>
          <w:snapToGrid w:val="0"/>
          <w:color w:val="auto"/>
          <w:position w:val="0"/>
          <w:sz w:val="21"/>
          <w:szCs w:val="21"/>
          <w:highlight w:val="none"/>
          <w:lang w:val="en-US" w:eastAsia="zh-CN"/>
        </w:rPr>
        <w:t>的一切</w:t>
      </w:r>
      <w:r>
        <w:rPr>
          <w:rFonts w:hint="eastAsia" w:ascii="宋体" w:hAnsi="宋体" w:eastAsia="宋体" w:cs="宋体"/>
          <w:b w:val="0"/>
          <w:bCs w:val="0"/>
          <w:strike w:val="0"/>
          <w:dstrike w:val="0"/>
          <w:snapToGrid w:val="0"/>
          <w:color w:val="auto"/>
          <w:position w:val="0"/>
          <w:sz w:val="21"/>
          <w:szCs w:val="21"/>
          <w:highlight w:val="none"/>
          <w:lang w:val="en-US" w:eastAsia="zh-CN"/>
        </w:rPr>
        <w:t>经济损</w:t>
      </w:r>
      <w:r>
        <w:rPr>
          <w:rFonts w:hint="default" w:ascii="宋体" w:hAnsi="宋体" w:eastAsia="宋体" w:cs="宋体"/>
          <w:b w:val="0"/>
          <w:bCs w:val="0"/>
          <w:strike w:val="0"/>
          <w:dstrike w:val="0"/>
          <w:snapToGrid w:val="0"/>
          <w:color w:val="auto"/>
          <w:position w:val="0"/>
          <w:sz w:val="21"/>
          <w:szCs w:val="21"/>
          <w:highlight w:val="none"/>
          <w:lang w:val="en-US" w:eastAsia="zh-CN"/>
        </w:rPr>
        <w:t>失，并另向</w:t>
      </w:r>
      <w:r>
        <w:rPr>
          <w:rFonts w:hint="eastAsia" w:ascii="宋体" w:hAnsi="宋体" w:eastAsia="宋体" w:cs="宋体"/>
          <w:b w:val="0"/>
          <w:bCs w:val="0"/>
          <w:strike w:val="0"/>
          <w:dstrike w:val="0"/>
          <w:snapToGrid w:val="0"/>
          <w:color w:val="auto"/>
          <w:position w:val="0"/>
          <w:sz w:val="21"/>
          <w:szCs w:val="21"/>
          <w:highlight w:val="none"/>
          <w:lang w:val="en-US" w:eastAsia="zh-CN"/>
        </w:rPr>
        <w:t>采购人赔</w:t>
      </w:r>
      <w:r>
        <w:rPr>
          <w:rFonts w:hint="default" w:ascii="宋体" w:hAnsi="宋体" w:eastAsia="宋体" w:cs="宋体"/>
          <w:b w:val="0"/>
          <w:bCs w:val="0"/>
          <w:strike w:val="0"/>
          <w:dstrike w:val="0"/>
          <w:snapToGrid w:val="0"/>
          <w:color w:val="auto"/>
          <w:position w:val="0"/>
          <w:sz w:val="21"/>
          <w:szCs w:val="21"/>
          <w:highlight w:val="none"/>
          <w:lang w:val="en-US" w:eastAsia="zh-CN"/>
        </w:rPr>
        <w:t>付</w:t>
      </w:r>
      <w:r>
        <w:rPr>
          <w:rFonts w:hint="eastAsia" w:ascii="宋体" w:hAnsi="宋体" w:eastAsia="宋体" w:cs="宋体"/>
          <w:b w:val="0"/>
          <w:bCs w:val="0"/>
          <w:strike w:val="0"/>
          <w:dstrike w:val="0"/>
          <w:snapToGrid w:val="0"/>
          <w:color w:val="auto"/>
          <w:position w:val="0"/>
          <w:sz w:val="21"/>
          <w:szCs w:val="21"/>
          <w:highlight w:val="none"/>
          <w:lang w:val="en-US" w:eastAsia="zh-CN"/>
        </w:rPr>
        <w:t>断供期间产品货</w:t>
      </w:r>
      <w:r>
        <w:rPr>
          <w:rFonts w:hint="default" w:ascii="宋体" w:hAnsi="宋体" w:eastAsia="宋体" w:cs="宋体"/>
          <w:b w:val="0"/>
          <w:bCs w:val="0"/>
          <w:strike w:val="0"/>
          <w:dstrike w:val="0"/>
          <w:snapToGrid w:val="0"/>
          <w:color w:val="auto"/>
          <w:position w:val="0"/>
          <w:sz w:val="21"/>
          <w:szCs w:val="21"/>
          <w:highlight w:val="none"/>
          <w:lang w:val="en-US" w:eastAsia="zh-CN"/>
        </w:rPr>
        <w:t>款</w:t>
      </w:r>
      <w:r>
        <w:rPr>
          <w:rFonts w:hint="eastAsia" w:ascii="宋体" w:hAnsi="宋体" w:eastAsia="宋体" w:cs="宋体"/>
          <w:b w:val="0"/>
          <w:bCs w:val="0"/>
          <w:strike w:val="0"/>
          <w:dstrike w:val="0"/>
          <w:snapToGrid w:val="0"/>
          <w:color w:val="auto"/>
          <w:position w:val="0"/>
          <w:sz w:val="21"/>
          <w:szCs w:val="21"/>
          <w:highlight w:val="none"/>
          <w:lang w:val="en-US" w:eastAsia="zh-CN"/>
        </w:rPr>
        <w:t>总额</w:t>
      </w:r>
      <w:r>
        <w:rPr>
          <w:rFonts w:hint="default" w:ascii="宋体" w:hAnsi="宋体" w:eastAsia="宋体" w:cs="宋体"/>
          <w:b w:val="0"/>
          <w:bCs w:val="0"/>
          <w:strike w:val="0"/>
          <w:dstrike w:val="0"/>
          <w:snapToGrid w:val="0"/>
          <w:color w:val="auto"/>
          <w:position w:val="0"/>
          <w:sz w:val="21"/>
          <w:szCs w:val="21"/>
          <w:highlight w:val="none"/>
          <w:lang w:val="en-US" w:eastAsia="zh-CN"/>
        </w:rPr>
        <w:t>10%的</w:t>
      </w:r>
      <w:r>
        <w:rPr>
          <w:rFonts w:hint="eastAsia" w:ascii="宋体" w:hAnsi="宋体" w:eastAsia="宋体" w:cs="宋体"/>
          <w:b w:val="0"/>
          <w:bCs w:val="0"/>
          <w:strike w:val="0"/>
          <w:dstrike w:val="0"/>
          <w:snapToGrid w:val="0"/>
          <w:color w:val="auto"/>
          <w:position w:val="0"/>
          <w:sz w:val="21"/>
          <w:szCs w:val="21"/>
          <w:highlight w:val="none"/>
          <w:lang w:val="en-US" w:eastAsia="zh-CN"/>
        </w:rPr>
        <w:t>违约</w:t>
      </w:r>
      <w:r>
        <w:rPr>
          <w:rFonts w:hint="default" w:ascii="宋体" w:hAnsi="宋体" w:eastAsia="宋体" w:cs="宋体"/>
          <w:b w:val="0"/>
          <w:bCs w:val="0"/>
          <w:strike w:val="0"/>
          <w:dstrike w:val="0"/>
          <w:snapToGrid w:val="0"/>
          <w:color w:val="auto"/>
          <w:position w:val="0"/>
          <w:sz w:val="21"/>
          <w:szCs w:val="21"/>
          <w:highlight w:val="none"/>
          <w:lang w:val="en-US" w:eastAsia="zh-CN"/>
        </w:rPr>
        <w:t>金，</w:t>
      </w:r>
      <w:r>
        <w:rPr>
          <w:rFonts w:hint="eastAsia" w:ascii="宋体" w:hAnsi="宋体" w:eastAsia="宋体" w:cs="宋体"/>
          <w:b w:val="0"/>
          <w:bCs w:val="0"/>
          <w:strike w:val="0"/>
          <w:dstrike w:val="0"/>
          <w:snapToGrid w:val="0"/>
          <w:color w:val="auto"/>
          <w:position w:val="0"/>
          <w:sz w:val="21"/>
          <w:szCs w:val="21"/>
          <w:highlight w:val="none"/>
          <w:lang w:val="en-US" w:eastAsia="zh-CN"/>
        </w:rPr>
        <w:t>并</w:t>
      </w:r>
      <w:r>
        <w:rPr>
          <w:rFonts w:hint="default" w:ascii="宋体" w:hAnsi="宋体" w:eastAsia="宋体" w:cs="宋体"/>
          <w:b w:val="0"/>
          <w:bCs w:val="0"/>
          <w:strike w:val="0"/>
          <w:dstrike w:val="0"/>
          <w:snapToGrid w:val="0"/>
          <w:color w:val="auto"/>
          <w:position w:val="0"/>
          <w:sz w:val="21"/>
          <w:szCs w:val="21"/>
          <w:highlight w:val="none"/>
          <w:lang w:val="en-US" w:eastAsia="zh-CN"/>
        </w:rPr>
        <w:t>有权解除合同</w:t>
      </w:r>
      <w:r>
        <w:rPr>
          <w:rFonts w:hint="eastAsia" w:ascii="宋体" w:hAnsi="宋体" w:eastAsia="宋体" w:cs="宋体"/>
          <w:b w:val="0"/>
          <w:bCs w:val="0"/>
          <w:strike w:val="0"/>
          <w:dstrike w:val="0"/>
          <w:snapToGrid w:val="0"/>
          <w:color w:val="auto"/>
          <w:position w:val="0"/>
          <w:sz w:val="21"/>
          <w:szCs w:val="21"/>
          <w:highlight w:val="none"/>
          <w:lang w:val="en-US" w:eastAsia="zh-CN"/>
        </w:rPr>
        <w:t>。</w:t>
      </w:r>
    </w:p>
    <w:p w14:paraId="48ED5F5A">
      <w:pPr>
        <w:numPr>
          <w:ilvl w:val="0"/>
          <w:numId w:val="0"/>
        </w:numPr>
        <w:spacing w:line="360" w:lineRule="auto"/>
        <w:ind w:firstLine="420" w:firstLineChars="200"/>
        <w:jc w:val="both"/>
        <w:outlineLvl w:val="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val="0"/>
          <w:snapToGrid w:val="0"/>
          <w:color w:val="auto"/>
          <w:position w:val="0"/>
          <w:sz w:val="21"/>
          <w:szCs w:val="21"/>
          <w:highlight w:val="none"/>
          <w:lang w:val="en-US" w:eastAsia="zh-CN"/>
        </w:rPr>
        <w:t>6.10在服务期限内，采购人每月将按照《供应商考核标准》对供应商进行打分考核，内容包括产品质量、配送时效、索证索票、售后服务、服务质量等，如月考核分数基本合格（60-70分），采购人有权要求暂停供货，要求供应商限期整改,按照采购合同等相关文件进行处罚；如月考核分数不合格（低于60分），首次被评为不合格的，采购人有权要求暂停供货，要求供应商限期整改，按照采购合同等相关文件进行处罚；累计三次被评为不合格的，采购人有权解除合同，并建议列入学校供应商黑名单。</w:t>
      </w:r>
    </w:p>
    <w:p w14:paraId="67FEC596">
      <w:pPr>
        <w:numPr>
          <w:ilvl w:val="0"/>
          <w:numId w:val="1"/>
        </w:numPr>
        <w:jc w:val="left"/>
        <w:rPr>
          <w:rFonts w:eastAsia="方正书宋简体"/>
          <w:b/>
          <w:color w:val="auto"/>
          <w:szCs w:val="21"/>
          <w:highlight w:val="none"/>
        </w:rPr>
      </w:pPr>
      <w:r>
        <w:rPr>
          <w:rFonts w:eastAsia="方正书宋简体"/>
          <w:b/>
          <w:color w:val="auto"/>
          <w:szCs w:val="21"/>
          <w:highlight w:val="none"/>
        </w:rPr>
        <w:t>验收方式</w:t>
      </w:r>
    </w:p>
    <w:p w14:paraId="1EF06F1E">
      <w:pPr>
        <w:pStyle w:val="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2" w:firstLineChars="200"/>
        <w:jc w:val="both"/>
        <w:textAlignment w:val="baseline"/>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7.1产品交付</w:t>
      </w:r>
    </w:p>
    <w:p w14:paraId="7A29C980">
      <w:pPr>
        <w:pStyle w:val="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7.1.</w:t>
      </w:r>
      <w:r>
        <w:rPr>
          <w:rFonts w:hint="eastAsia" w:cs="宋体"/>
          <w:b w:val="0"/>
          <w:bCs/>
          <w:color w:val="auto"/>
          <w:kern w:val="2"/>
          <w:sz w:val="21"/>
          <w:szCs w:val="21"/>
          <w:highlight w:val="none"/>
          <w:lang w:val="en-US" w:eastAsia="zh-CN" w:bidi="ar-SA"/>
        </w:rPr>
        <w:t>1</w:t>
      </w:r>
      <w:r>
        <w:rPr>
          <w:rFonts w:hint="eastAsia" w:ascii="宋体" w:hAnsi="宋体" w:eastAsia="宋体" w:cs="宋体"/>
          <w:b w:val="0"/>
          <w:bCs/>
          <w:color w:val="auto"/>
          <w:kern w:val="2"/>
          <w:sz w:val="21"/>
          <w:szCs w:val="21"/>
          <w:highlight w:val="none"/>
          <w:lang w:val="en-US" w:eastAsia="zh-CN" w:bidi="ar-SA"/>
        </w:rPr>
        <w:t>所有订购产品须在接到订单后在采购人规定的时间内配送至指定地点，配送无起订量要求。</w:t>
      </w:r>
    </w:p>
    <w:p w14:paraId="775C1945">
      <w:pPr>
        <w:pStyle w:val="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w:t>
      </w:r>
      <w:r>
        <w:rPr>
          <w:rFonts w:hint="eastAsia" w:cs="宋体"/>
          <w:b w:val="0"/>
          <w:bCs/>
          <w:color w:val="auto"/>
          <w:kern w:val="2"/>
          <w:sz w:val="21"/>
          <w:szCs w:val="21"/>
          <w:highlight w:val="none"/>
          <w:lang w:val="en-US" w:eastAsia="zh-CN" w:bidi="ar-SA"/>
        </w:rPr>
        <w:t>1.</w:t>
      </w:r>
      <w:r>
        <w:rPr>
          <w:rFonts w:hint="eastAsia" w:ascii="宋体" w:hAnsi="宋体" w:eastAsia="宋体" w:cs="宋体"/>
          <w:b w:val="0"/>
          <w:bCs/>
          <w:color w:val="auto"/>
          <w:kern w:val="2"/>
          <w:sz w:val="21"/>
          <w:szCs w:val="21"/>
          <w:highlight w:val="none"/>
          <w:lang w:val="en-US" w:eastAsia="zh-CN" w:bidi="ar-SA"/>
        </w:rPr>
        <w:t>2中标人应根据各</w:t>
      </w:r>
      <w:r>
        <w:rPr>
          <w:rFonts w:hint="eastAsia" w:ascii="宋体" w:hAnsi="宋体" w:eastAsia="宋体" w:cs="宋体"/>
          <w:b w:val="0"/>
          <w:bCs w:val="0"/>
          <w:snapToGrid w:val="0"/>
          <w:color w:val="auto"/>
          <w:kern w:val="0"/>
          <w:position w:val="0"/>
          <w:sz w:val="24"/>
          <w:szCs w:val="24"/>
          <w:highlight w:val="none"/>
          <w:lang w:val="en-US" w:eastAsia="zh-CN" w:bidi="ar-SA"/>
        </w:rPr>
        <w:t>食堂或</w:t>
      </w:r>
      <w:r>
        <w:rPr>
          <w:rFonts w:hint="eastAsia" w:ascii="宋体" w:hAnsi="宋体" w:eastAsia="宋体" w:cs="宋体"/>
          <w:b w:val="0"/>
          <w:bCs/>
          <w:color w:val="auto"/>
          <w:kern w:val="2"/>
          <w:sz w:val="21"/>
          <w:szCs w:val="21"/>
          <w:highlight w:val="none"/>
          <w:lang w:val="en-US" w:eastAsia="zh-CN" w:bidi="ar-SA"/>
        </w:rPr>
        <w:t>小组订货品种分别</w:t>
      </w:r>
      <w:r>
        <w:rPr>
          <w:rFonts w:hint="eastAsia" w:cs="宋体"/>
          <w:b w:val="0"/>
          <w:bCs/>
          <w:color w:val="auto"/>
          <w:kern w:val="2"/>
          <w:sz w:val="21"/>
          <w:szCs w:val="21"/>
          <w:highlight w:val="none"/>
          <w:lang w:val="en-US" w:eastAsia="zh-CN" w:bidi="ar-SA"/>
        </w:rPr>
        <w:t>配送</w:t>
      </w:r>
      <w:r>
        <w:rPr>
          <w:rFonts w:hint="eastAsia" w:ascii="宋体" w:hAnsi="宋体" w:eastAsia="宋体" w:cs="宋体"/>
          <w:b w:val="0"/>
          <w:bCs/>
          <w:color w:val="auto"/>
          <w:kern w:val="2"/>
          <w:sz w:val="21"/>
          <w:szCs w:val="21"/>
          <w:highlight w:val="none"/>
          <w:lang w:val="en-US" w:eastAsia="zh-CN" w:bidi="ar-SA"/>
        </w:rPr>
        <w:t>，单独打包，具体以各食堂需求为准。经验收人员确认产品合格后，方视为产品已交付甲方。</w:t>
      </w:r>
    </w:p>
    <w:p w14:paraId="7DC125DE">
      <w:pPr>
        <w:pStyle w:val="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w:t>
      </w:r>
      <w:r>
        <w:rPr>
          <w:rFonts w:hint="eastAsia" w:cs="宋体"/>
          <w:b w:val="0"/>
          <w:bCs/>
          <w:color w:val="auto"/>
          <w:kern w:val="2"/>
          <w:sz w:val="21"/>
          <w:szCs w:val="21"/>
          <w:highlight w:val="none"/>
          <w:lang w:val="en-US" w:eastAsia="zh-CN" w:bidi="ar-SA"/>
        </w:rPr>
        <w:t>1.</w:t>
      </w:r>
      <w:r>
        <w:rPr>
          <w:rFonts w:hint="eastAsia" w:ascii="宋体" w:hAnsi="宋体" w:eastAsia="宋体" w:cs="宋体"/>
          <w:b w:val="0"/>
          <w:bCs/>
          <w:color w:val="auto"/>
          <w:kern w:val="2"/>
          <w:sz w:val="21"/>
          <w:szCs w:val="21"/>
          <w:highlight w:val="none"/>
          <w:lang w:val="en-US" w:eastAsia="zh-CN" w:bidi="ar-SA"/>
        </w:rPr>
        <w:t>3交货期：供货周期根据用餐实际需求，由采购人约定，一般情况采购人提前一天通知，接到通知后第二天进行配送，如遇大型活动（或临时会议）、寒暑假等特殊情况，以采购人通知的配送数量和时间地址为准。</w:t>
      </w:r>
    </w:p>
    <w:p w14:paraId="786EE125">
      <w:pPr>
        <w:pStyle w:val="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2" w:firstLineChars="200"/>
        <w:jc w:val="both"/>
        <w:textAlignment w:val="baseline"/>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7.2产品验收</w:t>
      </w:r>
    </w:p>
    <w:p w14:paraId="76724AC1">
      <w:pPr>
        <w:pStyle w:val="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7.2.1按国家标准和甲方《饮食原材料验收标准》进行验收</w:t>
      </w:r>
      <w:r>
        <w:rPr>
          <w:rFonts w:hint="eastAsia" w:cs="宋体"/>
          <w:b w:val="0"/>
          <w:bCs/>
          <w:color w:val="auto"/>
          <w:kern w:val="2"/>
          <w:sz w:val="21"/>
          <w:szCs w:val="21"/>
          <w:highlight w:val="none"/>
          <w:lang w:val="en-US" w:eastAsia="zh-CN" w:bidi="ar-SA"/>
        </w:rPr>
        <w:t>（详见附件）</w:t>
      </w:r>
      <w:r>
        <w:rPr>
          <w:rFonts w:hint="eastAsia" w:ascii="宋体" w:hAnsi="宋体" w:eastAsia="宋体" w:cs="宋体"/>
          <w:b w:val="0"/>
          <w:bCs/>
          <w:color w:val="auto"/>
          <w:kern w:val="2"/>
          <w:sz w:val="21"/>
          <w:szCs w:val="21"/>
          <w:highlight w:val="none"/>
          <w:lang w:val="en-US" w:eastAsia="zh-CN" w:bidi="ar-SA"/>
        </w:rPr>
        <w:t>。并执行甲方原材料验收制度和进货验收工作程序</w:t>
      </w:r>
      <w:r>
        <w:rPr>
          <w:rFonts w:hint="eastAsia" w:cs="宋体"/>
          <w:b w:val="0"/>
          <w:bCs/>
          <w:color w:val="auto"/>
          <w:kern w:val="2"/>
          <w:sz w:val="21"/>
          <w:szCs w:val="21"/>
          <w:highlight w:val="none"/>
          <w:lang w:val="en-US" w:eastAsia="zh-CN" w:bidi="ar-SA"/>
        </w:rPr>
        <w:t>。</w:t>
      </w:r>
    </w:p>
    <w:p w14:paraId="42754D5D">
      <w:pPr>
        <w:pStyle w:val="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7.2.2各品种商品应按不同的验收方法和标准进行验收</w:t>
      </w:r>
      <w:r>
        <w:rPr>
          <w:rFonts w:hint="eastAsia" w:cs="宋体"/>
          <w:b w:val="0"/>
          <w:bCs/>
          <w:color w:val="auto"/>
          <w:kern w:val="2"/>
          <w:sz w:val="21"/>
          <w:szCs w:val="21"/>
          <w:highlight w:val="none"/>
          <w:lang w:val="en-US" w:eastAsia="zh-CN" w:bidi="ar-SA"/>
        </w:rPr>
        <w:t>，</w:t>
      </w:r>
      <w:r>
        <w:rPr>
          <w:rFonts w:hint="eastAsia" w:ascii="宋体" w:hAnsi="宋体" w:eastAsia="宋体" w:cs="宋体"/>
          <w:b w:val="0"/>
          <w:bCs/>
          <w:color w:val="auto"/>
          <w:kern w:val="2"/>
          <w:sz w:val="21"/>
          <w:szCs w:val="21"/>
          <w:highlight w:val="none"/>
          <w:lang w:val="en-US" w:eastAsia="zh-CN" w:bidi="ar-SA"/>
        </w:rPr>
        <w:t>每批次需要提供产品检验合格证</w:t>
      </w:r>
      <w:r>
        <w:rPr>
          <w:rFonts w:hint="eastAsia" w:cs="宋体"/>
          <w:b w:val="0"/>
          <w:bCs/>
          <w:color w:val="auto"/>
          <w:kern w:val="2"/>
          <w:sz w:val="21"/>
          <w:szCs w:val="21"/>
          <w:highlight w:val="none"/>
          <w:lang w:val="en-US" w:eastAsia="zh-CN" w:bidi="ar-SA"/>
        </w:rPr>
        <w:t>明</w:t>
      </w:r>
      <w:r>
        <w:rPr>
          <w:rFonts w:hint="eastAsia" w:ascii="宋体" w:hAnsi="宋体" w:eastAsia="宋体" w:cs="宋体"/>
          <w:b w:val="0"/>
          <w:bCs/>
          <w:color w:val="auto"/>
          <w:kern w:val="2"/>
          <w:sz w:val="21"/>
          <w:szCs w:val="21"/>
          <w:highlight w:val="none"/>
          <w:lang w:val="en-US" w:eastAsia="zh-CN" w:bidi="ar-SA"/>
        </w:rPr>
        <w:t>。乙方须于交货时提交相关的配送单、货物随行单、检验报告单等。否则，视为货物质量不符合合同约定，甲方有权拒收货物。</w:t>
      </w:r>
    </w:p>
    <w:p w14:paraId="33C2BF9E">
      <w:pPr>
        <w:pStyle w:val="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7.2.3 发生以下问题须退货：商品达不到质量标准或质量存在问题的；未到保质期但包装破损对产品质量产生影响或出现变质的；如有客观因素造成产品不适用，商品保持原样乙方应允许退换商品。（乙方须在接到甲方通知面议后当日内给予确认、更换、补足）。</w:t>
      </w:r>
    </w:p>
    <w:p w14:paraId="570ED971">
      <w:pPr>
        <w:pStyle w:val="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7.2.4甲方可以随时对乙方所供产品质量进行抽检，检样由甲乙双方共同抽样封存送第三方检测，若检测结果显示中标人提供的产品符合国家有关质量要求，检测费用由采购人承担；若检测结果显示中标人提供的产品不符合国家有关质量要求，则除检测费用由中标人承担之外，采购人按照合同相关约定进行处理。</w:t>
      </w:r>
    </w:p>
    <w:p w14:paraId="7E91EA7A">
      <w:pPr>
        <w:pStyle w:val="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7.2.5验收期限一般为收到货物及相关资料后 1 个工作日内，若遇特殊情况可适当延长 （不能超过 3 个工作日）。</w:t>
      </w:r>
    </w:p>
    <w:p w14:paraId="5379D8B8">
      <w:pPr>
        <w:pStyle w:val="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7.2.6在验收时发生质量不符合验收要求退货的商品，按照甲方《供应商考核标准》对其进行扣分，并依据考核标准对供应商进行相应的处罚。</w:t>
      </w:r>
    </w:p>
    <w:p w14:paraId="7B336065">
      <w:pPr>
        <w:pStyle w:val="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7.2.7协议期内订购的产品，其数量应根据采购人需要分次供应，每次供货数量以订单为准。中标方供货必须满足采购方提供的产品名称、质量和规格等要求。</w:t>
      </w:r>
    </w:p>
    <w:p w14:paraId="27D50CF8">
      <w:pPr>
        <w:jc w:val="left"/>
        <w:rPr>
          <w:rFonts w:eastAsia="华文仿宋"/>
          <w:b/>
          <w:color w:val="auto"/>
          <w:sz w:val="18"/>
          <w:szCs w:val="18"/>
          <w:highlight w:val="none"/>
        </w:rPr>
      </w:pPr>
    </w:p>
    <w:p w14:paraId="4EA59B44">
      <w:pPr>
        <w:numPr>
          <w:ilvl w:val="0"/>
          <w:numId w:val="1"/>
        </w:numPr>
        <w:jc w:val="left"/>
        <w:rPr>
          <w:rFonts w:eastAsia="方正书宋简体"/>
          <w:b/>
          <w:color w:val="auto"/>
          <w:szCs w:val="21"/>
          <w:highlight w:val="none"/>
        </w:rPr>
      </w:pPr>
      <w:r>
        <w:rPr>
          <w:rFonts w:eastAsia="方正书宋简体"/>
          <w:b/>
          <w:color w:val="auto"/>
          <w:szCs w:val="21"/>
          <w:highlight w:val="none"/>
        </w:rPr>
        <w:t>其他技术、服务相关要求。</w:t>
      </w:r>
    </w:p>
    <w:p w14:paraId="793EBC5D">
      <w:pPr>
        <w:spacing w:line="360" w:lineRule="auto"/>
        <w:ind w:firstLine="420" w:firstLineChars="200"/>
        <w:jc w:val="both"/>
        <w:outlineLvl w:val="0"/>
        <w:rPr>
          <w:rFonts w:hint="eastAsia" w:ascii="宋体" w:hAnsi="宋体" w:eastAsia="宋体" w:cs="宋体"/>
          <w:b w:val="0"/>
          <w:bCs w:val="0"/>
          <w:snapToGrid w:val="0"/>
          <w:color w:val="auto"/>
          <w:position w:val="0"/>
          <w:sz w:val="21"/>
          <w:szCs w:val="21"/>
          <w:highlight w:val="none"/>
          <w:lang w:val="en-US" w:eastAsia="zh-CN"/>
        </w:rPr>
      </w:pPr>
      <w:r>
        <w:rPr>
          <w:rFonts w:hint="eastAsia" w:ascii="宋体" w:hAnsi="宋体" w:cs="宋体"/>
          <w:b w:val="0"/>
          <w:bCs w:val="0"/>
          <w:snapToGrid w:val="0"/>
          <w:color w:val="auto"/>
          <w:position w:val="0"/>
          <w:sz w:val="21"/>
          <w:szCs w:val="21"/>
          <w:highlight w:val="none"/>
          <w:lang w:val="en-US" w:eastAsia="zh-CN"/>
        </w:rPr>
        <w:t>8.1</w:t>
      </w:r>
      <w:r>
        <w:rPr>
          <w:rFonts w:hint="eastAsia" w:ascii="宋体" w:hAnsi="宋体" w:eastAsia="宋体" w:cs="宋体"/>
          <w:b w:val="0"/>
          <w:bCs w:val="0"/>
          <w:snapToGrid w:val="0"/>
          <w:color w:val="auto"/>
          <w:position w:val="0"/>
          <w:sz w:val="21"/>
          <w:szCs w:val="21"/>
          <w:highlight w:val="none"/>
          <w:lang w:val="en-US" w:eastAsia="zh-Hans"/>
        </w:rPr>
        <w:t>本项目</w:t>
      </w:r>
      <w:r>
        <w:rPr>
          <w:rFonts w:hint="eastAsia" w:ascii="宋体" w:hAnsi="宋体" w:eastAsia="宋体" w:cs="宋体"/>
          <w:b w:val="0"/>
          <w:bCs w:val="0"/>
          <w:snapToGrid w:val="0"/>
          <w:color w:val="auto"/>
          <w:position w:val="0"/>
          <w:sz w:val="21"/>
          <w:szCs w:val="21"/>
          <w:highlight w:val="none"/>
          <w:lang w:val="en-US" w:eastAsia="zh-CN"/>
        </w:rPr>
        <w:t>以最高限价为基准报价（全品类进行报价</w:t>
      </w:r>
      <w:r>
        <w:rPr>
          <w:rFonts w:hint="eastAsia" w:ascii="宋体" w:hAnsi="宋体" w:cs="宋体"/>
          <w:b w:val="0"/>
          <w:bCs w:val="0"/>
          <w:snapToGrid w:val="0"/>
          <w:color w:val="auto"/>
          <w:position w:val="0"/>
          <w:sz w:val="21"/>
          <w:szCs w:val="21"/>
          <w:highlight w:val="none"/>
          <w:lang w:val="en-US" w:eastAsia="zh-CN"/>
        </w:rPr>
        <w:t>，</w:t>
      </w:r>
      <w:r>
        <w:rPr>
          <w:rFonts w:hint="eastAsia" w:ascii="宋体" w:hAnsi="宋体" w:eastAsia="宋体" w:cs="宋体"/>
          <w:b w:val="0"/>
          <w:bCs w:val="0"/>
          <w:snapToGrid w:val="0"/>
          <w:color w:val="auto"/>
          <w:position w:val="0"/>
          <w:sz w:val="21"/>
          <w:szCs w:val="21"/>
          <w:highlight w:val="none"/>
          <w:lang w:val="en-US" w:eastAsia="zh-CN"/>
        </w:rPr>
        <w:t>所有产</w:t>
      </w:r>
      <w:r>
        <w:rPr>
          <w:rFonts w:hint="eastAsia" w:ascii="宋体" w:hAnsi="宋体" w:cs="宋体"/>
          <w:b w:val="0"/>
          <w:bCs w:val="0"/>
          <w:snapToGrid w:val="0"/>
          <w:color w:val="auto"/>
          <w:position w:val="0"/>
          <w:sz w:val="21"/>
          <w:szCs w:val="21"/>
          <w:highlight w:val="none"/>
          <w:lang w:val="en-US" w:eastAsia="zh-CN"/>
        </w:rPr>
        <w:t>品</w:t>
      </w:r>
      <w:r>
        <w:rPr>
          <w:rFonts w:hint="eastAsia" w:ascii="宋体" w:hAnsi="宋体" w:eastAsia="宋体" w:cs="宋体"/>
          <w:b w:val="0"/>
          <w:bCs w:val="0"/>
          <w:snapToGrid w:val="0"/>
          <w:color w:val="auto"/>
          <w:position w:val="0"/>
          <w:sz w:val="21"/>
          <w:szCs w:val="21"/>
          <w:highlight w:val="none"/>
          <w:lang w:val="en-US" w:eastAsia="zh-CN"/>
        </w:rPr>
        <w:t>要求清晰列出品牌、规格等相关参数</w:t>
      </w:r>
      <w:r>
        <w:rPr>
          <w:rFonts w:hint="eastAsia" w:ascii="宋体" w:hAnsi="宋体" w:cs="宋体"/>
          <w:b w:val="0"/>
          <w:bCs w:val="0"/>
          <w:snapToGrid w:val="0"/>
          <w:color w:val="auto"/>
          <w:position w:val="0"/>
          <w:sz w:val="21"/>
          <w:szCs w:val="21"/>
          <w:highlight w:val="none"/>
          <w:lang w:val="en-US" w:eastAsia="zh-CN"/>
        </w:rPr>
        <w:t>）</w:t>
      </w:r>
      <w:r>
        <w:rPr>
          <w:rFonts w:hint="eastAsia" w:ascii="宋体" w:hAnsi="宋体" w:eastAsia="宋体" w:cs="宋体"/>
          <w:b w:val="0"/>
          <w:bCs w:val="0"/>
          <w:snapToGrid w:val="0"/>
          <w:color w:val="auto"/>
          <w:position w:val="0"/>
          <w:sz w:val="21"/>
          <w:szCs w:val="21"/>
          <w:highlight w:val="none"/>
          <w:lang w:val="en-US" w:eastAsia="zh-CN"/>
        </w:rPr>
        <w:t>，高于最高限价视为无效报价。价格已含运输、人工、包装、税金、账期以及所包含的风险、责任等所有费用，请各投标人认真考虑其各种风险各投标人应充分考虑市场行情，原材料价格波动，谨慎报价。合同执行期严格执行中标价格，合同期内结算价=数量*中标单价。</w:t>
      </w:r>
    </w:p>
    <w:p w14:paraId="203CB835">
      <w:pPr>
        <w:spacing w:line="360" w:lineRule="auto"/>
        <w:ind w:firstLine="420" w:firstLineChars="200"/>
        <w:jc w:val="both"/>
        <w:outlineLvl w:val="0"/>
        <w:rPr>
          <w:rFonts w:hint="eastAsia" w:ascii="宋体" w:hAnsi="宋体" w:eastAsia="宋体" w:cs="宋体"/>
          <w:b w:val="0"/>
          <w:bCs w:val="0"/>
          <w:snapToGrid w:val="0"/>
          <w:color w:val="auto"/>
          <w:position w:val="0"/>
          <w:sz w:val="21"/>
          <w:szCs w:val="21"/>
          <w:highlight w:val="none"/>
          <w:lang w:val="en-US" w:eastAsia="zh-CN"/>
        </w:rPr>
      </w:pPr>
      <w:r>
        <w:rPr>
          <w:rFonts w:hint="eastAsia" w:ascii="宋体" w:hAnsi="宋体" w:cs="宋体"/>
          <w:b w:val="0"/>
          <w:bCs w:val="0"/>
          <w:snapToGrid w:val="0"/>
          <w:color w:val="auto"/>
          <w:position w:val="0"/>
          <w:sz w:val="21"/>
          <w:szCs w:val="21"/>
          <w:highlight w:val="none"/>
          <w:lang w:val="en-US" w:eastAsia="zh-CN"/>
        </w:rPr>
        <w:t>8.2</w:t>
      </w:r>
      <w:r>
        <w:rPr>
          <w:rFonts w:hint="eastAsia" w:ascii="宋体" w:hAnsi="宋体" w:eastAsia="宋体" w:cs="宋体"/>
          <w:b w:val="0"/>
          <w:bCs w:val="0"/>
          <w:snapToGrid w:val="0"/>
          <w:color w:val="auto"/>
          <w:position w:val="0"/>
          <w:sz w:val="21"/>
          <w:szCs w:val="21"/>
          <w:highlight w:val="none"/>
          <w:lang w:val="en-US" w:eastAsia="zh-CN"/>
        </w:rPr>
        <w:t>如遇不可抗力导致市场行情剧烈波动，以招标合同签订时比优特生活广场(哈尔滨顾乡店)+比优特(乐松店)同类产品价格为初始数据，一个月内涨、跌幅度超过10%以上（含10%），采购人和中标人均可提出事实依据，通过比优特生活广场(哈尔滨顾乡店)+比优特(乐松店)同类产品调研重新定价，对供货价格进行相应调整。若因不可抗力因素导致原指定的市场调研地点无法开展价格调研工作，双方应通过协商，另行确定符合要求的新市场调研地点。</w:t>
      </w:r>
      <w:bookmarkStart w:id="0" w:name="_GoBack"/>
      <w:bookmarkEnd w:id="0"/>
    </w:p>
    <w:p w14:paraId="493A063D">
      <w:pPr>
        <w:pStyle w:val="5"/>
        <w:pageBreakBefore w:val="0"/>
        <w:widowControl w:val="0"/>
        <w:kinsoku/>
        <w:wordWrap/>
        <w:overflowPunct/>
        <w:topLinePunct w:val="0"/>
        <w:autoSpaceDE/>
        <w:autoSpaceDN/>
        <w:bidi w:val="0"/>
        <w:snapToGrid/>
        <w:spacing w:line="360" w:lineRule="auto"/>
        <w:ind w:firstLine="422" w:firstLineChars="200"/>
        <w:jc w:val="left"/>
        <w:rPr>
          <w:rFonts w:hint="eastAsia" w:cs="宋体"/>
          <w:i w:val="0"/>
          <w:iCs w:val="0"/>
          <w:color w:val="auto"/>
          <w:kern w:val="0"/>
          <w:sz w:val="22"/>
          <w:szCs w:val="22"/>
          <w:highlight w:val="none"/>
          <w:u w:val="none"/>
          <w:lang w:val="en-US" w:eastAsia="zh-CN" w:bidi="ar"/>
        </w:rPr>
      </w:pPr>
      <w:r>
        <w:rPr>
          <w:rFonts w:hint="eastAsia" w:ascii="宋体" w:hAnsi="宋体" w:eastAsia="宋体" w:cs="宋体"/>
          <w:b/>
          <w:bCs/>
          <w:snapToGrid w:val="0"/>
          <w:color w:val="auto"/>
          <w:kern w:val="2"/>
          <w:position w:val="0"/>
          <w:sz w:val="21"/>
          <w:szCs w:val="21"/>
          <w:highlight w:val="none"/>
          <w:lang w:val="en-US" w:eastAsia="zh-CN" w:bidi="ar-SA"/>
        </w:rPr>
        <w:t>8.</w:t>
      </w:r>
      <w:r>
        <w:rPr>
          <w:rFonts w:hint="eastAsia" w:cs="宋体"/>
          <w:b/>
          <w:bCs/>
          <w:snapToGrid w:val="0"/>
          <w:color w:val="auto"/>
          <w:kern w:val="2"/>
          <w:position w:val="0"/>
          <w:sz w:val="21"/>
          <w:szCs w:val="21"/>
          <w:highlight w:val="none"/>
          <w:lang w:val="en-US" w:eastAsia="zh-CN" w:bidi="ar-SA"/>
        </w:rPr>
        <w:t>3.1</w:t>
      </w:r>
      <w:r>
        <w:rPr>
          <w:rFonts w:hint="eastAsia" w:ascii="宋体" w:hAnsi="宋体" w:eastAsia="宋体" w:cs="宋体"/>
          <w:color w:val="auto"/>
          <w:sz w:val="24"/>
          <w:highlight w:val="none"/>
        </w:rPr>
        <w:t>★</w:t>
      </w:r>
      <w:r>
        <w:rPr>
          <w:rFonts w:hint="eastAsia" w:cs="宋体"/>
          <w:i w:val="0"/>
          <w:iCs w:val="0"/>
          <w:color w:val="auto"/>
          <w:kern w:val="0"/>
          <w:sz w:val="22"/>
          <w:szCs w:val="22"/>
          <w:highlight w:val="none"/>
          <w:u w:val="none"/>
          <w:lang w:val="en-US" w:eastAsia="zh-CN" w:bidi="ar"/>
        </w:rPr>
        <w:t>所投车辆必须在本项目使用</w:t>
      </w:r>
      <w:r>
        <w:rPr>
          <w:rFonts w:hint="eastAsia" w:ascii="宋体" w:hAnsi="宋体" w:eastAsia="宋体" w:cs="宋体"/>
          <w:i w:val="0"/>
          <w:iCs w:val="0"/>
          <w:color w:val="auto"/>
          <w:kern w:val="0"/>
          <w:sz w:val="22"/>
          <w:szCs w:val="22"/>
          <w:highlight w:val="none"/>
          <w:u w:val="none"/>
          <w:lang w:val="en-US" w:eastAsia="zh-CN" w:bidi="ar"/>
        </w:rPr>
        <w:t>，</w:t>
      </w:r>
      <w:r>
        <w:rPr>
          <w:rFonts w:hint="eastAsia" w:cs="宋体"/>
          <w:i w:val="0"/>
          <w:iCs w:val="0"/>
          <w:color w:val="auto"/>
          <w:kern w:val="0"/>
          <w:sz w:val="22"/>
          <w:szCs w:val="22"/>
          <w:highlight w:val="none"/>
          <w:u w:val="none"/>
          <w:lang w:val="en-US" w:eastAsia="zh-CN" w:bidi="ar"/>
        </w:rPr>
        <w:t>不得与其他货物混装（需提供承诺函）</w:t>
      </w:r>
    </w:p>
    <w:p w14:paraId="6B4A69CA">
      <w:pPr>
        <w:pStyle w:val="5"/>
        <w:pageBreakBefore w:val="0"/>
        <w:widowControl w:val="0"/>
        <w:kinsoku/>
        <w:wordWrap/>
        <w:overflowPunct/>
        <w:topLinePunct w:val="0"/>
        <w:autoSpaceDE/>
        <w:autoSpaceDN/>
        <w:bidi w:val="0"/>
        <w:snapToGrid/>
        <w:spacing w:line="360" w:lineRule="auto"/>
        <w:ind w:firstLine="442" w:firstLineChars="200"/>
        <w:jc w:val="left"/>
        <w:rPr>
          <w:rFonts w:hint="eastAsia"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8.3.2</w:t>
      </w:r>
      <w:r>
        <w:rPr>
          <w:rFonts w:hint="eastAsia" w:ascii="宋体" w:hAnsi="宋体" w:eastAsia="宋体" w:cs="宋体"/>
          <w:color w:val="auto"/>
          <w:sz w:val="24"/>
          <w:highlight w:val="none"/>
        </w:rPr>
        <w:t>★</w:t>
      </w:r>
      <w:r>
        <w:rPr>
          <w:rFonts w:hint="eastAsia" w:ascii="宋体" w:hAnsi="宋体" w:eastAsia="宋体" w:cs="Times New Roman"/>
          <w:bCs/>
          <w:color w:val="auto"/>
          <w:szCs w:val="21"/>
          <w:highlight w:val="none"/>
          <w:lang w:val="en-US" w:eastAsia="zh-CN"/>
        </w:rPr>
        <w:t>配送车辆</w:t>
      </w:r>
      <w:r>
        <w:rPr>
          <w:rFonts w:hint="eastAsia" w:cs="Times New Roman"/>
          <w:bCs/>
          <w:color w:val="auto"/>
          <w:szCs w:val="21"/>
          <w:highlight w:val="none"/>
          <w:lang w:val="en-US" w:eastAsia="zh-CN"/>
        </w:rPr>
        <w:t>：</w:t>
      </w:r>
      <w:r>
        <w:rPr>
          <w:rFonts w:hint="eastAsia" w:cs="宋体"/>
          <w:i w:val="0"/>
          <w:iCs w:val="0"/>
          <w:color w:val="auto"/>
          <w:kern w:val="0"/>
          <w:sz w:val="22"/>
          <w:szCs w:val="22"/>
          <w:highlight w:val="none"/>
          <w:u w:val="none"/>
          <w:lang w:val="en-US" w:eastAsia="zh-CN" w:bidi="ar"/>
        </w:rPr>
        <w:t>鉴于采购人多校区配送的情况</w:t>
      </w:r>
      <w:r>
        <w:rPr>
          <w:rFonts w:hint="eastAsia" w:ascii="宋体" w:hAnsi="宋体" w:eastAsia="宋体" w:cs="宋体"/>
          <w:i w:val="0"/>
          <w:iCs w:val="0"/>
          <w:color w:val="auto"/>
          <w:kern w:val="0"/>
          <w:sz w:val="22"/>
          <w:szCs w:val="22"/>
          <w:highlight w:val="none"/>
          <w:u w:val="none"/>
          <w:lang w:val="en-US" w:eastAsia="zh-CN" w:bidi="ar"/>
        </w:rPr>
        <w:t>供应商</w:t>
      </w:r>
      <w:r>
        <w:rPr>
          <w:rFonts w:hint="eastAsia" w:cs="宋体"/>
          <w:i w:val="0"/>
          <w:iCs w:val="0"/>
          <w:color w:val="auto"/>
          <w:kern w:val="0"/>
          <w:sz w:val="22"/>
          <w:szCs w:val="22"/>
          <w:highlight w:val="none"/>
          <w:u w:val="none"/>
          <w:lang w:val="en-US" w:eastAsia="zh-CN" w:bidi="ar"/>
        </w:rPr>
        <w:t>至少配备</w:t>
      </w:r>
      <w:r>
        <w:rPr>
          <w:rFonts w:hint="eastAsia" w:ascii="宋体" w:hAnsi="宋体" w:cs="宋体"/>
          <w:i w:val="0"/>
          <w:iCs w:val="0"/>
          <w:color w:val="auto"/>
          <w:kern w:val="0"/>
          <w:sz w:val="22"/>
          <w:szCs w:val="22"/>
          <w:highlight w:val="none"/>
          <w:u w:val="none"/>
          <w:lang w:val="en-US" w:eastAsia="zh-CN" w:bidi="ar"/>
        </w:rPr>
        <w:t>冷藏</w:t>
      </w:r>
      <w:r>
        <w:rPr>
          <w:rFonts w:hint="eastAsia" w:ascii="宋体" w:hAnsi="宋体" w:eastAsia="宋体" w:cs="宋体"/>
          <w:i w:val="0"/>
          <w:iCs w:val="0"/>
          <w:color w:val="auto"/>
          <w:kern w:val="0"/>
          <w:sz w:val="22"/>
          <w:szCs w:val="22"/>
          <w:highlight w:val="none"/>
          <w:u w:val="none"/>
          <w:lang w:val="en-US" w:eastAsia="zh-CN" w:bidi="ar"/>
        </w:rPr>
        <w:t>车</w:t>
      </w:r>
      <w:r>
        <w:rPr>
          <w:rFonts w:hint="eastAsia" w:cs="宋体"/>
          <w:i w:val="0"/>
          <w:iCs w:val="0"/>
          <w:color w:val="auto"/>
          <w:kern w:val="0"/>
          <w:sz w:val="22"/>
          <w:szCs w:val="22"/>
          <w:highlight w:val="none"/>
          <w:u w:val="none"/>
          <w:lang w:val="en-US" w:eastAsia="zh-CN" w:bidi="ar"/>
        </w:rPr>
        <w:t>2台</w:t>
      </w:r>
      <w:r>
        <w:rPr>
          <w:rFonts w:hint="eastAsia" w:ascii="宋体" w:hAnsi="宋体" w:eastAsia="宋体" w:cs="宋体"/>
          <w:i w:val="0"/>
          <w:iCs w:val="0"/>
          <w:color w:val="auto"/>
          <w:kern w:val="0"/>
          <w:sz w:val="22"/>
          <w:szCs w:val="22"/>
          <w:highlight w:val="none"/>
          <w:u w:val="none"/>
          <w:lang w:val="en-US" w:eastAsia="zh-CN" w:bidi="ar"/>
        </w:rPr>
        <w:t>，</w:t>
      </w:r>
      <w:r>
        <w:rPr>
          <w:rFonts w:hint="eastAsia" w:cs="宋体"/>
          <w:i w:val="0"/>
          <w:iCs w:val="0"/>
          <w:color w:val="auto"/>
          <w:kern w:val="0"/>
          <w:sz w:val="22"/>
          <w:szCs w:val="22"/>
          <w:highlight w:val="none"/>
          <w:u w:val="none"/>
          <w:lang w:val="en-US" w:eastAsia="zh-CN" w:bidi="ar"/>
        </w:rPr>
        <w:t>每台车配送工人至少1人（自有或租赁均可），佐证材料要求1.自有车辆需要</w:t>
      </w:r>
      <w:r>
        <w:rPr>
          <w:rFonts w:hint="eastAsia" w:ascii="宋体" w:hAnsi="宋体" w:eastAsia="宋体" w:cs="宋体"/>
          <w:i w:val="0"/>
          <w:iCs w:val="0"/>
          <w:color w:val="auto"/>
          <w:kern w:val="0"/>
          <w:sz w:val="22"/>
          <w:szCs w:val="22"/>
          <w:highlight w:val="none"/>
          <w:u w:val="none"/>
          <w:lang w:val="en-US" w:eastAsia="zh-CN" w:bidi="ar"/>
        </w:rPr>
        <w:t>供机动车登记证、</w:t>
      </w:r>
      <w:r>
        <w:rPr>
          <w:rFonts w:hint="eastAsia" w:cs="宋体"/>
          <w:i w:val="0"/>
          <w:iCs w:val="0"/>
          <w:color w:val="auto"/>
          <w:kern w:val="0"/>
          <w:sz w:val="22"/>
          <w:szCs w:val="22"/>
          <w:highlight w:val="none"/>
          <w:u w:val="none"/>
          <w:lang w:val="en-US" w:eastAsia="zh-CN" w:bidi="ar"/>
        </w:rPr>
        <w:t>机动车行驶证、</w:t>
      </w:r>
      <w:r>
        <w:rPr>
          <w:rFonts w:hint="eastAsia" w:ascii="宋体" w:hAnsi="宋体" w:eastAsia="宋体" w:cs="宋体"/>
          <w:i w:val="0"/>
          <w:iCs w:val="0"/>
          <w:color w:val="auto"/>
          <w:kern w:val="0"/>
          <w:sz w:val="22"/>
          <w:szCs w:val="22"/>
          <w:highlight w:val="none"/>
          <w:u w:val="none"/>
          <w:lang w:val="en-US" w:eastAsia="zh-CN" w:bidi="ar"/>
        </w:rPr>
        <w:t>车辆外观（体现车牌号）的近期照片，</w:t>
      </w:r>
      <w:r>
        <w:rPr>
          <w:rFonts w:hint="eastAsia" w:cs="宋体"/>
          <w:i w:val="0"/>
          <w:iCs w:val="0"/>
          <w:color w:val="auto"/>
          <w:kern w:val="0"/>
          <w:sz w:val="22"/>
          <w:szCs w:val="22"/>
          <w:highlight w:val="none"/>
          <w:u w:val="none"/>
          <w:lang w:val="en-US" w:eastAsia="zh-CN" w:bidi="ar"/>
        </w:rPr>
        <w:t>2.租赁车辆需提供机动车行驶证、车辆外观（体现车牌号）的近期照片、租赁证明，</w:t>
      </w:r>
      <w:r>
        <w:rPr>
          <w:rFonts w:hint="eastAsia" w:ascii="宋体" w:hAnsi="宋体" w:eastAsia="宋体" w:cs="宋体"/>
          <w:i w:val="0"/>
          <w:iCs w:val="0"/>
          <w:strike w:val="0"/>
          <w:dstrike w:val="0"/>
          <w:color w:val="auto"/>
          <w:kern w:val="0"/>
          <w:sz w:val="22"/>
          <w:szCs w:val="22"/>
          <w:highlight w:val="none"/>
          <w:u w:val="none"/>
          <w:lang w:val="en-US" w:eastAsia="zh-CN" w:bidi="ar"/>
        </w:rPr>
        <w:t>须提供自有产权或租赁协议证明（供应商为经销商、生产厂家负责配送的</w:t>
      </w:r>
      <w:r>
        <w:rPr>
          <w:rFonts w:hint="eastAsia" w:ascii="宋体" w:hAnsi="宋体" w:eastAsia="宋体" w:cs="宋体"/>
          <w:i w:val="0"/>
          <w:iCs w:val="0"/>
          <w:color w:val="auto"/>
          <w:kern w:val="0"/>
          <w:sz w:val="22"/>
          <w:szCs w:val="22"/>
          <w:highlight w:val="none"/>
          <w:u w:val="none"/>
          <w:lang w:val="en-US" w:eastAsia="zh-CN" w:bidi="ar"/>
        </w:rPr>
        <w:t>，需出具生产厂家书面承诺或在授权书中注明</w:t>
      </w:r>
      <w:r>
        <w:rPr>
          <w:rFonts w:hint="eastAsia" w:cs="宋体"/>
          <w:i w:val="0"/>
          <w:iCs w:val="0"/>
          <w:color w:val="auto"/>
          <w:kern w:val="0"/>
          <w:sz w:val="22"/>
          <w:szCs w:val="22"/>
          <w:highlight w:val="none"/>
          <w:u w:val="none"/>
          <w:lang w:val="en-US" w:eastAsia="zh-CN" w:bidi="ar"/>
        </w:rPr>
        <w:t>此车辆为本项目专用车辆</w:t>
      </w:r>
      <w:r>
        <w:rPr>
          <w:rFonts w:hint="eastAsia" w:ascii="宋体" w:hAnsi="宋体" w:eastAsia="宋体" w:cs="宋体"/>
          <w:i w:val="0"/>
          <w:iCs w:val="0"/>
          <w:color w:val="auto"/>
          <w:kern w:val="0"/>
          <w:sz w:val="22"/>
          <w:szCs w:val="22"/>
          <w:highlight w:val="none"/>
          <w:u w:val="none"/>
          <w:lang w:val="en-US" w:eastAsia="zh-CN" w:bidi="ar"/>
        </w:rPr>
        <w:t>）。</w:t>
      </w:r>
    </w:p>
    <w:p w14:paraId="64D608BE">
      <w:pPr>
        <w:widowControl/>
        <w:ind w:firstLine="442" w:firstLineChars="200"/>
        <w:jc w:val="both"/>
        <w:rPr>
          <w:rFonts w:hint="eastAsia" w:ascii="宋体" w:hAnsi="宋体" w:eastAsia="宋体" w:cs="Times New Roman"/>
          <w:b/>
          <w:bCs w:val="0"/>
          <w:color w:val="auto"/>
          <w:szCs w:val="21"/>
          <w:highlight w:val="none"/>
        </w:rPr>
      </w:pPr>
      <w:r>
        <w:rPr>
          <w:rFonts w:hint="eastAsia" w:cs="宋体"/>
          <w:b/>
          <w:bCs/>
          <w:i w:val="0"/>
          <w:iCs w:val="0"/>
          <w:color w:val="auto"/>
          <w:kern w:val="0"/>
          <w:sz w:val="22"/>
          <w:szCs w:val="22"/>
          <w:highlight w:val="none"/>
          <w:u w:val="none"/>
          <w:lang w:val="en-US" w:eastAsia="zh-CN" w:bidi="ar"/>
        </w:rPr>
        <w:t>承诺</w:t>
      </w:r>
      <w:r>
        <w:rPr>
          <w:rFonts w:hint="eastAsia" w:cs="宋体"/>
          <w:i w:val="0"/>
          <w:iCs w:val="0"/>
          <w:color w:val="auto"/>
          <w:kern w:val="0"/>
          <w:sz w:val="22"/>
          <w:szCs w:val="22"/>
          <w:highlight w:val="none"/>
          <w:u w:val="none"/>
          <w:lang w:val="en-US" w:eastAsia="zh-CN" w:bidi="ar"/>
        </w:rPr>
        <w:t>：</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中标后</w:t>
      </w:r>
      <w:r>
        <w:rPr>
          <w:rFonts w:hint="eastAsia" w:ascii="宋体" w:hAnsi="宋体" w:cs="宋体"/>
          <w:b/>
          <w:bCs/>
          <w:strike w:val="0"/>
          <w:dstrike w:val="0"/>
          <w:color w:val="auto"/>
          <w:sz w:val="21"/>
          <w:szCs w:val="21"/>
          <w:highlight w:val="none"/>
          <w:lang w:eastAsia="zh-CN"/>
        </w:rPr>
        <w:t>所有</w:t>
      </w:r>
      <w:r>
        <w:rPr>
          <w:rFonts w:hint="eastAsia" w:ascii="宋体" w:hAnsi="宋体" w:cs="Times New Roman"/>
          <w:b/>
          <w:bCs w:val="0"/>
          <w:color w:val="auto"/>
          <w:szCs w:val="21"/>
          <w:highlight w:val="none"/>
          <w:lang w:val="en-US" w:eastAsia="zh-CN"/>
        </w:rPr>
        <w:t>进校</w:t>
      </w:r>
      <w:r>
        <w:rPr>
          <w:rFonts w:hint="eastAsia" w:ascii="宋体" w:hAnsi="宋体" w:eastAsia="宋体" w:cs="宋体"/>
          <w:b/>
          <w:bCs w:val="0"/>
          <w:i w:val="0"/>
          <w:iCs w:val="0"/>
          <w:color w:val="auto"/>
          <w:kern w:val="0"/>
          <w:sz w:val="22"/>
          <w:szCs w:val="22"/>
          <w:highlight w:val="none"/>
          <w:u w:val="none"/>
          <w:lang w:val="en-US" w:eastAsia="zh-CN" w:bidi="ar"/>
        </w:rPr>
        <w:t>配送车辆须</w:t>
      </w:r>
      <w:r>
        <w:rPr>
          <w:rFonts w:hint="eastAsia" w:ascii="宋体" w:hAnsi="宋体" w:cs="宋体"/>
          <w:b/>
          <w:bCs w:val="0"/>
          <w:i w:val="0"/>
          <w:iCs w:val="0"/>
          <w:color w:val="auto"/>
          <w:kern w:val="0"/>
          <w:sz w:val="22"/>
          <w:szCs w:val="22"/>
          <w:highlight w:val="none"/>
          <w:u w:val="none"/>
          <w:lang w:val="en-US" w:eastAsia="zh-CN" w:bidi="ar"/>
        </w:rPr>
        <w:t>提供</w:t>
      </w:r>
      <w:r>
        <w:rPr>
          <w:rFonts w:hint="eastAsia" w:ascii="宋体" w:hAnsi="宋体" w:eastAsia="宋体" w:cs="宋体"/>
          <w:b/>
          <w:bCs w:val="0"/>
          <w:i w:val="0"/>
          <w:iCs w:val="0"/>
          <w:color w:val="auto"/>
          <w:kern w:val="0"/>
          <w:sz w:val="22"/>
          <w:szCs w:val="22"/>
          <w:highlight w:val="none"/>
          <w:u w:val="none"/>
          <w:lang w:val="en-US" w:eastAsia="zh-CN" w:bidi="ar"/>
        </w:rPr>
        <w:t>商业保险</w:t>
      </w:r>
      <w:r>
        <w:rPr>
          <w:rFonts w:hint="eastAsia" w:ascii="宋体" w:hAnsi="宋体" w:cs="宋体"/>
          <w:b/>
          <w:bCs w:val="0"/>
          <w:i w:val="0"/>
          <w:iCs w:val="0"/>
          <w:color w:val="auto"/>
          <w:kern w:val="0"/>
          <w:sz w:val="22"/>
          <w:szCs w:val="22"/>
          <w:highlight w:val="none"/>
          <w:u w:val="none"/>
          <w:lang w:val="en-US" w:eastAsia="zh-CN" w:bidi="ar"/>
        </w:rPr>
        <w:t>且</w:t>
      </w:r>
      <w:r>
        <w:rPr>
          <w:rFonts w:hint="eastAsia" w:ascii="宋体" w:hAnsi="宋体" w:eastAsia="宋体" w:cs="宋体"/>
          <w:b/>
          <w:bCs w:val="0"/>
          <w:i w:val="0"/>
          <w:iCs w:val="0"/>
          <w:color w:val="auto"/>
          <w:kern w:val="0"/>
          <w:sz w:val="22"/>
          <w:szCs w:val="22"/>
          <w:highlight w:val="none"/>
          <w:u w:val="none"/>
          <w:lang w:val="en-US" w:eastAsia="zh-CN" w:bidi="ar"/>
        </w:rPr>
        <w:t>第三者责任保险金额200万以上（含）</w:t>
      </w:r>
      <w:r>
        <w:rPr>
          <w:rFonts w:hint="eastAsia" w:ascii="宋体" w:hAnsi="宋体" w:cs="宋体"/>
          <w:b/>
          <w:bCs w:val="0"/>
          <w:i w:val="0"/>
          <w:iCs w:val="0"/>
          <w:color w:val="auto"/>
          <w:kern w:val="0"/>
          <w:sz w:val="22"/>
          <w:szCs w:val="22"/>
          <w:highlight w:val="none"/>
          <w:u w:val="none"/>
          <w:lang w:val="en-US" w:eastAsia="zh-CN" w:bidi="ar"/>
        </w:rPr>
        <w:t>200万</w:t>
      </w:r>
      <w:r>
        <w:rPr>
          <w:rFonts w:hint="eastAsia" w:ascii="宋体" w:hAnsi="宋体" w:eastAsia="宋体" w:cs="宋体"/>
          <w:b/>
          <w:bCs w:val="0"/>
          <w:i w:val="0"/>
          <w:iCs w:val="0"/>
          <w:color w:val="auto"/>
          <w:kern w:val="0"/>
          <w:sz w:val="22"/>
          <w:szCs w:val="22"/>
          <w:highlight w:val="none"/>
          <w:u w:val="none"/>
          <w:lang w:val="en-US" w:eastAsia="zh-CN" w:bidi="ar"/>
        </w:rPr>
        <w:t>，</w:t>
      </w:r>
      <w:r>
        <w:rPr>
          <w:rFonts w:hint="eastAsia" w:ascii="宋体" w:hAnsi="宋体" w:cs="宋体"/>
          <w:b/>
          <w:bCs w:val="0"/>
          <w:i w:val="0"/>
          <w:iCs w:val="0"/>
          <w:color w:val="auto"/>
          <w:kern w:val="0"/>
          <w:sz w:val="22"/>
          <w:szCs w:val="22"/>
          <w:highlight w:val="none"/>
          <w:u w:val="none"/>
          <w:lang w:val="en-US" w:eastAsia="zh-CN" w:bidi="ar"/>
        </w:rPr>
        <w:t>（供应商提供承诺函格式自拟加盖公章）</w:t>
      </w:r>
      <w:r>
        <w:rPr>
          <w:rFonts w:hint="eastAsia" w:ascii="宋体" w:hAnsi="宋体" w:eastAsia="宋体" w:cs="宋体"/>
          <w:b/>
          <w:bCs w:val="0"/>
          <w:i w:val="0"/>
          <w:iCs w:val="0"/>
          <w:color w:val="auto"/>
          <w:kern w:val="0"/>
          <w:sz w:val="22"/>
          <w:szCs w:val="22"/>
          <w:highlight w:val="none"/>
          <w:u w:val="none"/>
          <w:lang w:val="en-US" w:eastAsia="zh-CN" w:bidi="ar"/>
        </w:rPr>
        <w:t>。</w:t>
      </w:r>
    </w:p>
    <w:p w14:paraId="568019E9">
      <w:pPr>
        <w:ind w:left="840"/>
        <w:jc w:val="left"/>
        <w:rPr>
          <w:rFonts w:eastAsia="华文仿宋"/>
          <w:b/>
          <w:color w:val="auto"/>
          <w:sz w:val="18"/>
          <w:szCs w:val="18"/>
          <w:highlight w:val="none"/>
        </w:rPr>
      </w:pPr>
    </w:p>
    <w:p w14:paraId="62A73E0B">
      <w:pPr>
        <w:pStyle w:val="12"/>
        <w:spacing w:before="312" w:beforeLines="100" w:after="120" w:line="560" w:lineRule="exact"/>
        <w:jc w:val="center"/>
        <w:rPr>
          <w:rFonts w:hint="eastAsia" w:ascii="黑体" w:hAnsi="黑体" w:eastAsia="黑体"/>
          <w:b w:val="0"/>
          <w:color w:val="auto"/>
          <w:sz w:val="36"/>
          <w:szCs w:val="36"/>
          <w:highlight w:val="none"/>
        </w:rPr>
      </w:pPr>
      <w:r>
        <w:rPr>
          <w:rFonts w:hint="eastAsia" w:ascii="黑体" w:hAnsi="黑体" w:eastAsia="黑体"/>
          <w:b w:val="0"/>
          <w:color w:val="auto"/>
          <w:sz w:val="36"/>
          <w:szCs w:val="36"/>
          <w:highlight w:val="none"/>
          <w:lang w:val="en-US" w:eastAsia="zh-CN"/>
        </w:rPr>
        <w:t>附件：</w:t>
      </w:r>
      <w:r>
        <w:rPr>
          <w:rFonts w:hint="eastAsia" w:ascii="黑体" w:hAnsi="黑体" w:eastAsia="黑体"/>
          <w:b w:val="0"/>
          <w:color w:val="auto"/>
          <w:sz w:val="36"/>
          <w:szCs w:val="36"/>
          <w:highlight w:val="none"/>
        </w:rPr>
        <w:t>原材料验收标准（</w:t>
      </w:r>
      <w:r>
        <w:rPr>
          <w:rFonts w:hint="eastAsia" w:ascii="黑体" w:hAnsi="黑体" w:eastAsia="黑体"/>
          <w:b w:val="0"/>
          <w:color w:val="auto"/>
          <w:sz w:val="36"/>
          <w:szCs w:val="36"/>
          <w:highlight w:val="none"/>
          <w:lang w:val="en-US" w:eastAsia="zh-CN"/>
        </w:rPr>
        <w:t>豆制品</w:t>
      </w:r>
      <w:r>
        <w:rPr>
          <w:rFonts w:hint="eastAsia" w:ascii="黑体" w:hAnsi="黑体" w:eastAsia="黑体"/>
          <w:b w:val="0"/>
          <w:color w:val="auto"/>
          <w:sz w:val="36"/>
          <w:szCs w:val="36"/>
          <w:highlight w:val="none"/>
        </w:rPr>
        <w:t>）</w:t>
      </w:r>
    </w:p>
    <w:p w14:paraId="6A702803">
      <w:pPr>
        <w:jc w:val="center"/>
        <w:rPr>
          <w:color w:val="auto"/>
          <w:highlight w:val="none"/>
        </w:rPr>
      </w:pP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
        <w:gridCol w:w="1380"/>
        <w:gridCol w:w="2715"/>
        <w:gridCol w:w="4710"/>
      </w:tblGrid>
      <w:tr w14:paraId="23112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920" w:type="dxa"/>
            <w:noWrap w:val="0"/>
            <w:vAlign w:val="center"/>
          </w:tcPr>
          <w:p w14:paraId="2C19CC05">
            <w:pPr>
              <w:spacing w:line="360" w:lineRule="exact"/>
              <w:jc w:val="center"/>
              <w:rPr>
                <w:rFonts w:ascii="宋体" w:hAnsi="宋体" w:eastAsia="宋体"/>
                <w:color w:val="auto"/>
                <w:highlight w:val="none"/>
              </w:rPr>
            </w:pPr>
            <w:r>
              <w:rPr>
                <w:rFonts w:hint="eastAsia" w:ascii="宋体" w:hAnsi="宋体" w:eastAsia="宋体"/>
                <w:color w:val="auto"/>
                <w:highlight w:val="none"/>
              </w:rPr>
              <w:t>序号</w:t>
            </w:r>
          </w:p>
        </w:tc>
        <w:tc>
          <w:tcPr>
            <w:tcW w:w="1380" w:type="dxa"/>
            <w:noWrap w:val="0"/>
            <w:vAlign w:val="center"/>
          </w:tcPr>
          <w:p w14:paraId="54184FAC">
            <w:pPr>
              <w:spacing w:line="360" w:lineRule="exact"/>
              <w:jc w:val="center"/>
              <w:rPr>
                <w:rFonts w:ascii="宋体" w:hAnsi="宋体" w:eastAsia="宋体"/>
                <w:color w:val="auto"/>
                <w:highlight w:val="none"/>
              </w:rPr>
            </w:pPr>
            <w:r>
              <w:rPr>
                <w:rFonts w:hint="eastAsia" w:ascii="宋体" w:hAnsi="宋体" w:eastAsia="宋体"/>
                <w:color w:val="auto"/>
                <w:highlight w:val="none"/>
              </w:rPr>
              <w:t>验收项目</w:t>
            </w:r>
          </w:p>
        </w:tc>
        <w:tc>
          <w:tcPr>
            <w:tcW w:w="2715" w:type="dxa"/>
            <w:noWrap w:val="0"/>
            <w:vAlign w:val="center"/>
          </w:tcPr>
          <w:p w14:paraId="607F0CD0">
            <w:pPr>
              <w:spacing w:line="360" w:lineRule="exact"/>
              <w:jc w:val="center"/>
              <w:rPr>
                <w:rFonts w:ascii="宋体" w:hAnsi="宋体" w:eastAsia="宋体"/>
                <w:color w:val="auto"/>
                <w:highlight w:val="none"/>
              </w:rPr>
            </w:pPr>
            <w:r>
              <w:rPr>
                <w:rFonts w:hint="eastAsia" w:ascii="宋体" w:hAnsi="宋体" w:eastAsia="宋体"/>
                <w:color w:val="auto"/>
                <w:highlight w:val="none"/>
              </w:rPr>
              <w:t>验收内容</w:t>
            </w:r>
          </w:p>
        </w:tc>
        <w:tc>
          <w:tcPr>
            <w:tcW w:w="4710" w:type="dxa"/>
            <w:noWrap w:val="0"/>
            <w:vAlign w:val="center"/>
          </w:tcPr>
          <w:p w14:paraId="64ED818C">
            <w:pPr>
              <w:spacing w:line="360" w:lineRule="exact"/>
              <w:jc w:val="center"/>
              <w:rPr>
                <w:rFonts w:ascii="宋体" w:hAnsi="宋体" w:eastAsia="宋体"/>
                <w:color w:val="auto"/>
                <w:highlight w:val="none"/>
              </w:rPr>
            </w:pPr>
            <w:r>
              <w:rPr>
                <w:rFonts w:hint="eastAsia" w:ascii="宋体" w:hAnsi="宋体" w:eastAsia="宋体"/>
                <w:color w:val="auto"/>
                <w:highlight w:val="none"/>
              </w:rPr>
              <w:t>合格</w:t>
            </w:r>
            <w:r>
              <w:rPr>
                <w:rFonts w:ascii="宋体" w:hAnsi="宋体" w:eastAsia="宋体"/>
                <w:color w:val="auto"/>
                <w:highlight w:val="none"/>
              </w:rPr>
              <w:t>标准</w:t>
            </w:r>
          </w:p>
        </w:tc>
      </w:tr>
      <w:tr w14:paraId="595FB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trPr>
        <w:tc>
          <w:tcPr>
            <w:tcW w:w="920" w:type="dxa"/>
            <w:noWrap w:val="0"/>
            <w:vAlign w:val="center"/>
          </w:tcPr>
          <w:p w14:paraId="555D8EEF">
            <w:pPr>
              <w:spacing w:line="360" w:lineRule="exact"/>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1380" w:type="dxa"/>
            <w:noWrap w:val="0"/>
            <w:vAlign w:val="center"/>
          </w:tcPr>
          <w:p w14:paraId="45046149">
            <w:pPr>
              <w:spacing w:line="360" w:lineRule="exact"/>
              <w:jc w:val="center"/>
              <w:rPr>
                <w:rFonts w:ascii="宋体" w:hAnsi="宋体" w:eastAsia="宋体" w:cs="宋体"/>
                <w:color w:val="auto"/>
                <w:highlight w:val="none"/>
              </w:rPr>
            </w:pPr>
            <w:r>
              <w:rPr>
                <w:rFonts w:ascii="宋体" w:hAnsi="宋体" w:eastAsia="宋体" w:cs="宋体"/>
                <w:color w:val="auto"/>
                <w:highlight w:val="none"/>
              </w:rPr>
              <w:t>外包装</w:t>
            </w:r>
          </w:p>
        </w:tc>
        <w:tc>
          <w:tcPr>
            <w:tcW w:w="2715" w:type="dxa"/>
            <w:noWrap w:val="0"/>
            <w:vAlign w:val="center"/>
          </w:tcPr>
          <w:p w14:paraId="553E8725">
            <w:pPr>
              <w:spacing w:line="360" w:lineRule="exact"/>
              <w:rPr>
                <w:rFonts w:ascii="宋体" w:hAnsi="宋体" w:eastAsia="宋体" w:cs="宋体"/>
                <w:color w:val="auto"/>
                <w:highlight w:val="none"/>
              </w:rPr>
            </w:pPr>
            <w:r>
              <w:rPr>
                <w:rFonts w:hint="eastAsia" w:ascii="宋体" w:hAnsi="宋体" w:eastAsia="宋体" w:cs="宋体"/>
                <w:color w:val="auto"/>
                <w:highlight w:val="none"/>
              </w:rPr>
              <w:t>外包装材料、完整性及卫生情况。</w:t>
            </w:r>
          </w:p>
        </w:tc>
        <w:tc>
          <w:tcPr>
            <w:tcW w:w="4710" w:type="dxa"/>
            <w:noWrap w:val="0"/>
            <w:vAlign w:val="center"/>
          </w:tcPr>
          <w:p w14:paraId="4AB8A880">
            <w:pPr>
              <w:spacing w:line="360" w:lineRule="exact"/>
              <w:rPr>
                <w:rFonts w:ascii="宋体" w:hAnsi="宋体" w:eastAsia="宋体" w:cs="宋体"/>
                <w:color w:val="auto"/>
                <w:highlight w:val="none"/>
              </w:rPr>
            </w:pPr>
            <w:r>
              <w:rPr>
                <w:rFonts w:ascii="宋体" w:hAnsi="宋体" w:eastAsia="宋体" w:cs="宋体"/>
                <w:color w:val="auto"/>
                <w:highlight w:val="none"/>
              </w:rPr>
              <w:t>符合包装国家标准</w:t>
            </w:r>
            <w:r>
              <w:rPr>
                <w:rFonts w:hint="eastAsia" w:ascii="宋体" w:hAnsi="宋体" w:eastAsia="宋体" w:cs="宋体"/>
                <w:color w:val="auto"/>
                <w:highlight w:val="none"/>
              </w:rPr>
              <w:t>，</w:t>
            </w:r>
            <w:r>
              <w:rPr>
                <w:rFonts w:ascii="宋体" w:hAnsi="宋体" w:eastAsia="宋体" w:cs="宋体"/>
                <w:color w:val="auto"/>
                <w:highlight w:val="none"/>
              </w:rPr>
              <w:t>外包装完整</w:t>
            </w:r>
            <w:r>
              <w:rPr>
                <w:rFonts w:hint="eastAsia" w:ascii="宋体" w:hAnsi="宋体" w:eastAsia="宋体" w:cs="宋体"/>
                <w:color w:val="auto"/>
                <w:highlight w:val="none"/>
              </w:rPr>
              <w:t>，</w:t>
            </w:r>
            <w:r>
              <w:rPr>
                <w:rFonts w:ascii="宋体" w:hAnsi="宋体" w:eastAsia="宋体" w:cs="宋体"/>
                <w:color w:val="auto"/>
                <w:highlight w:val="none"/>
              </w:rPr>
              <w:t>无破损和污渍</w:t>
            </w:r>
            <w:r>
              <w:rPr>
                <w:rFonts w:hint="eastAsia" w:ascii="宋体" w:hAnsi="宋体" w:eastAsia="宋体" w:cs="宋体"/>
                <w:color w:val="auto"/>
                <w:highlight w:val="none"/>
              </w:rPr>
              <w:t>。</w:t>
            </w:r>
          </w:p>
        </w:tc>
      </w:tr>
      <w:tr w14:paraId="2FDEA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920" w:type="dxa"/>
            <w:noWrap w:val="0"/>
            <w:vAlign w:val="center"/>
          </w:tcPr>
          <w:p w14:paraId="36D69301">
            <w:pPr>
              <w:spacing w:line="360" w:lineRule="exact"/>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1380" w:type="dxa"/>
            <w:noWrap w:val="0"/>
            <w:vAlign w:val="center"/>
          </w:tcPr>
          <w:p w14:paraId="6E6313BF">
            <w:pPr>
              <w:spacing w:line="360" w:lineRule="exact"/>
              <w:jc w:val="center"/>
              <w:rPr>
                <w:rFonts w:ascii="宋体" w:hAnsi="宋体" w:eastAsia="宋体" w:cs="宋体"/>
                <w:color w:val="auto"/>
                <w:highlight w:val="none"/>
              </w:rPr>
            </w:pPr>
            <w:r>
              <w:rPr>
                <w:rFonts w:hint="eastAsia" w:ascii="宋体" w:hAnsi="宋体" w:eastAsia="宋体" w:cs="宋体"/>
                <w:color w:val="auto"/>
                <w:highlight w:val="none"/>
              </w:rPr>
              <w:t>产品的</w:t>
            </w:r>
            <w:r>
              <w:rPr>
                <w:rFonts w:ascii="宋体" w:hAnsi="宋体" w:eastAsia="宋体" w:cs="宋体"/>
                <w:color w:val="auto"/>
                <w:highlight w:val="none"/>
              </w:rPr>
              <w:t>一致性</w:t>
            </w:r>
          </w:p>
        </w:tc>
        <w:tc>
          <w:tcPr>
            <w:tcW w:w="2715" w:type="dxa"/>
            <w:noWrap w:val="0"/>
            <w:vAlign w:val="center"/>
          </w:tcPr>
          <w:p w14:paraId="2CA081AA">
            <w:pPr>
              <w:spacing w:line="360" w:lineRule="exact"/>
              <w:rPr>
                <w:rFonts w:ascii="宋体" w:hAnsi="宋体" w:eastAsia="宋体" w:cs="宋体"/>
                <w:color w:val="auto"/>
                <w:highlight w:val="none"/>
              </w:rPr>
            </w:pPr>
            <w:r>
              <w:rPr>
                <w:rFonts w:hint="eastAsia" w:ascii="宋体" w:hAnsi="宋体" w:eastAsia="宋体" w:cs="宋体"/>
                <w:color w:val="auto"/>
                <w:highlight w:val="none"/>
              </w:rPr>
              <w:t>1.品牌、生产厂家、生产地等是否与中标产品一致。</w:t>
            </w:r>
          </w:p>
          <w:p w14:paraId="435DE306">
            <w:pPr>
              <w:spacing w:line="360" w:lineRule="exact"/>
              <w:rPr>
                <w:rFonts w:ascii="宋体" w:hAnsi="宋体" w:eastAsia="宋体" w:cs="宋体"/>
                <w:color w:val="auto"/>
                <w:highlight w:val="none"/>
              </w:rPr>
            </w:pPr>
            <w:r>
              <w:rPr>
                <w:rFonts w:hint="eastAsia" w:ascii="宋体" w:hAnsi="宋体" w:eastAsia="宋体" w:cs="宋体"/>
                <w:color w:val="auto"/>
                <w:highlight w:val="none"/>
              </w:rPr>
              <w:t>2.生产日期和保质期是否符合采购要求。</w:t>
            </w:r>
          </w:p>
          <w:p w14:paraId="64705207">
            <w:pPr>
              <w:spacing w:line="360" w:lineRule="exact"/>
              <w:rPr>
                <w:rFonts w:ascii="宋体" w:hAnsi="宋体" w:eastAsia="宋体" w:cs="宋体"/>
                <w:color w:val="auto"/>
                <w:highlight w:val="none"/>
              </w:rPr>
            </w:pPr>
            <w:r>
              <w:rPr>
                <w:rFonts w:hint="eastAsia" w:ascii="宋体" w:hAnsi="宋体" w:eastAsia="宋体" w:cs="宋体"/>
                <w:color w:val="auto"/>
                <w:highlight w:val="none"/>
              </w:rPr>
              <w:t>3.配送数量是否与库管下单数量一致。</w:t>
            </w:r>
          </w:p>
        </w:tc>
        <w:tc>
          <w:tcPr>
            <w:tcW w:w="4710" w:type="dxa"/>
            <w:noWrap w:val="0"/>
            <w:vAlign w:val="center"/>
          </w:tcPr>
          <w:p w14:paraId="50F45068">
            <w:pPr>
              <w:spacing w:line="360" w:lineRule="exact"/>
              <w:rPr>
                <w:rFonts w:ascii="宋体" w:hAnsi="宋体" w:eastAsia="宋体" w:cs="宋体"/>
                <w:color w:val="auto"/>
                <w:highlight w:val="none"/>
              </w:rPr>
            </w:pPr>
            <w:r>
              <w:rPr>
                <w:rFonts w:hint="eastAsia" w:ascii="宋体" w:hAnsi="宋体" w:eastAsia="宋体" w:cs="宋体"/>
                <w:color w:val="auto"/>
                <w:highlight w:val="none"/>
              </w:rPr>
              <w:t>1. 品牌、生产厂家、生产地等与中标产品一致。</w:t>
            </w:r>
          </w:p>
          <w:p w14:paraId="5D6FB44B">
            <w:pPr>
              <w:spacing w:line="360" w:lineRule="exact"/>
              <w:rPr>
                <w:rFonts w:ascii="宋体" w:hAnsi="宋体" w:eastAsia="宋体" w:cs="宋体"/>
                <w:color w:val="auto"/>
                <w:highlight w:val="none"/>
              </w:rPr>
            </w:pPr>
            <w:r>
              <w:rPr>
                <w:rFonts w:hint="eastAsia" w:ascii="宋体" w:hAnsi="宋体" w:eastAsia="宋体" w:cs="宋体"/>
                <w:color w:val="auto"/>
                <w:highlight w:val="none"/>
              </w:rPr>
              <w:t>2. 生产日期和保质期符合采购要求。</w:t>
            </w:r>
          </w:p>
          <w:p w14:paraId="4AEB8451">
            <w:pPr>
              <w:spacing w:line="360" w:lineRule="exact"/>
              <w:rPr>
                <w:rFonts w:ascii="宋体" w:hAnsi="宋体" w:eastAsia="宋体" w:cs="宋体"/>
                <w:color w:val="auto"/>
                <w:highlight w:val="none"/>
              </w:rPr>
            </w:pPr>
            <w:r>
              <w:rPr>
                <w:rFonts w:hint="eastAsia" w:ascii="宋体" w:hAnsi="宋体" w:eastAsia="宋体" w:cs="宋体"/>
                <w:color w:val="auto"/>
                <w:highlight w:val="none"/>
              </w:rPr>
              <w:t>3. 配送数量与库管下单数量一致。</w:t>
            </w:r>
          </w:p>
        </w:tc>
      </w:tr>
      <w:tr w14:paraId="361A4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trPr>
        <w:tc>
          <w:tcPr>
            <w:tcW w:w="920" w:type="dxa"/>
            <w:noWrap w:val="0"/>
            <w:vAlign w:val="center"/>
          </w:tcPr>
          <w:p w14:paraId="21F8D251">
            <w:pPr>
              <w:spacing w:line="360" w:lineRule="exact"/>
              <w:jc w:val="center"/>
              <w:rPr>
                <w:rFonts w:ascii="宋体" w:hAnsi="宋体" w:eastAsia="宋体" w:cs="宋体"/>
                <w:color w:val="auto"/>
                <w:highlight w:val="none"/>
              </w:rPr>
            </w:pPr>
            <w:r>
              <w:rPr>
                <w:rFonts w:hint="eastAsia" w:ascii="宋体" w:hAnsi="宋体" w:eastAsia="宋体" w:cs="宋体"/>
                <w:color w:val="auto"/>
                <w:highlight w:val="none"/>
              </w:rPr>
              <w:t>3</w:t>
            </w:r>
          </w:p>
        </w:tc>
        <w:tc>
          <w:tcPr>
            <w:tcW w:w="1380" w:type="dxa"/>
            <w:noWrap w:val="0"/>
            <w:vAlign w:val="center"/>
          </w:tcPr>
          <w:p w14:paraId="2E7C84C9">
            <w:pPr>
              <w:spacing w:line="360" w:lineRule="exact"/>
              <w:jc w:val="center"/>
              <w:rPr>
                <w:rFonts w:ascii="宋体" w:hAnsi="宋体" w:eastAsia="宋体" w:cs="宋体"/>
                <w:color w:val="auto"/>
                <w:highlight w:val="none"/>
              </w:rPr>
            </w:pPr>
            <w:r>
              <w:rPr>
                <w:rFonts w:hint="eastAsia" w:ascii="宋体" w:hAnsi="宋体" w:eastAsia="宋体" w:cs="宋体"/>
                <w:color w:val="auto"/>
                <w:highlight w:val="none"/>
              </w:rPr>
              <w:t>票证的</w:t>
            </w:r>
            <w:r>
              <w:rPr>
                <w:rFonts w:ascii="宋体" w:hAnsi="宋体" w:eastAsia="宋体" w:cs="宋体"/>
                <w:color w:val="auto"/>
                <w:highlight w:val="none"/>
              </w:rPr>
              <w:t>规范性</w:t>
            </w:r>
          </w:p>
        </w:tc>
        <w:tc>
          <w:tcPr>
            <w:tcW w:w="2715" w:type="dxa"/>
            <w:noWrap w:val="0"/>
            <w:vAlign w:val="center"/>
          </w:tcPr>
          <w:p w14:paraId="222870DD">
            <w:pPr>
              <w:spacing w:line="360" w:lineRule="exact"/>
              <w:rPr>
                <w:rFonts w:ascii="宋体" w:hAnsi="宋体" w:eastAsia="宋体" w:cs="宋体"/>
                <w:color w:val="auto"/>
                <w:highlight w:val="none"/>
              </w:rPr>
            </w:pPr>
            <w:r>
              <w:rPr>
                <w:rFonts w:hint="eastAsia" w:ascii="宋体" w:hAnsi="宋体" w:eastAsia="宋体" w:cs="宋体"/>
                <w:color w:val="auto"/>
                <w:highlight w:val="none"/>
              </w:rPr>
              <w:t>1.票证是否随货送到。</w:t>
            </w:r>
          </w:p>
          <w:p w14:paraId="5C1C0537">
            <w:pPr>
              <w:spacing w:line="360" w:lineRule="exact"/>
              <w:rPr>
                <w:rFonts w:ascii="宋体" w:hAnsi="宋体" w:eastAsia="宋体" w:cs="宋体"/>
                <w:color w:val="auto"/>
                <w:highlight w:val="none"/>
              </w:rPr>
            </w:pPr>
            <w:r>
              <w:rPr>
                <w:rFonts w:hint="eastAsia" w:ascii="宋体" w:hAnsi="宋体" w:eastAsia="宋体" w:cs="宋体"/>
                <w:color w:val="auto"/>
                <w:highlight w:val="none"/>
              </w:rPr>
              <w:t>2.票证是否齐全。</w:t>
            </w:r>
          </w:p>
          <w:p w14:paraId="6B695BCC">
            <w:pPr>
              <w:spacing w:line="360" w:lineRule="exact"/>
              <w:rPr>
                <w:rFonts w:ascii="宋体" w:hAnsi="宋体" w:eastAsia="宋体" w:cs="宋体"/>
                <w:color w:val="auto"/>
                <w:highlight w:val="none"/>
              </w:rPr>
            </w:pPr>
            <w:r>
              <w:rPr>
                <w:rFonts w:hint="eastAsia" w:ascii="宋体" w:hAnsi="宋体" w:eastAsia="宋体" w:cs="宋体"/>
                <w:color w:val="auto"/>
                <w:highlight w:val="none"/>
              </w:rPr>
              <w:t>3.票证是否真实。</w:t>
            </w:r>
          </w:p>
        </w:tc>
        <w:tc>
          <w:tcPr>
            <w:tcW w:w="4710" w:type="dxa"/>
            <w:noWrap w:val="0"/>
            <w:vAlign w:val="center"/>
          </w:tcPr>
          <w:p w14:paraId="2C78C8EE">
            <w:pPr>
              <w:spacing w:line="360" w:lineRule="exact"/>
              <w:rPr>
                <w:rFonts w:ascii="宋体" w:hAnsi="宋体" w:eastAsia="宋体" w:cs="宋体"/>
                <w:color w:val="auto"/>
                <w:highlight w:val="none"/>
              </w:rPr>
            </w:pPr>
            <w:r>
              <w:rPr>
                <w:rFonts w:hint="eastAsia" w:ascii="宋体" w:hAnsi="宋体" w:eastAsia="宋体" w:cs="宋体"/>
                <w:color w:val="auto"/>
                <w:highlight w:val="none"/>
              </w:rPr>
              <w:t>1.票证随货送到。</w:t>
            </w:r>
          </w:p>
          <w:p w14:paraId="624DAFB9">
            <w:pPr>
              <w:spacing w:line="36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2.票证齐全，包括以下票证：</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）货物随行单（</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）批次检验报告单</w:t>
            </w:r>
          </w:p>
          <w:p w14:paraId="00CE579A">
            <w:pPr>
              <w:spacing w:line="360" w:lineRule="exact"/>
              <w:rPr>
                <w:rFonts w:ascii="宋体" w:hAnsi="宋体" w:eastAsia="宋体" w:cs="宋体"/>
                <w:color w:val="auto"/>
                <w:highlight w:val="none"/>
              </w:rPr>
            </w:pPr>
            <w:r>
              <w:rPr>
                <w:rFonts w:hint="eastAsia" w:ascii="宋体" w:hAnsi="宋体" w:eastAsia="宋体" w:cs="宋体"/>
                <w:color w:val="auto"/>
                <w:highlight w:val="none"/>
              </w:rPr>
              <w:t>3.票证真实。</w:t>
            </w:r>
          </w:p>
        </w:tc>
      </w:tr>
      <w:tr w14:paraId="51CBE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920" w:type="dxa"/>
            <w:noWrap w:val="0"/>
            <w:vAlign w:val="center"/>
          </w:tcPr>
          <w:p w14:paraId="1B003D2D">
            <w:pPr>
              <w:spacing w:line="360" w:lineRule="exact"/>
              <w:jc w:val="center"/>
              <w:rPr>
                <w:rFonts w:ascii="宋体" w:hAnsi="宋体" w:eastAsia="宋体" w:cs="宋体"/>
                <w:color w:val="auto"/>
                <w:highlight w:val="none"/>
              </w:rPr>
            </w:pPr>
            <w:r>
              <w:rPr>
                <w:rFonts w:hint="eastAsia" w:ascii="宋体" w:hAnsi="宋体" w:eastAsia="宋体" w:cs="宋体"/>
                <w:color w:val="auto"/>
                <w:highlight w:val="none"/>
              </w:rPr>
              <w:t>4</w:t>
            </w:r>
          </w:p>
        </w:tc>
        <w:tc>
          <w:tcPr>
            <w:tcW w:w="1380" w:type="dxa"/>
            <w:noWrap w:val="0"/>
            <w:vAlign w:val="center"/>
          </w:tcPr>
          <w:p w14:paraId="1CFAF426">
            <w:pPr>
              <w:spacing w:line="360" w:lineRule="exact"/>
              <w:jc w:val="center"/>
              <w:rPr>
                <w:rFonts w:ascii="宋体" w:hAnsi="宋体" w:eastAsia="宋体" w:cs="宋体"/>
                <w:color w:val="auto"/>
                <w:highlight w:val="none"/>
              </w:rPr>
            </w:pPr>
            <w:r>
              <w:rPr>
                <w:rFonts w:ascii="宋体" w:hAnsi="宋体" w:eastAsia="宋体" w:cs="宋体"/>
                <w:color w:val="auto"/>
                <w:highlight w:val="none"/>
              </w:rPr>
              <w:t>产品质量</w:t>
            </w:r>
          </w:p>
        </w:tc>
        <w:tc>
          <w:tcPr>
            <w:tcW w:w="2715" w:type="dxa"/>
            <w:noWrap w:val="0"/>
            <w:vAlign w:val="center"/>
          </w:tcPr>
          <w:p w14:paraId="1D05FD48">
            <w:pPr>
              <w:spacing w:line="360" w:lineRule="exact"/>
              <w:rPr>
                <w:rFonts w:hint="default" w:ascii="宋体" w:hAnsi="宋体" w:eastAsia="宋体" w:cs="宋体"/>
                <w:color w:val="auto"/>
                <w:highlight w:val="none"/>
                <w:lang w:val="en-US" w:eastAsia="zh-CN"/>
              </w:rPr>
            </w:pPr>
            <w:r>
              <w:rPr>
                <w:rFonts w:ascii="宋体" w:hAnsi="宋体" w:eastAsia="宋体" w:cs="宋体"/>
                <w:color w:val="auto"/>
                <w:highlight w:val="none"/>
              </w:rPr>
              <w:t>查验</w:t>
            </w:r>
            <w:r>
              <w:rPr>
                <w:rFonts w:hint="eastAsia" w:ascii="宋体" w:hAnsi="宋体" w:eastAsia="宋体" w:cs="宋体"/>
                <w:color w:val="auto"/>
                <w:highlight w:val="none"/>
              </w:rPr>
              <w:t>品质。</w:t>
            </w:r>
          </w:p>
        </w:tc>
        <w:tc>
          <w:tcPr>
            <w:tcW w:w="4710" w:type="dxa"/>
            <w:noWrap w:val="0"/>
            <w:vAlign w:val="center"/>
          </w:tcPr>
          <w:p w14:paraId="2B9DC64B">
            <w:pPr>
              <w:spacing w:line="360" w:lineRule="exact"/>
              <w:rPr>
                <w:rFonts w:ascii="宋体" w:hAnsi="宋体" w:eastAsia="宋体" w:cs="宋体"/>
                <w:color w:val="auto"/>
                <w:highlight w:val="none"/>
              </w:rPr>
            </w:pPr>
            <w:r>
              <w:rPr>
                <w:rFonts w:hint="eastAsia" w:ascii="宋体" w:hAnsi="宋体" w:eastAsia="宋体" w:cs="宋体"/>
                <w:color w:val="auto"/>
                <w:highlight w:val="none"/>
              </w:rPr>
              <w:t>豆腐：颜色为淡黄色或白色；边角完整，不凹凸；口感细嫩，软硬适宜；醇香无杂质、无异味，有生产日期和厂家。</w:t>
            </w:r>
          </w:p>
          <w:p w14:paraId="4009554E">
            <w:pPr>
              <w:spacing w:line="360" w:lineRule="exact"/>
              <w:rPr>
                <w:rFonts w:ascii="宋体" w:hAnsi="宋体" w:eastAsia="宋体" w:cs="宋体"/>
                <w:color w:val="auto"/>
                <w:highlight w:val="none"/>
              </w:rPr>
            </w:pPr>
            <w:r>
              <w:rPr>
                <w:rFonts w:hint="eastAsia" w:ascii="宋体" w:hAnsi="宋体" w:cs="宋体"/>
                <w:color w:val="auto"/>
                <w:highlight w:val="none"/>
                <w:lang w:eastAsia="zh-CN"/>
              </w:rPr>
              <w:t>干</w:t>
            </w:r>
            <w:r>
              <w:rPr>
                <w:rFonts w:hint="eastAsia" w:ascii="宋体" w:hAnsi="宋体" w:eastAsia="宋体" w:cs="宋体"/>
                <w:color w:val="auto"/>
                <w:highlight w:val="none"/>
              </w:rPr>
              <w:t>豆腐：颜色微黄，片状，表面细腻，薄厚均匀；有弹性，不发黏，无杂质，有生产日期和厂家。</w:t>
            </w:r>
          </w:p>
          <w:p w14:paraId="1441C4C4">
            <w:pPr>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三级品：灰黄色较重，无光泽、易碎，筋韧性差，有生产日期和厂家</w:t>
            </w:r>
          </w:p>
        </w:tc>
      </w:tr>
      <w:tr w14:paraId="3D158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trPr>
        <w:tc>
          <w:tcPr>
            <w:tcW w:w="920" w:type="dxa"/>
            <w:noWrap w:val="0"/>
            <w:vAlign w:val="center"/>
          </w:tcPr>
          <w:p w14:paraId="23AD0E97">
            <w:pPr>
              <w:spacing w:line="360" w:lineRule="exact"/>
              <w:jc w:val="center"/>
              <w:rPr>
                <w:rFonts w:ascii="宋体" w:hAnsi="宋体" w:eastAsia="宋体" w:cs="宋体"/>
                <w:color w:val="auto"/>
                <w:highlight w:val="none"/>
              </w:rPr>
            </w:pPr>
            <w:r>
              <w:rPr>
                <w:rFonts w:hint="eastAsia" w:ascii="宋体" w:hAnsi="宋体" w:eastAsia="宋体" w:cs="宋体"/>
                <w:color w:val="auto"/>
                <w:highlight w:val="none"/>
              </w:rPr>
              <w:t>5</w:t>
            </w:r>
          </w:p>
        </w:tc>
        <w:tc>
          <w:tcPr>
            <w:tcW w:w="1380" w:type="dxa"/>
            <w:noWrap w:val="0"/>
            <w:vAlign w:val="center"/>
          </w:tcPr>
          <w:p w14:paraId="03D5E72C">
            <w:pPr>
              <w:spacing w:line="360" w:lineRule="exact"/>
              <w:jc w:val="center"/>
              <w:rPr>
                <w:rFonts w:ascii="宋体" w:hAnsi="宋体" w:eastAsia="宋体" w:cs="宋体"/>
                <w:color w:val="auto"/>
                <w:highlight w:val="none"/>
              </w:rPr>
            </w:pPr>
            <w:r>
              <w:rPr>
                <w:rFonts w:ascii="宋体" w:hAnsi="宋体" w:eastAsia="宋体" w:cs="宋体"/>
                <w:color w:val="auto"/>
                <w:highlight w:val="none"/>
              </w:rPr>
              <w:t>配送</w:t>
            </w:r>
            <w:r>
              <w:rPr>
                <w:rFonts w:hint="eastAsia" w:ascii="宋体" w:hAnsi="宋体" w:eastAsia="宋体" w:cs="宋体"/>
                <w:color w:val="auto"/>
                <w:highlight w:val="none"/>
              </w:rPr>
              <w:t>工具</w:t>
            </w:r>
            <w:r>
              <w:rPr>
                <w:rFonts w:ascii="宋体" w:hAnsi="宋体" w:eastAsia="宋体" w:cs="宋体"/>
                <w:color w:val="auto"/>
                <w:highlight w:val="none"/>
              </w:rPr>
              <w:t>及人员</w:t>
            </w:r>
          </w:p>
        </w:tc>
        <w:tc>
          <w:tcPr>
            <w:tcW w:w="2715" w:type="dxa"/>
            <w:noWrap w:val="0"/>
            <w:vAlign w:val="center"/>
          </w:tcPr>
          <w:p w14:paraId="19717B56">
            <w:pPr>
              <w:spacing w:line="360" w:lineRule="exact"/>
              <w:rPr>
                <w:rFonts w:ascii="宋体" w:hAnsi="宋体" w:eastAsia="宋体" w:cs="宋体"/>
                <w:color w:val="auto"/>
                <w:highlight w:val="none"/>
              </w:rPr>
            </w:pPr>
            <w:r>
              <w:rPr>
                <w:rFonts w:hint="eastAsia" w:ascii="宋体" w:hAnsi="宋体" w:eastAsia="宋体" w:cs="宋体"/>
                <w:color w:val="auto"/>
                <w:highlight w:val="none"/>
              </w:rPr>
              <w:t>1.配送车辆卫生情况。</w:t>
            </w:r>
          </w:p>
          <w:p w14:paraId="203ACB56">
            <w:pPr>
              <w:spacing w:line="360" w:lineRule="exact"/>
              <w:rPr>
                <w:rFonts w:ascii="宋体" w:hAnsi="宋体" w:eastAsia="宋体" w:cs="宋体"/>
                <w:color w:val="auto"/>
                <w:highlight w:val="none"/>
              </w:rPr>
            </w:pPr>
            <w:r>
              <w:rPr>
                <w:rFonts w:hint="eastAsia" w:ascii="宋体" w:hAnsi="宋体" w:eastAsia="宋体" w:cs="宋体"/>
                <w:color w:val="auto"/>
                <w:highlight w:val="none"/>
              </w:rPr>
              <w:t>2.配送车辆防护设施。</w:t>
            </w:r>
          </w:p>
          <w:p w14:paraId="21DEED68">
            <w:pPr>
              <w:spacing w:line="360" w:lineRule="exact"/>
              <w:rPr>
                <w:rFonts w:ascii="宋体" w:hAnsi="宋体" w:eastAsia="宋体" w:cs="宋体"/>
                <w:color w:val="auto"/>
                <w:highlight w:val="none"/>
              </w:rPr>
            </w:pPr>
            <w:r>
              <w:rPr>
                <w:rFonts w:hint="eastAsia" w:ascii="宋体" w:hAnsi="宋体" w:eastAsia="宋体" w:cs="宋体"/>
                <w:color w:val="auto"/>
                <w:highlight w:val="none"/>
              </w:rPr>
              <w:t>3.配送人员卫生情况。</w:t>
            </w:r>
          </w:p>
        </w:tc>
        <w:tc>
          <w:tcPr>
            <w:tcW w:w="4710" w:type="dxa"/>
            <w:noWrap w:val="0"/>
            <w:vAlign w:val="center"/>
          </w:tcPr>
          <w:p w14:paraId="364CBA20">
            <w:pPr>
              <w:spacing w:line="360" w:lineRule="exact"/>
              <w:rPr>
                <w:rFonts w:ascii="宋体" w:hAnsi="宋体" w:eastAsia="宋体" w:cs="宋体"/>
                <w:color w:val="auto"/>
                <w:highlight w:val="none"/>
              </w:rPr>
            </w:pPr>
            <w:r>
              <w:rPr>
                <w:rFonts w:hint="eastAsia" w:ascii="宋体" w:hAnsi="宋体" w:eastAsia="宋体" w:cs="宋体"/>
                <w:color w:val="auto"/>
                <w:highlight w:val="none"/>
              </w:rPr>
              <w:t>1.配送车辆清洁、卫生、无污染，车内无异味，能够定期消毒。</w:t>
            </w:r>
          </w:p>
          <w:p w14:paraId="00E0F2F9">
            <w:pPr>
              <w:spacing w:line="360" w:lineRule="exact"/>
              <w:rPr>
                <w:rFonts w:ascii="宋体" w:hAnsi="宋体" w:eastAsia="宋体" w:cs="宋体"/>
                <w:color w:val="auto"/>
                <w:highlight w:val="none"/>
              </w:rPr>
            </w:pPr>
            <w:r>
              <w:rPr>
                <w:rFonts w:hint="eastAsia" w:ascii="宋体" w:hAnsi="宋体" w:eastAsia="宋体" w:cs="宋体"/>
                <w:color w:val="auto"/>
                <w:highlight w:val="none"/>
              </w:rPr>
              <w:t>2.配送车辆配有防潮、防晒、防尘和防雨设施。</w:t>
            </w:r>
          </w:p>
          <w:p w14:paraId="17DB338B">
            <w:pPr>
              <w:spacing w:line="360" w:lineRule="exact"/>
              <w:rPr>
                <w:rFonts w:ascii="宋体" w:hAnsi="宋体" w:eastAsia="宋体" w:cs="宋体"/>
                <w:color w:val="auto"/>
                <w:highlight w:val="none"/>
              </w:rPr>
            </w:pPr>
            <w:r>
              <w:rPr>
                <w:rFonts w:hint="eastAsia" w:ascii="宋体" w:hAnsi="宋体" w:eastAsia="宋体" w:cs="宋体"/>
                <w:color w:val="auto"/>
                <w:highlight w:val="none"/>
              </w:rPr>
              <w:t>3.配送人员着装整洁，无污渍。</w:t>
            </w:r>
          </w:p>
        </w:tc>
      </w:tr>
    </w:tbl>
    <w:p w14:paraId="0BA85336">
      <w:pPr>
        <w:pStyle w:val="14"/>
        <w:ind w:left="0" w:leftChars="0" w:firstLine="0" w:firstLineChars="0"/>
        <w:rPr>
          <w:rFonts w:hint="eastAsia" w:ascii="宋体" w:hAnsi="宋体" w:eastAsia="宋体" w:cs="宋体"/>
          <w:b/>
          <w:bCs/>
          <w:color w:val="auto"/>
          <w:sz w:val="24"/>
          <w:szCs w:val="28"/>
          <w:highlight w:val="none"/>
          <w:shd w:val="clear" w:color="auto" w:fill="FFFFFF"/>
          <w:lang w:val="en-US" w:eastAsia="zh-CN"/>
        </w:rPr>
      </w:pPr>
    </w:p>
    <w:p w14:paraId="0FD4CACB">
      <w:pPr>
        <w:pStyle w:val="14"/>
        <w:ind w:left="0" w:leftChars="0" w:firstLine="0" w:firstLineChars="0"/>
        <w:rPr>
          <w:rFonts w:hint="eastAsia" w:ascii="宋体" w:hAnsi="宋体" w:eastAsia="宋体" w:cs="宋体"/>
          <w:b/>
          <w:bCs/>
          <w:color w:val="auto"/>
          <w:sz w:val="24"/>
          <w:szCs w:val="28"/>
          <w:highlight w:val="none"/>
          <w:shd w:val="clear" w:color="auto" w:fill="FFFFFF"/>
          <w:lang w:val="en-US" w:eastAsia="zh-CN"/>
        </w:rPr>
      </w:pPr>
    </w:p>
    <w:p w14:paraId="7BA19478">
      <w:pPr>
        <w:pStyle w:val="14"/>
        <w:ind w:left="0" w:leftChars="0" w:firstLine="0" w:firstLineChars="0"/>
        <w:rPr>
          <w:rFonts w:hint="default" w:ascii="宋体" w:hAnsi="宋体" w:eastAsia="宋体" w:cs="宋体"/>
          <w:b/>
          <w:bCs/>
          <w:color w:val="auto"/>
          <w:sz w:val="24"/>
          <w:szCs w:val="28"/>
          <w:highlight w:val="none"/>
          <w:shd w:val="clear" w:color="auto" w:fill="FFFFFF"/>
          <w:lang w:val="en-US" w:eastAsia="zh-CN"/>
        </w:rPr>
      </w:pPr>
      <w:r>
        <w:rPr>
          <w:rFonts w:hint="eastAsia" w:ascii="宋体" w:hAnsi="宋体" w:cs="宋体"/>
          <w:b/>
          <w:bCs/>
          <w:color w:val="auto"/>
          <w:sz w:val="24"/>
          <w:szCs w:val="28"/>
          <w:highlight w:val="none"/>
          <w:shd w:val="clear" w:color="auto" w:fill="FFFFFF"/>
          <w:lang w:val="en-US" w:eastAsia="zh-CN"/>
        </w:rPr>
        <w:t>豆制品类</w:t>
      </w:r>
      <w:r>
        <w:rPr>
          <w:rFonts w:hint="eastAsia" w:ascii="宋体" w:hAnsi="宋体" w:eastAsia="宋体" w:cs="宋体"/>
          <w:b/>
          <w:bCs/>
          <w:color w:val="auto"/>
          <w:sz w:val="24"/>
          <w:szCs w:val="28"/>
          <w:highlight w:val="none"/>
          <w:shd w:val="clear" w:color="auto" w:fill="FFFFFF"/>
          <w:lang w:val="en-US" w:eastAsia="zh-CN"/>
        </w:rPr>
        <w:t>采购预算表:</w:t>
      </w:r>
    </w:p>
    <w:tbl>
      <w:tblPr>
        <w:tblStyle w:val="15"/>
        <w:tblW w:w="9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2220"/>
        <w:gridCol w:w="669"/>
        <w:gridCol w:w="1290"/>
        <w:gridCol w:w="1125"/>
        <w:gridCol w:w="1200"/>
        <w:gridCol w:w="1455"/>
        <w:gridCol w:w="1485"/>
      </w:tblGrid>
      <w:tr w14:paraId="309F8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B5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91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产品名称</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D1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7C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包一参考数量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8F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包二参考数量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89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平均价为最高限价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D9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包一预算金额合计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5F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包二预算金额合计</w:t>
            </w:r>
          </w:p>
        </w:tc>
      </w:tr>
      <w:tr w14:paraId="6FB2A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15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C8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老豆腐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F9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F2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47325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34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47325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A0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4.00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09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189300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07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189300</w:t>
            </w:r>
          </w:p>
        </w:tc>
      </w:tr>
      <w:tr w14:paraId="00CD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86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09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干豆腐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BC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4F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17415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E4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17415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59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9.00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7D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156735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24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156735</w:t>
            </w:r>
          </w:p>
        </w:tc>
      </w:tr>
      <w:tr w14:paraId="7DC68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44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47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干豆腐丝</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57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30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5960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C9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01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10.00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7C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59600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07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59600</w:t>
            </w:r>
          </w:p>
        </w:tc>
      </w:tr>
      <w:tr w14:paraId="69BAC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88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44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豆干</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E9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5B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4830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90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5D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8.00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12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38640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FF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38640</w:t>
            </w:r>
          </w:p>
        </w:tc>
      </w:tr>
      <w:tr w14:paraId="3B244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6D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A3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日本豆腐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5E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42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39765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3C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39765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FB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1.00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30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39765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F9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39765</w:t>
            </w:r>
          </w:p>
        </w:tc>
      </w:tr>
      <w:tr w14:paraId="6BAEC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0E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23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内脂豆腐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27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A8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12110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73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12110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B8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2.80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97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33908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03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33908</w:t>
            </w:r>
          </w:p>
        </w:tc>
      </w:tr>
      <w:tr w14:paraId="6058F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D8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06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素鸡豆腐</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04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1C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3290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53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3290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03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8.00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9D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26320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1C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26320</w:t>
            </w:r>
          </w:p>
        </w:tc>
      </w:tr>
      <w:tr w14:paraId="007B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B8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F8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水豆腐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80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板</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39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5785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AF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5785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A5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25.00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42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144625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A2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144625</w:t>
            </w:r>
          </w:p>
        </w:tc>
      </w:tr>
      <w:tr w14:paraId="70892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62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9B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豆腐泡</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F0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C1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A8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5D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9.00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36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40545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CA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40545</w:t>
            </w:r>
          </w:p>
        </w:tc>
      </w:tr>
      <w:tr w14:paraId="5AD23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69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FE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冻豆腐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EF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A3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4320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C9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3C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2.50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62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BA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10800</w:t>
            </w:r>
          </w:p>
        </w:tc>
      </w:tr>
      <w:tr w14:paraId="1E052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C1E9">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13F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A780">
            <w:pPr>
              <w:jc w:val="center"/>
              <w:rPr>
                <w:rFonts w:hint="eastAsia" w:ascii="宋体" w:hAnsi="宋体" w:eastAsia="宋体" w:cs="宋体"/>
                <w:b/>
                <w:bCs/>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E20C">
            <w:pPr>
              <w:jc w:val="center"/>
              <w:rPr>
                <w:rFonts w:hint="eastAsia" w:ascii="宋体" w:hAnsi="宋体" w:eastAsia="宋体" w:cs="宋体"/>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7AD3">
            <w:pPr>
              <w:jc w:val="center"/>
              <w:rPr>
                <w:rFonts w:hint="eastAsia" w:ascii="宋体" w:hAnsi="宋体" w:eastAsia="宋体" w:cs="宋体"/>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3F02">
            <w:pPr>
              <w:jc w:val="center"/>
              <w:rPr>
                <w:rFonts w:hint="eastAsia" w:ascii="宋体" w:hAnsi="宋体" w:eastAsia="宋体" w:cs="宋体"/>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FC63">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740238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6A29">
            <w:pPr>
              <w:keepNext w:val="0"/>
              <w:keepLines w:val="0"/>
              <w:widowControl/>
              <w:suppressLineNumbers w:val="0"/>
              <w:jc w:val="center"/>
              <w:textAlignment w:val="center"/>
              <w:rPr>
                <w:rFonts w:hint="default" w:ascii="宋体" w:hAnsi="宋体" w:eastAsia="宋体" w:cs="宋体"/>
                <w:b/>
                <w:bCs/>
                <w:i w:val="0"/>
                <w:iCs w:val="0"/>
                <w:color w:val="auto"/>
                <w:sz w:val="20"/>
                <w:szCs w:val="20"/>
                <w:highlight w:val="none"/>
                <w:u w:val="none"/>
                <w:lang w:val="en-US"/>
              </w:rPr>
            </w:pPr>
            <w:r>
              <w:rPr>
                <w:rFonts w:hint="eastAsia" w:ascii="宋体" w:hAnsi="宋体" w:cs="宋体"/>
                <w:i w:val="0"/>
                <w:iCs w:val="0"/>
                <w:color w:val="auto"/>
                <w:kern w:val="0"/>
                <w:sz w:val="22"/>
                <w:szCs w:val="22"/>
                <w:highlight w:val="none"/>
                <w:u w:val="none"/>
                <w:lang w:val="en-US" w:eastAsia="zh-CN" w:bidi="ar"/>
              </w:rPr>
              <w:t>740238</w:t>
            </w:r>
          </w:p>
        </w:tc>
      </w:tr>
    </w:tbl>
    <w:p w14:paraId="067758E8">
      <w:pPr>
        <w:pStyle w:val="14"/>
        <w:ind w:left="0" w:leftChars="0" w:firstLine="0" w:firstLineChars="0"/>
        <w:rPr>
          <w:rFonts w:hint="default" w:ascii="仿宋" w:hAnsi="仿宋" w:eastAsia="仿宋"/>
          <w:color w:val="auto"/>
          <w:sz w:val="24"/>
          <w:szCs w:val="28"/>
          <w:highlight w:val="none"/>
          <w:shd w:val="clear" w:color="auto" w:fill="FFFFFF"/>
          <w:lang w:val="en-US" w:eastAsia="zh-CN"/>
        </w:rPr>
      </w:pPr>
      <w:r>
        <w:rPr>
          <w:rFonts w:hint="eastAsia" w:ascii="宋体" w:hAnsi="宋体" w:eastAsia="宋体" w:cs="宋体"/>
          <w:b/>
          <w:bCs/>
          <w:snapToGrid w:val="0"/>
          <w:color w:val="auto"/>
          <w:position w:val="0"/>
          <w:sz w:val="21"/>
          <w:szCs w:val="21"/>
          <w:highlight w:val="none"/>
          <w:lang w:val="en-US" w:eastAsia="zh-CN"/>
        </w:rPr>
        <w:t>采购数量为预估数量不代表最终采购数量，采购数量以实际结算为准。</w:t>
      </w:r>
    </w:p>
    <w:p w14:paraId="68AD47AB">
      <w:pPr>
        <w:spacing w:line="240" w:lineRule="atLeast"/>
        <w:jc w:val="both"/>
        <w:rPr>
          <w:rFonts w:eastAsia="方正书宋简体"/>
          <w:bCs/>
          <w:color w:val="auto"/>
          <w:szCs w:val="21"/>
          <w:highlight w:val="none"/>
        </w:rPr>
      </w:pPr>
    </w:p>
    <w:sectPr>
      <w:pgSz w:w="11906" w:h="16838"/>
      <w:pgMar w:top="567" w:right="851" w:bottom="567"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B9FE947-1C65-4843-86ED-70783B697F96}"/>
  </w:font>
  <w:font w:name="黑体">
    <w:panose1 w:val="02010609060101010101"/>
    <w:charset w:val="86"/>
    <w:family w:val="auto"/>
    <w:pitch w:val="default"/>
    <w:sig w:usb0="800002BF" w:usb1="38CF7CFA" w:usb2="00000016" w:usb3="00000000" w:csb0="00040001" w:csb1="00000000"/>
    <w:embedRegular r:id="rId2" w:fontKey="{F9CE6E3C-0703-4599-B44B-95C219609B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3" w:fontKey="{424092C1-0C9F-4560-B43A-85F55C430584}"/>
  </w:font>
  <w:font w:name="华文仿宋">
    <w:panose1 w:val="02010600040101010101"/>
    <w:charset w:val="86"/>
    <w:family w:val="auto"/>
    <w:pitch w:val="default"/>
    <w:sig w:usb0="00000287" w:usb1="080F0000" w:usb2="00000000" w:usb3="00000000" w:csb0="0004009F" w:csb1="DFD70000"/>
    <w:embedRegular r:id="rId4" w:fontKey="{61A525AB-7947-4404-9CAE-F89FAACC0D7A}"/>
  </w:font>
  <w:font w:name="Malgun Gothic">
    <w:panose1 w:val="020B0503020000020004"/>
    <w:charset w:val="81"/>
    <w:family w:val="swiss"/>
    <w:pitch w:val="default"/>
    <w:sig w:usb0="9000002F" w:usb1="29D77CFB" w:usb2="00000012" w:usb3="00000000" w:csb0="00080001" w:csb1="00000000"/>
    <w:embedRegular r:id="rId5" w:fontKey="{EA43AC25-021C-43A6-8E3F-1BA42AA473FB}"/>
  </w:font>
  <w:font w:name="MS Gothic">
    <w:panose1 w:val="020B0609070205080204"/>
    <w:charset w:val="80"/>
    <w:family w:val="modern"/>
    <w:pitch w:val="default"/>
    <w:sig w:usb0="E00002FF" w:usb1="6AC7FDFB" w:usb2="08000012" w:usb3="00000000" w:csb0="4002009F" w:csb1="DFD70000"/>
    <w:embedRegular r:id="rId6" w:fontKey="{586DFF12-CB19-4028-A193-62A08DA650C0}"/>
  </w:font>
  <w:font w:name="方正书宋简体">
    <w:altName w:val="微软雅黑"/>
    <w:panose1 w:val="00000000000000000000"/>
    <w:charset w:val="86"/>
    <w:family w:val="auto"/>
    <w:pitch w:val="default"/>
    <w:sig w:usb0="00000000" w:usb1="00000000" w:usb2="00000012" w:usb3="00000000" w:csb0="00040001" w:csb1="00000000"/>
    <w:embedRegular r:id="rId7" w:fontKey="{FBE0EA0B-7463-4EC5-B733-7500A96B41F2}"/>
  </w:font>
  <w:font w:name="仿宋">
    <w:panose1 w:val="02010609060101010101"/>
    <w:charset w:val="86"/>
    <w:family w:val="modern"/>
    <w:pitch w:val="default"/>
    <w:sig w:usb0="800002BF" w:usb1="38CF7CFA" w:usb2="00000016" w:usb3="00000000" w:csb0="00040001" w:csb1="00000000"/>
    <w:embedRegular r:id="rId8" w:fontKey="{BC74A463-FE83-4B01-BD5A-91063B99F3C2}"/>
  </w:font>
  <w:font w:name="方正仿宋简体">
    <w:panose1 w:val="02000000000000000000"/>
    <w:charset w:val="86"/>
    <w:family w:val="script"/>
    <w:pitch w:val="default"/>
    <w:sig w:usb0="A00002BF" w:usb1="184F6CFA" w:usb2="00000012" w:usb3="00000000" w:csb0="00040001" w:csb1="00000000"/>
  </w:font>
  <w:font w:name="___WRD_EMBED_SUB_45">
    <w:panose1 w:val="02000000000000000000"/>
    <w:charset w:val="86"/>
    <w:family w:val="auto"/>
    <w:pitch w:val="default"/>
    <w:sig w:usb0="A00002BF" w:usb1="184F6CFA" w:usb2="00000012" w:usb3="00000000" w:csb0="00040001" w:csb1="00000000"/>
  </w:font>
  <w:font w:name="Segoe UI Symbol">
    <w:panose1 w:val="020B0502040204020203"/>
    <w:charset w:val="00"/>
    <w:family w:val="swiss"/>
    <w:pitch w:val="default"/>
    <w:sig w:usb0="800001E3" w:usb1="1200FFEF" w:usb2="00040000" w:usb3="04000000" w:csb0="00000001" w:csb1="40000000"/>
  </w:font>
  <w:font w:name="___WRD_EMBED_SUB_47">
    <w:altName w:val="微软雅黑"/>
    <w:panose1 w:val="00000000000000000000"/>
    <w:charset w:val="86"/>
    <w:family w:val="auto"/>
    <w:pitch w:val="default"/>
    <w:sig w:usb0="00000000" w:usb1="00000000" w:usb2="00000012" w:usb3="00000000" w:csb0="00040001" w:csb1="00000000"/>
  </w:font>
  <w:font w:name="KSOF05ACE555">
    <w:panose1 w:val="020B0503020204020204"/>
    <w:charset w:val="86"/>
    <w:family w:val="auto"/>
    <w:pitch w:val="default"/>
    <w:sig w:usb0="00000001" w:usb1="00000000" w:usb2="00000000" w:usb3="00000000" w:csb0="00040001" w:csb1="00000000"/>
  </w:font>
  <w:font w:name="WPSEMBED1">
    <w:panose1 w:val="02000000000000000000"/>
    <w:charset w:val="86"/>
    <w:family w:val="auto"/>
    <w:pitch w:val="default"/>
    <w:sig w:usb0="A00002BF" w:usb1="184F6CFA" w:usb2="00000012" w:usb3="00000000" w:csb0="00040001" w:csb1="00000000"/>
  </w:font>
  <w:font w:name="WPSEMBED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587722"/>
    <w:multiLevelType w:val="multilevel"/>
    <w:tmpl w:val="6758772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1NzBhMzQ0NjllNjg5ZDg1NWMxOWQwMWJkNDdjNzcifQ=="/>
  </w:docVars>
  <w:rsids>
    <w:rsidRoot w:val="00172A27"/>
    <w:rsid w:val="00000C51"/>
    <w:rsid w:val="000108CA"/>
    <w:rsid w:val="00014BE7"/>
    <w:rsid w:val="00027E06"/>
    <w:rsid w:val="00030591"/>
    <w:rsid w:val="00030BA1"/>
    <w:rsid w:val="00032BB5"/>
    <w:rsid w:val="00036451"/>
    <w:rsid w:val="00046784"/>
    <w:rsid w:val="000509D6"/>
    <w:rsid w:val="00053646"/>
    <w:rsid w:val="000634A1"/>
    <w:rsid w:val="00075E39"/>
    <w:rsid w:val="00083886"/>
    <w:rsid w:val="0009129F"/>
    <w:rsid w:val="00093C77"/>
    <w:rsid w:val="000950C8"/>
    <w:rsid w:val="000A1E31"/>
    <w:rsid w:val="000B4507"/>
    <w:rsid w:val="000B4B54"/>
    <w:rsid w:val="000B7FA1"/>
    <w:rsid w:val="000C7B1A"/>
    <w:rsid w:val="000D0BBB"/>
    <w:rsid w:val="000D1B60"/>
    <w:rsid w:val="000D3FF7"/>
    <w:rsid w:val="000E00FF"/>
    <w:rsid w:val="000E5A84"/>
    <w:rsid w:val="000E6EAF"/>
    <w:rsid w:val="000E7218"/>
    <w:rsid w:val="000F43E7"/>
    <w:rsid w:val="0011610C"/>
    <w:rsid w:val="00122535"/>
    <w:rsid w:val="001245B3"/>
    <w:rsid w:val="001246F2"/>
    <w:rsid w:val="00124A02"/>
    <w:rsid w:val="00131E0F"/>
    <w:rsid w:val="00140269"/>
    <w:rsid w:val="0014200B"/>
    <w:rsid w:val="00172A27"/>
    <w:rsid w:val="00174C47"/>
    <w:rsid w:val="00177A73"/>
    <w:rsid w:val="0018052E"/>
    <w:rsid w:val="0019010C"/>
    <w:rsid w:val="001A0E8A"/>
    <w:rsid w:val="001A2B0B"/>
    <w:rsid w:val="001C01D2"/>
    <w:rsid w:val="001C1775"/>
    <w:rsid w:val="001D0CC5"/>
    <w:rsid w:val="001D4936"/>
    <w:rsid w:val="001D595B"/>
    <w:rsid w:val="001E1098"/>
    <w:rsid w:val="001E3019"/>
    <w:rsid w:val="001E512D"/>
    <w:rsid w:val="001F10FE"/>
    <w:rsid w:val="001F24E3"/>
    <w:rsid w:val="001F3C78"/>
    <w:rsid w:val="001F598D"/>
    <w:rsid w:val="00200DE6"/>
    <w:rsid w:val="00202B63"/>
    <w:rsid w:val="00216AC7"/>
    <w:rsid w:val="00230F5B"/>
    <w:rsid w:val="0023162A"/>
    <w:rsid w:val="0023478A"/>
    <w:rsid w:val="0023623D"/>
    <w:rsid w:val="002407FC"/>
    <w:rsid w:val="00244F9B"/>
    <w:rsid w:val="00245C74"/>
    <w:rsid w:val="0025250D"/>
    <w:rsid w:val="002654E2"/>
    <w:rsid w:val="00267C45"/>
    <w:rsid w:val="00270AF8"/>
    <w:rsid w:val="00270F32"/>
    <w:rsid w:val="00274FC2"/>
    <w:rsid w:val="00296C13"/>
    <w:rsid w:val="002B5EBC"/>
    <w:rsid w:val="002C2876"/>
    <w:rsid w:val="002D514B"/>
    <w:rsid w:val="002F2D28"/>
    <w:rsid w:val="002F3391"/>
    <w:rsid w:val="00304465"/>
    <w:rsid w:val="0030537A"/>
    <w:rsid w:val="0031188D"/>
    <w:rsid w:val="00314921"/>
    <w:rsid w:val="00317326"/>
    <w:rsid w:val="00317BAB"/>
    <w:rsid w:val="00320DCA"/>
    <w:rsid w:val="00323BF4"/>
    <w:rsid w:val="003240BE"/>
    <w:rsid w:val="00326740"/>
    <w:rsid w:val="00334020"/>
    <w:rsid w:val="00335098"/>
    <w:rsid w:val="00336DEA"/>
    <w:rsid w:val="00342AE1"/>
    <w:rsid w:val="00343677"/>
    <w:rsid w:val="0034545A"/>
    <w:rsid w:val="0035152B"/>
    <w:rsid w:val="00357A1F"/>
    <w:rsid w:val="00365D86"/>
    <w:rsid w:val="00371C2D"/>
    <w:rsid w:val="003815E8"/>
    <w:rsid w:val="00387BA9"/>
    <w:rsid w:val="00396A65"/>
    <w:rsid w:val="003A1239"/>
    <w:rsid w:val="003A1DAC"/>
    <w:rsid w:val="003B01C8"/>
    <w:rsid w:val="003C5007"/>
    <w:rsid w:val="003D25D3"/>
    <w:rsid w:val="003D422A"/>
    <w:rsid w:val="003D70D3"/>
    <w:rsid w:val="003F142D"/>
    <w:rsid w:val="003F2B14"/>
    <w:rsid w:val="00404583"/>
    <w:rsid w:val="0041040D"/>
    <w:rsid w:val="00411658"/>
    <w:rsid w:val="0041744B"/>
    <w:rsid w:val="004202F3"/>
    <w:rsid w:val="004219AB"/>
    <w:rsid w:val="00425A12"/>
    <w:rsid w:val="00425D1D"/>
    <w:rsid w:val="00430F2C"/>
    <w:rsid w:val="004407D9"/>
    <w:rsid w:val="00441077"/>
    <w:rsid w:val="0045292E"/>
    <w:rsid w:val="004555CC"/>
    <w:rsid w:val="00461FCC"/>
    <w:rsid w:val="004625D7"/>
    <w:rsid w:val="00466042"/>
    <w:rsid w:val="00467804"/>
    <w:rsid w:val="004819EB"/>
    <w:rsid w:val="00492AAE"/>
    <w:rsid w:val="00497C5A"/>
    <w:rsid w:val="004A1D9E"/>
    <w:rsid w:val="004A6B6E"/>
    <w:rsid w:val="004A7B5F"/>
    <w:rsid w:val="004B70F9"/>
    <w:rsid w:val="004D0840"/>
    <w:rsid w:val="004D7B8E"/>
    <w:rsid w:val="004E1EDD"/>
    <w:rsid w:val="004E3D63"/>
    <w:rsid w:val="004E4AFF"/>
    <w:rsid w:val="004F1C33"/>
    <w:rsid w:val="00500508"/>
    <w:rsid w:val="00507DFD"/>
    <w:rsid w:val="005148EF"/>
    <w:rsid w:val="00515AFB"/>
    <w:rsid w:val="005236AF"/>
    <w:rsid w:val="00546A9F"/>
    <w:rsid w:val="00550099"/>
    <w:rsid w:val="005546AD"/>
    <w:rsid w:val="00564491"/>
    <w:rsid w:val="00566FBA"/>
    <w:rsid w:val="00571965"/>
    <w:rsid w:val="00580869"/>
    <w:rsid w:val="00580CEF"/>
    <w:rsid w:val="00582929"/>
    <w:rsid w:val="0059399C"/>
    <w:rsid w:val="005B7754"/>
    <w:rsid w:val="005B7BAC"/>
    <w:rsid w:val="005C1B38"/>
    <w:rsid w:val="005D1037"/>
    <w:rsid w:val="005E314D"/>
    <w:rsid w:val="005E387F"/>
    <w:rsid w:val="005E7D5A"/>
    <w:rsid w:val="005F1D66"/>
    <w:rsid w:val="0060271E"/>
    <w:rsid w:val="00602E4A"/>
    <w:rsid w:val="00605C22"/>
    <w:rsid w:val="00614A21"/>
    <w:rsid w:val="00630C37"/>
    <w:rsid w:val="00634DEC"/>
    <w:rsid w:val="006549F6"/>
    <w:rsid w:val="00666DE3"/>
    <w:rsid w:val="006673A4"/>
    <w:rsid w:val="00672C9C"/>
    <w:rsid w:val="00675D20"/>
    <w:rsid w:val="00683874"/>
    <w:rsid w:val="006845C0"/>
    <w:rsid w:val="006877FF"/>
    <w:rsid w:val="00692483"/>
    <w:rsid w:val="006A2B4B"/>
    <w:rsid w:val="006A6B9F"/>
    <w:rsid w:val="006C435F"/>
    <w:rsid w:val="006C6A7C"/>
    <w:rsid w:val="006D085F"/>
    <w:rsid w:val="006D71B0"/>
    <w:rsid w:val="006E33B5"/>
    <w:rsid w:val="00704493"/>
    <w:rsid w:val="00705D7F"/>
    <w:rsid w:val="0070661D"/>
    <w:rsid w:val="007067AC"/>
    <w:rsid w:val="007131E7"/>
    <w:rsid w:val="00723DDD"/>
    <w:rsid w:val="00726905"/>
    <w:rsid w:val="0073152B"/>
    <w:rsid w:val="00753D9D"/>
    <w:rsid w:val="00774D03"/>
    <w:rsid w:val="00777740"/>
    <w:rsid w:val="00780A04"/>
    <w:rsid w:val="007820ED"/>
    <w:rsid w:val="007876CB"/>
    <w:rsid w:val="00796B84"/>
    <w:rsid w:val="007A4892"/>
    <w:rsid w:val="007A4D9B"/>
    <w:rsid w:val="007C0D4B"/>
    <w:rsid w:val="007C4A7B"/>
    <w:rsid w:val="007C5F54"/>
    <w:rsid w:val="007C6639"/>
    <w:rsid w:val="007D0C0C"/>
    <w:rsid w:val="007D3CA2"/>
    <w:rsid w:val="007D3FA3"/>
    <w:rsid w:val="007E5E04"/>
    <w:rsid w:val="007F1BEF"/>
    <w:rsid w:val="008020D5"/>
    <w:rsid w:val="00813CD3"/>
    <w:rsid w:val="0081634D"/>
    <w:rsid w:val="00816D98"/>
    <w:rsid w:val="008321EB"/>
    <w:rsid w:val="00834635"/>
    <w:rsid w:val="00840B10"/>
    <w:rsid w:val="00842BFA"/>
    <w:rsid w:val="00852DA6"/>
    <w:rsid w:val="008539FC"/>
    <w:rsid w:val="00863B58"/>
    <w:rsid w:val="008645AE"/>
    <w:rsid w:val="008725E9"/>
    <w:rsid w:val="00876530"/>
    <w:rsid w:val="008775E6"/>
    <w:rsid w:val="008A33ED"/>
    <w:rsid w:val="008B1E76"/>
    <w:rsid w:val="008B6AB6"/>
    <w:rsid w:val="008C2879"/>
    <w:rsid w:val="008C63D0"/>
    <w:rsid w:val="008D28FD"/>
    <w:rsid w:val="008D2CE0"/>
    <w:rsid w:val="008D4DF3"/>
    <w:rsid w:val="008D731E"/>
    <w:rsid w:val="008F4352"/>
    <w:rsid w:val="00902EA9"/>
    <w:rsid w:val="00902F82"/>
    <w:rsid w:val="00903590"/>
    <w:rsid w:val="009105A0"/>
    <w:rsid w:val="00910DC5"/>
    <w:rsid w:val="00914A48"/>
    <w:rsid w:val="009167F4"/>
    <w:rsid w:val="0093475B"/>
    <w:rsid w:val="00946B65"/>
    <w:rsid w:val="00946E76"/>
    <w:rsid w:val="00961D5A"/>
    <w:rsid w:val="0097222F"/>
    <w:rsid w:val="00975595"/>
    <w:rsid w:val="009813EB"/>
    <w:rsid w:val="00981F20"/>
    <w:rsid w:val="0098391B"/>
    <w:rsid w:val="00985F61"/>
    <w:rsid w:val="00993408"/>
    <w:rsid w:val="009958AB"/>
    <w:rsid w:val="009A5DA7"/>
    <w:rsid w:val="009A6FE3"/>
    <w:rsid w:val="009A7E53"/>
    <w:rsid w:val="009B0B8E"/>
    <w:rsid w:val="009B3397"/>
    <w:rsid w:val="009B385F"/>
    <w:rsid w:val="009C28A2"/>
    <w:rsid w:val="009C4A63"/>
    <w:rsid w:val="009C657C"/>
    <w:rsid w:val="009C7936"/>
    <w:rsid w:val="009D684F"/>
    <w:rsid w:val="009D754F"/>
    <w:rsid w:val="009F229B"/>
    <w:rsid w:val="00A03997"/>
    <w:rsid w:val="00A068D0"/>
    <w:rsid w:val="00A14FC0"/>
    <w:rsid w:val="00A21FB1"/>
    <w:rsid w:val="00A32E0E"/>
    <w:rsid w:val="00A40B1A"/>
    <w:rsid w:val="00A416FF"/>
    <w:rsid w:val="00A50083"/>
    <w:rsid w:val="00A53687"/>
    <w:rsid w:val="00A61EC4"/>
    <w:rsid w:val="00A6292B"/>
    <w:rsid w:val="00A64FD1"/>
    <w:rsid w:val="00A65569"/>
    <w:rsid w:val="00A804EC"/>
    <w:rsid w:val="00A823AD"/>
    <w:rsid w:val="00A84468"/>
    <w:rsid w:val="00A84F20"/>
    <w:rsid w:val="00A8789E"/>
    <w:rsid w:val="00A915BC"/>
    <w:rsid w:val="00A91770"/>
    <w:rsid w:val="00A9701D"/>
    <w:rsid w:val="00AA3010"/>
    <w:rsid w:val="00AA6D55"/>
    <w:rsid w:val="00AB09D5"/>
    <w:rsid w:val="00AB19EA"/>
    <w:rsid w:val="00AB3356"/>
    <w:rsid w:val="00AD2D71"/>
    <w:rsid w:val="00AD2DC5"/>
    <w:rsid w:val="00AE089F"/>
    <w:rsid w:val="00AE4533"/>
    <w:rsid w:val="00AE7A9E"/>
    <w:rsid w:val="00AF3AE5"/>
    <w:rsid w:val="00AF6A2F"/>
    <w:rsid w:val="00AF7B70"/>
    <w:rsid w:val="00B05252"/>
    <w:rsid w:val="00B14F7B"/>
    <w:rsid w:val="00B15989"/>
    <w:rsid w:val="00B17802"/>
    <w:rsid w:val="00B20FF0"/>
    <w:rsid w:val="00B224C0"/>
    <w:rsid w:val="00B264EA"/>
    <w:rsid w:val="00B32F62"/>
    <w:rsid w:val="00B3422B"/>
    <w:rsid w:val="00B351BE"/>
    <w:rsid w:val="00B35F76"/>
    <w:rsid w:val="00B36936"/>
    <w:rsid w:val="00B412B4"/>
    <w:rsid w:val="00B4289E"/>
    <w:rsid w:val="00B44078"/>
    <w:rsid w:val="00B47FD0"/>
    <w:rsid w:val="00B508F7"/>
    <w:rsid w:val="00B61BCE"/>
    <w:rsid w:val="00B61ED4"/>
    <w:rsid w:val="00B638CF"/>
    <w:rsid w:val="00B6592B"/>
    <w:rsid w:val="00B77BB2"/>
    <w:rsid w:val="00B929BC"/>
    <w:rsid w:val="00B94EF1"/>
    <w:rsid w:val="00BA0D0A"/>
    <w:rsid w:val="00BA1216"/>
    <w:rsid w:val="00BB4743"/>
    <w:rsid w:val="00BC3A92"/>
    <w:rsid w:val="00BC748C"/>
    <w:rsid w:val="00BD1DBF"/>
    <w:rsid w:val="00BD6102"/>
    <w:rsid w:val="00BD6EA7"/>
    <w:rsid w:val="00BE0C0C"/>
    <w:rsid w:val="00BE3A54"/>
    <w:rsid w:val="00BE6129"/>
    <w:rsid w:val="00BE72FB"/>
    <w:rsid w:val="00C16D29"/>
    <w:rsid w:val="00C237C2"/>
    <w:rsid w:val="00C26387"/>
    <w:rsid w:val="00C504CA"/>
    <w:rsid w:val="00C53B4B"/>
    <w:rsid w:val="00C546F9"/>
    <w:rsid w:val="00C5767E"/>
    <w:rsid w:val="00C57FF9"/>
    <w:rsid w:val="00C6517D"/>
    <w:rsid w:val="00C71474"/>
    <w:rsid w:val="00C75686"/>
    <w:rsid w:val="00C76C61"/>
    <w:rsid w:val="00C77CEE"/>
    <w:rsid w:val="00C802C8"/>
    <w:rsid w:val="00C811D6"/>
    <w:rsid w:val="00C83355"/>
    <w:rsid w:val="00C8375D"/>
    <w:rsid w:val="00C84424"/>
    <w:rsid w:val="00C84CE0"/>
    <w:rsid w:val="00C8733B"/>
    <w:rsid w:val="00C877A0"/>
    <w:rsid w:val="00C97ABC"/>
    <w:rsid w:val="00CA0269"/>
    <w:rsid w:val="00CA73BE"/>
    <w:rsid w:val="00CB4B35"/>
    <w:rsid w:val="00CD3B15"/>
    <w:rsid w:val="00CE5CDD"/>
    <w:rsid w:val="00CF12A1"/>
    <w:rsid w:val="00CF4A1A"/>
    <w:rsid w:val="00CF7107"/>
    <w:rsid w:val="00D017C4"/>
    <w:rsid w:val="00D02435"/>
    <w:rsid w:val="00D02915"/>
    <w:rsid w:val="00D075A8"/>
    <w:rsid w:val="00D21D7B"/>
    <w:rsid w:val="00D3104F"/>
    <w:rsid w:val="00D32725"/>
    <w:rsid w:val="00D32FBB"/>
    <w:rsid w:val="00D35DF5"/>
    <w:rsid w:val="00D4012F"/>
    <w:rsid w:val="00D450B2"/>
    <w:rsid w:val="00D511E6"/>
    <w:rsid w:val="00D5388B"/>
    <w:rsid w:val="00D64006"/>
    <w:rsid w:val="00D667F3"/>
    <w:rsid w:val="00D67F04"/>
    <w:rsid w:val="00D705ED"/>
    <w:rsid w:val="00D8072D"/>
    <w:rsid w:val="00D81838"/>
    <w:rsid w:val="00D82AEE"/>
    <w:rsid w:val="00D90833"/>
    <w:rsid w:val="00DA32C0"/>
    <w:rsid w:val="00DB09F3"/>
    <w:rsid w:val="00DB0EB8"/>
    <w:rsid w:val="00DB1C8A"/>
    <w:rsid w:val="00DB3BF6"/>
    <w:rsid w:val="00DB4693"/>
    <w:rsid w:val="00DC1AFD"/>
    <w:rsid w:val="00DC4B23"/>
    <w:rsid w:val="00DC5EA8"/>
    <w:rsid w:val="00DD0B0B"/>
    <w:rsid w:val="00DD1803"/>
    <w:rsid w:val="00DE1FD6"/>
    <w:rsid w:val="00DE3EB8"/>
    <w:rsid w:val="00DE7414"/>
    <w:rsid w:val="00DF55FB"/>
    <w:rsid w:val="00E03A6D"/>
    <w:rsid w:val="00E24FBF"/>
    <w:rsid w:val="00E31C6B"/>
    <w:rsid w:val="00E338FD"/>
    <w:rsid w:val="00E340BD"/>
    <w:rsid w:val="00E373C5"/>
    <w:rsid w:val="00E42BAE"/>
    <w:rsid w:val="00E440D1"/>
    <w:rsid w:val="00E460BB"/>
    <w:rsid w:val="00E57730"/>
    <w:rsid w:val="00E623E3"/>
    <w:rsid w:val="00E63015"/>
    <w:rsid w:val="00E63932"/>
    <w:rsid w:val="00E71AC8"/>
    <w:rsid w:val="00E816B8"/>
    <w:rsid w:val="00E83F18"/>
    <w:rsid w:val="00E9060B"/>
    <w:rsid w:val="00E93CAA"/>
    <w:rsid w:val="00E9706A"/>
    <w:rsid w:val="00EA7844"/>
    <w:rsid w:val="00EB2E7D"/>
    <w:rsid w:val="00EB7531"/>
    <w:rsid w:val="00ED0302"/>
    <w:rsid w:val="00ED6B4F"/>
    <w:rsid w:val="00EE7DBB"/>
    <w:rsid w:val="00EF273F"/>
    <w:rsid w:val="00EF7766"/>
    <w:rsid w:val="00F012EE"/>
    <w:rsid w:val="00F02ACD"/>
    <w:rsid w:val="00F1343F"/>
    <w:rsid w:val="00F20F7E"/>
    <w:rsid w:val="00F25A8B"/>
    <w:rsid w:val="00F25F5E"/>
    <w:rsid w:val="00F265BC"/>
    <w:rsid w:val="00F357E6"/>
    <w:rsid w:val="00F371E3"/>
    <w:rsid w:val="00F40859"/>
    <w:rsid w:val="00F47D35"/>
    <w:rsid w:val="00F5140B"/>
    <w:rsid w:val="00F55D34"/>
    <w:rsid w:val="00F56C19"/>
    <w:rsid w:val="00F571C6"/>
    <w:rsid w:val="00F62B16"/>
    <w:rsid w:val="00F726CE"/>
    <w:rsid w:val="00F72BA4"/>
    <w:rsid w:val="00F73F8F"/>
    <w:rsid w:val="00F74019"/>
    <w:rsid w:val="00F75437"/>
    <w:rsid w:val="00F8289B"/>
    <w:rsid w:val="00F8399F"/>
    <w:rsid w:val="00F86175"/>
    <w:rsid w:val="00F91E9E"/>
    <w:rsid w:val="00FA27AF"/>
    <w:rsid w:val="00FA6E05"/>
    <w:rsid w:val="00FB777D"/>
    <w:rsid w:val="00FC1448"/>
    <w:rsid w:val="00FC1A45"/>
    <w:rsid w:val="00FC474E"/>
    <w:rsid w:val="00FD7BAB"/>
    <w:rsid w:val="00FE2A03"/>
    <w:rsid w:val="00FF5967"/>
    <w:rsid w:val="00FF7F1D"/>
    <w:rsid w:val="02BA4D88"/>
    <w:rsid w:val="03057805"/>
    <w:rsid w:val="03C04B79"/>
    <w:rsid w:val="06984C78"/>
    <w:rsid w:val="086D5ABE"/>
    <w:rsid w:val="08D55BC6"/>
    <w:rsid w:val="0949065C"/>
    <w:rsid w:val="099604D3"/>
    <w:rsid w:val="0BB9791B"/>
    <w:rsid w:val="0E5A499A"/>
    <w:rsid w:val="0F0532DD"/>
    <w:rsid w:val="0F5C2E56"/>
    <w:rsid w:val="0F9720FB"/>
    <w:rsid w:val="118536E7"/>
    <w:rsid w:val="11935B4F"/>
    <w:rsid w:val="11A42AEF"/>
    <w:rsid w:val="12FC5EBD"/>
    <w:rsid w:val="13134DF8"/>
    <w:rsid w:val="151F6812"/>
    <w:rsid w:val="15313BF0"/>
    <w:rsid w:val="169C6FC7"/>
    <w:rsid w:val="16E00B16"/>
    <w:rsid w:val="1784068F"/>
    <w:rsid w:val="18D51207"/>
    <w:rsid w:val="195534D9"/>
    <w:rsid w:val="195725A1"/>
    <w:rsid w:val="1A7C4DE9"/>
    <w:rsid w:val="1F856229"/>
    <w:rsid w:val="1FA72731"/>
    <w:rsid w:val="2231368E"/>
    <w:rsid w:val="23414C40"/>
    <w:rsid w:val="24970489"/>
    <w:rsid w:val="259A27D2"/>
    <w:rsid w:val="26244CDB"/>
    <w:rsid w:val="27AC76CB"/>
    <w:rsid w:val="27DB23D5"/>
    <w:rsid w:val="286417F2"/>
    <w:rsid w:val="289D4D41"/>
    <w:rsid w:val="28AF07D3"/>
    <w:rsid w:val="293B2F77"/>
    <w:rsid w:val="2CBE4035"/>
    <w:rsid w:val="2D4078AA"/>
    <w:rsid w:val="2F7D5603"/>
    <w:rsid w:val="36522344"/>
    <w:rsid w:val="37742EB2"/>
    <w:rsid w:val="379D62D0"/>
    <w:rsid w:val="38F57FF1"/>
    <w:rsid w:val="39E6508D"/>
    <w:rsid w:val="3E091FD3"/>
    <w:rsid w:val="3E564821"/>
    <w:rsid w:val="3FD122AB"/>
    <w:rsid w:val="41A05B22"/>
    <w:rsid w:val="41B03F53"/>
    <w:rsid w:val="42473211"/>
    <w:rsid w:val="43257827"/>
    <w:rsid w:val="43952783"/>
    <w:rsid w:val="440E2C9F"/>
    <w:rsid w:val="441B0510"/>
    <w:rsid w:val="4492335F"/>
    <w:rsid w:val="44C13AED"/>
    <w:rsid w:val="44F4071C"/>
    <w:rsid w:val="45381B9D"/>
    <w:rsid w:val="46C81B7C"/>
    <w:rsid w:val="47CE1BFA"/>
    <w:rsid w:val="49072A2C"/>
    <w:rsid w:val="49117305"/>
    <w:rsid w:val="4B713F58"/>
    <w:rsid w:val="4C7372E0"/>
    <w:rsid w:val="4CB71F22"/>
    <w:rsid w:val="4CD01F92"/>
    <w:rsid w:val="4E801EC0"/>
    <w:rsid w:val="4EBB5D45"/>
    <w:rsid w:val="4F1310AC"/>
    <w:rsid w:val="4F6B4A26"/>
    <w:rsid w:val="4FEF3000"/>
    <w:rsid w:val="507B037E"/>
    <w:rsid w:val="50B22E2A"/>
    <w:rsid w:val="50D157DE"/>
    <w:rsid w:val="515E3F9E"/>
    <w:rsid w:val="52883CC9"/>
    <w:rsid w:val="530535EB"/>
    <w:rsid w:val="5340527A"/>
    <w:rsid w:val="54330AC6"/>
    <w:rsid w:val="54753AB2"/>
    <w:rsid w:val="54D70818"/>
    <w:rsid w:val="557F51FE"/>
    <w:rsid w:val="55844786"/>
    <w:rsid w:val="55A758F6"/>
    <w:rsid w:val="56884912"/>
    <w:rsid w:val="57F86260"/>
    <w:rsid w:val="58134E48"/>
    <w:rsid w:val="59023C0E"/>
    <w:rsid w:val="5B3470B9"/>
    <w:rsid w:val="5B5E287E"/>
    <w:rsid w:val="5B616CFB"/>
    <w:rsid w:val="5B8C6F42"/>
    <w:rsid w:val="5DA467A1"/>
    <w:rsid w:val="5E6D4368"/>
    <w:rsid w:val="5EEA0EA4"/>
    <w:rsid w:val="602E4E61"/>
    <w:rsid w:val="611C7A9F"/>
    <w:rsid w:val="612334B8"/>
    <w:rsid w:val="6136038F"/>
    <w:rsid w:val="618E19BD"/>
    <w:rsid w:val="62584602"/>
    <w:rsid w:val="62951E3F"/>
    <w:rsid w:val="63D3192F"/>
    <w:rsid w:val="63E27403"/>
    <w:rsid w:val="65145537"/>
    <w:rsid w:val="6561472B"/>
    <w:rsid w:val="6EC82673"/>
    <w:rsid w:val="6F067491"/>
    <w:rsid w:val="6FEF3A77"/>
    <w:rsid w:val="739329B0"/>
    <w:rsid w:val="74842B2E"/>
    <w:rsid w:val="764A4429"/>
    <w:rsid w:val="76635541"/>
    <w:rsid w:val="77E912C9"/>
    <w:rsid w:val="785E5813"/>
    <w:rsid w:val="78FF6F81"/>
    <w:rsid w:val="7A0A77F2"/>
    <w:rsid w:val="7DE30074"/>
    <w:rsid w:val="7F3D2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widowControl/>
      <w:jc w:val="left"/>
    </w:pPr>
    <w:rPr>
      <w:rFonts w:ascii="宋体" w:hAnsi="宋体"/>
      <w:b/>
      <w:bCs/>
      <w:sz w:val="24"/>
      <w:szCs w:val="20"/>
    </w:rPr>
  </w:style>
  <w:style w:type="paragraph" w:styleId="6">
    <w:name w:val="Body Text Indent"/>
    <w:basedOn w:val="1"/>
    <w:qFormat/>
    <w:uiPriority w:val="0"/>
    <w:pPr>
      <w:spacing w:after="120"/>
      <w:ind w:left="420" w:leftChars="200"/>
    </w:pPr>
    <w:rPr>
      <w:rFonts w:ascii="Times New Roman" w:hAnsi="Times New Roman"/>
      <w:sz w:val="21"/>
    </w:rPr>
  </w:style>
  <w:style w:type="paragraph" w:styleId="7">
    <w:name w:val="Plain Text"/>
    <w:basedOn w:val="1"/>
    <w:qFormat/>
    <w:uiPriority w:val="0"/>
    <w:rPr>
      <w:rFonts w:ascii="宋体" w:hAnsi="Courier New"/>
    </w:rPr>
  </w:style>
  <w:style w:type="paragraph" w:styleId="8">
    <w:name w:val="Balloon Text"/>
    <w:basedOn w:val="1"/>
    <w:semiHidden/>
    <w:qFormat/>
    <w:uiPriority w:val="0"/>
    <w:rPr>
      <w:sz w:val="18"/>
      <w:szCs w:val="18"/>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paragraph" w:styleId="13">
    <w:name w:val="Body Text First Indent"/>
    <w:basedOn w:val="5"/>
    <w:next w:val="1"/>
    <w:qFormat/>
    <w:uiPriority w:val="0"/>
    <w:pPr>
      <w:snapToGrid w:val="0"/>
      <w:spacing w:line="440" w:lineRule="exact"/>
      <w:ind w:firstLine="420" w:firstLineChars="100"/>
      <w:jc w:val="left"/>
    </w:pPr>
    <w:rPr>
      <w:rFonts w:ascii="宋体" w:hAnsi="宋体" w:cs="宋体"/>
      <w:szCs w:val="22"/>
      <w:lang w:eastAsia="en-US"/>
    </w:rPr>
  </w:style>
  <w:style w:type="paragraph" w:styleId="14">
    <w:name w:val="Body Text First Indent 2"/>
    <w:basedOn w:val="6"/>
    <w:qFormat/>
    <w:uiPriority w:val="0"/>
    <w:pPr>
      <w:tabs>
        <w:tab w:val="left" w:pos="5580"/>
      </w:tabs>
      <w:spacing w:after="120" w:line="240" w:lineRule="auto"/>
      <w:ind w:left="420" w:leftChars="200" w:firstLine="420" w:firstLineChars="200"/>
    </w:pPr>
    <w:rPr>
      <w:sz w:val="21"/>
      <w:szCs w:val="20"/>
    </w:rPr>
  </w:style>
  <w:style w:type="table" w:styleId="16">
    <w:name w:val="Table Grid"/>
    <w:basedOn w:val="15"/>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FollowedHyperlink"/>
    <w:qFormat/>
    <w:uiPriority w:val="0"/>
    <w:rPr>
      <w:color w:val="954F72"/>
      <w:u w:val="single"/>
    </w:rPr>
  </w:style>
  <w:style w:type="character" w:styleId="20">
    <w:name w:val="Hyperlink"/>
    <w:unhideWhenUsed/>
    <w:qFormat/>
    <w:uiPriority w:val="99"/>
    <w:rPr>
      <w:color w:val="0000FF"/>
      <w:u w:val="single"/>
    </w:rPr>
  </w:style>
  <w:style w:type="character" w:customStyle="1" w:styleId="21">
    <w:name w:val="页脚 字符"/>
    <w:link w:val="9"/>
    <w:qFormat/>
    <w:uiPriority w:val="0"/>
    <w:rPr>
      <w:kern w:val="2"/>
      <w:sz w:val="18"/>
      <w:szCs w:val="18"/>
    </w:rPr>
  </w:style>
  <w:style w:type="character" w:customStyle="1" w:styleId="22">
    <w:name w:val="页眉 字符"/>
    <w:link w:val="10"/>
    <w:qFormat/>
    <w:uiPriority w:val="0"/>
    <w:rPr>
      <w:kern w:val="2"/>
      <w:sz w:val="18"/>
      <w:szCs w:val="18"/>
    </w:rPr>
  </w:style>
  <w:style w:type="character" w:customStyle="1" w:styleId="23">
    <w:name w:val="fnxuls44um2"/>
    <w:qFormat/>
    <w:uiPriority w:val="0"/>
  </w:style>
  <w:style w:type="character" w:customStyle="1" w:styleId="24">
    <w:name w:val="su4uxpcl717"/>
    <w:qFormat/>
    <w:uiPriority w:val="0"/>
  </w:style>
  <w:style w:type="character" w:customStyle="1" w:styleId="25">
    <w:name w:val="l6zjm5yei97"/>
    <w:qFormat/>
    <w:uiPriority w:val="0"/>
  </w:style>
  <w:style w:type="character" w:customStyle="1" w:styleId="26">
    <w:name w:val="zm6olrabive"/>
    <w:qFormat/>
    <w:uiPriority w:val="0"/>
  </w:style>
  <w:style w:type="character" w:customStyle="1" w:styleId="27">
    <w:name w:val="eldr9rc29f2"/>
    <w:qFormat/>
    <w:uiPriority w:val="0"/>
  </w:style>
  <w:style w:type="character" w:customStyle="1" w:styleId="28">
    <w:name w:val="efhma5eze1q"/>
    <w:qFormat/>
    <w:uiPriority w:val="0"/>
  </w:style>
  <w:style w:type="paragraph" w:styleId="29">
    <w:name w:val="List Paragraph"/>
    <w:basedOn w:val="1"/>
    <w:qFormat/>
    <w:uiPriority w:val="34"/>
    <w:pPr>
      <w:ind w:firstLine="420" w:firstLineChars="200"/>
    </w:pPr>
  </w:style>
  <w:style w:type="character" w:customStyle="1" w:styleId="30">
    <w:name w:val="font01"/>
    <w:basedOn w:val="1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AD029-2C77-4C6C-8BE3-F0BEBE8A6682}">
  <ds:schemaRefs/>
</ds:datastoreItem>
</file>

<file path=docProps/app.xml><?xml version="1.0" encoding="utf-8"?>
<Properties xmlns="http://schemas.openxmlformats.org/officeDocument/2006/extended-properties" xmlns:vt="http://schemas.openxmlformats.org/officeDocument/2006/docPropsVTypes">
  <Template>Normal</Template>
  <Company>***</Company>
  <Pages>6</Pages>
  <Words>6570</Words>
  <Characters>7124</Characters>
  <Lines>81</Lines>
  <Paragraphs>23</Paragraphs>
  <TotalTime>159</TotalTime>
  <ScaleCrop>false</ScaleCrop>
  <LinksUpToDate>false</LinksUpToDate>
  <CharactersWithSpaces>7146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2026-03-18T03:26:00Z</dcterms:created>
  <dc:creator>*</dc:creator>
  <cp:lastModifiedBy>陈旭楠</cp:lastModifiedBy>
  <cp:lastPrinted>2015-05-20T01:50:00Z</cp:lastPrinted>
  <dcterms:modified xsi:type="dcterms:W3CDTF">2026-05-21T08:30:09Z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ContentTypeId">
    <vt:lpwstr>0x010100ACE7DBE525A3E443AA3B4E3ACD60823A</vt:lpwstr>
  </property>
  <property fmtid="{D5CDD505-2E9C-101B-9397-08002B2CF9AE}" pid="4" name="ICV">
    <vt:lpwstr>586BFE99E5F54EEEABEC3E6B17B1C9FE_13</vt:lpwstr>
  </property>
  <property fmtid="{D5CDD505-2E9C-101B-9397-08002B2CF9AE}" pid="5" name="KSOTemplateDocerSaveRecord">
    <vt:lpwstr>eyJoZGlkIjoiMDZiOWQ2MTJiMjEwOTZiNWM5OTQzNjZlNzRhZWNkNDYiLCJ1c2VySWQiOiIyNTU0NDAwMzEifQ==</vt:lpwstr>
  </property>
</Properties>
</file>