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B001E3">
      <w:pPr>
        <w:pStyle w:val="2"/>
        <w:spacing w:before="0" w:after="0" w:line="360" w:lineRule="auto"/>
        <w:ind w:left="0" w:leftChars="0" w:right="102" w:rightChars="0" w:firstLine="0" w:firstLineChars="0"/>
        <w:jc w:val="center"/>
        <w:rPr>
          <w:rFonts w:hint="eastAsia" w:ascii="黑体" w:hAnsi="黑体" w:cs="黑体"/>
        </w:rPr>
      </w:pPr>
      <w:bookmarkStart w:id="0" w:name="_Toc14077"/>
      <w:bookmarkStart w:id="1" w:name="_Toc7310"/>
      <w:bookmarkStart w:id="2" w:name="_Toc29835"/>
      <w:bookmarkStart w:id="3" w:name="_Toc299699046"/>
      <w:bookmarkStart w:id="4" w:name="_Toc299699587"/>
      <w:bookmarkStart w:id="5" w:name="_Toc299700502"/>
      <w:bookmarkStart w:id="6" w:name="_Toc299709478"/>
      <w:bookmarkStart w:id="7" w:name="_Toc299699778"/>
      <w:bookmarkStart w:id="8" w:name="_Toc351466509"/>
      <w:bookmarkStart w:id="9" w:name="_Toc20473792"/>
      <w:bookmarkStart w:id="10" w:name="_Toc32473"/>
      <w:bookmarkStart w:id="29" w:name="_GoBack"/>
      <w:r>
        <w:rPr>
          <w:rFonts w:hint="eastAsia" w:ascii="黑体" w:hAnsi="黑体" w:cs="黑体"/>
        </w:rPr>
        <w:t>采购人需求</w:t>
      </w:r>
      <w:bookmarkEnd w:id="0"/>
      <w:bookmarkEnd w:id="1"/>
      <w:bookmarkEnd w:id="2"/>
    </w:p>
    <w:bookmarkEnd w:id="29"/>
    <w:p w14:paraId="1FF28FA9">
      <w:pPr>
        <w:pStyle w:val="2"/>
        <w:spacing w:before="0" w:after="0" w:line="360" w:lineRule="auto"/>
        <w:ind w:left="102" w:leftChars="0" w:right="102" w:rightChars="0"/>
        <w:rPr>
          <w:b/>
          <w:sz w:val="30"/>
          <w:szCs w:val="30"/>
        </w:rPr>
      </w:pPr>
      <w:bookmarkStart w:id="11" w:name="_Toc5908"/>
      <w:bookmarkStart w:id="12" w:name="_Toc13507"/>
      <w:bookmarkStart w:id="13" w:name="_Toc7658"/>
      <w:bookmarkStart w:id="14" w:name="_Toc5433"/>
      <w:bookmarkStart w:id="15" w:name="_Toc13187"/>
      <w:r>
        <w:rPr>
          <w:rFonts w:hint="eastAsia" w:ascii="宋体" w:hAnsi="宋体" w:eastAsia="宋体" w:cs="宋体"/>
          <w:b/>
          <w:bCs w:val="0"/>
        </w:rPr>
        <w:t>第一部分：技术要求</w:t>
      </w:r>
      <w:bookmarkEnd w:id="11"/>
    </w:p>
    <w:bookmarkEnd w:id="12"/>
    <w:bookmarkEnd w:id="13"/>
    <w:bookmarkEnd w:id="14"/>
    <w:bookmarkEnd w:id="15"/>
    <w:p w14:paraId="4C9C6895">
      <w:pPr>
        <w:adjustRightInd w:val="0"/>
        <w:snapToGrid w:val="0"/>
        <w:spacing w:line="288" w:lineRule="auto"/>
        <w:ind w:firstLine="480" w:firstLineChars="200"/>
        <w:rPr>
          <w:sz w:val="24"/>
          <w:szCs w:val="22"/>
        </w:rPr>
      </w:pPr>
    </w:p>
    <w:p w14:paraId="355DB8E2">
      <w:pPr>
        <w:spacing w:line="360" w:lineRule="auto"/>
        <w:outlineLvl w:val="1"/>
        <w:rPr>
          <w:rFonts w:hint="eastAsia" w:ascii="宋体" w:hAnsi="宋体" w:eastAsia="宋体" w:cs="宋体"/>
          <w:b/>
          <w:sz w:val="24"/>
          <w:lang w:val="en-US" w:eastAsia="zh-CN"/>
        </w:rPr>
      </w:pPr>
      <w:r>
        <w:rPr>
          <w:rFonts w:hint="eastAsia" w:ascii="宋体" w:hAnsi="宋体" w:eastAsia="宋体" w:cs="宋体"/>
          <w:b/>
          <w:sz w:val="24"/>
          <w:lang w:val="en-US" w:eastAsia="zh-CN"/>
        </w:rPr>
        <w:t>一、采购标的需实现的功能或者目标</w:t>
      </w:r>
    </w:p>
    <w:p w14:paraId="08783FF1">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本次项目针对哈尔滨工业大学一校区诚意楼、科学园校区2C楼、二校区交通学院监控设备采购，要与原有监控平台进行对接，满足哈尔滨工业大学安防需求。基本实现哈尔滨工业大学诚意楼、2C楼、交通学院公共区域监控全面覆盖，全面对楼宇进行安全管控，增加学生安全保障。</w:t>
      </w:r>
    </w:p>
    <w:p w14:paraId="069FB615">
      <w:pPr>
        <w:adjustRightInd w:val="0"/>
        <w:snapToGrid w:val="0"/>
        <w:spacing w:line="288" w:lineRule="auto"/>
        <w:rPr>
          <w:rFonts w:ascii="Times New Roman" w:hAnsi="Times New Roman" w:eastAsia="宋体" w:cs="Times New Roman"/>
          <w:sz w:val="24"/>
          <w:szCs w:val="22"/>
        </w:rPr>
      </w:pPr>
      <w:r>
        <w:rPr>
          <w:rFonts w:hint="eastAsia" w:ascii="Times New Roman" w:hAnsi="Times New Roman" w:eastAsia="宋体" w:cs="Times New Roman"/>
          <w:sz w:val="24"/>
          <w:szCs w:val="22"/>
          <w:lang w:val="en-US" w:eastAsia="zh-CN"/>
        </w:rPr>
        <w:t>二、</w:t>
      </w:r>
      <w:r>
        <w:rPr>
          <w:rFonts w:hint="eastAsia" w:ascii="宋体" w:hAnsi="宋体" w:eastAsia="宋体" w:cs="宋体"/>
          <w:b/>
          <w:sz w:val="24"/>
          <w:lang w:val="en-US" w:eastAsia="zh-CN"/>
        </w:rPr>
        <w:t>采购标的明细（名称、数量、单位）</w:t>
      </w:r>
    </w:p>
    <w:p w14:paraId="66645F35">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2.1采购内容</w:t>
      </w:r>
    </w:p>
    <w:tbl>
      <w:tblPr>
        <w:tblStyle w:val="35"/>
        <w:tblW w:w="9334" w:type="dxa"/>
        <w:tblInd w:w="8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4906"/>
        <w:gridCol w:w="767"/>
        <w:gridCol w:w="717"/>
        <w:gridCol w:w="2100"/>
      </w:tblGrid>
      <w:tr w14:paraId="0B8DD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4" w:type="dxa"/>
            <w:vAlign w:val="center"/>
          </w:tcPr>
          <w:p w14:paraId="280BF431">
            <w:pPr>
              <w:snapToGrid w:val="0"/>
              <w:spacing w:line="240" w:lineRule="auto"/>
              <w:ind w:left="0" w:leftChars="0" w:right="0" w:rightChars="0" w:firstLine="0" w:firstLineChars="0"/>
              <w:jc w:val="center"/>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序号</w:t>
            </w:r>
          </w:p>
        </w:tc>
        <w:tc>
          <w:tcPr>
            <w:tcW w:w="4906" w:type="dxa"/>
            <w:vAlign w:val="center"/>
          </w:tcPr>
          <w:p w14:paraId="02851A02">
            <w:pPr>
              <w:snapToGrid w:val="0"/>
              <w:spacing w:line="240" w:lineRule="auto"/>
              <w:ind w:left="0" w:leftChars="0" w:right="0" w:rightChars="0" w:firstLine="0" w:firstLineChars="0"/>
              <w:jc w:val="center"/>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货物名称（标的名称）</w:t>
            </w:r>
          </w:p>
        </w:tc>
        <w:tc>
          <w:tcPr>
            <w:tcW w:w="767" w:type="dxa"/>
            <w:vAlign w:val="center"/>
          </w:tcPr>
          <w:p w14:paraId="23E67794">
            <w:pPr>
              <w:snapToGrid w:val="0"/>
              <w:spacing w:line="240" w:lineRule="auto"/>
              <w:ind w:left="0" w:leftChars="0" w:right="0" w:rightChars="0" w:firstLine="0" w:firstLineChars="0"/>
              <w:jc w:val="center"/>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数量</w:t>
            </w:r>
          </w:p>
        </w:tc>
        <w:tc>
          <w:tcPr>
            <w:tcW w:w="717" w:type="dxa"/>
            <w:vAlign w:val="center"/>
          </w:tcPr>
          <w:p w14:paraId="6C728C79">
            <w:pPr>
              <w:snapToGrid w:val="0"/>
              <w:spacing w:line="240" w:lineRule="auto"/>
              <w:ind w:left="0" w:leftChars="0" w:right="0" w:rightChars="0" w:firstLine="0" w:firstLineChars="0"/>
              <w:jc w:val="center"/>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单位</w:t>
            </w:r>
          </w:p>
        </w:tc>
        <w:tc>
          <w:tcPr>
            <w:tcW w:w="2100" w:type="dxa"/>
            <w:vAlign w:val="center"/>
          </w:tcPr>
          <w:p w14:paraId="562C17BA">
            <w:pPr>
              <w:snapToGrid w:val="0"/>
              <w:spacing w:line="240" w:lineRule="auto"/>
              <w:ind w:left="0" w:leftChars="0" w:right="0" w:rightChars="0" w:firstLine="0" w:firstLineChars="0"/>
              <w:jc w:val="center"/>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预算金额</w:t>
            </w:r>
          </w:p>
        </w:tc>
      </w:tr>
      <w:tr w14:paraId="37DDF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844" w:type="dxa"/>
            <w:vAlign w:val="center"/>
          </w:tcPr>
          <w:p w14:paraId="74B00051">
            <w:pPr>
              <w:snapToGrid w:val="0"/>
              <w:spacing w:line="240" w:lineRule="auto"/>
              <w:ind w:left="0" w:leftChars="0" w:right="0" w:rightChars="0" w:firstLine="0" w:firstLineChars="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p>
        </w:tc>
        <w:tc>
          <w:tcPr>
            <w:tcW w:w="4906" w:type="dxa"/>
            <w:vAlign w:val="center"/>
          </w:tcPr>
          <w:p w14:paraId="447AE41F">
            <w:pPr>
              <w:snapToGrid w:val="0"/>
              <w:spacing w:line="240" w:lineRule="auto"/>
              <w:ind w:left="0" w:leftChars="0" w:right="0" w:rightChars="0" w:firstLine="0" w:firstLineChars="0"/>
              <w:jc w:val="center"/>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哈尔滨工业大学诚意楼、2C栋、交通学院监控设备采购</w:t>
            </w:r>
          </w:p>
        </w:tc>
        <w:tc>
          <w:tcPr>
            <w:tcW w:w="767" w:type="dxa"/>
            <w:vAlign w:val="center"/>
          </w:tcPr>
          <w:p w14:paraId="7EBB3842">
            <w:pPr>
              <w:snapToGrid w:val="0"/>
              <w:spacing w:line="240" w:lineRule="auto"/>
              <w:ind w:left="0" w:leftChars="0" w:right="0" w:rightChars="0" w:firstLine="0" w:firstLineChars="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p>
        </w:tc>
        <w:tc>
          <w:tcPr>
            <w:tcW w:w="717" w:type="dxa"/>
            <w:vAlign w:val="center"/>
          </w:tcPr>
          <w:p w14:paraId="0F36B813">
            <w:pPr>
              <w:snapToGrid w:val="0"/>
              <w:spacing w:line="240" w:lineRule="auto"/>
              <w:ind w:left="0" w:leftChars="0" w:right="0" w:rightChars="0" w:firstLine="0" w:firstLineChars="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套</w:t>
            </w:r>
          </w:p>
        </w:tc>
        <w:tc>
          <w:tcPr>
            <w:tcW w:w="2100" w:type="dxa"/>
            <w:vAlign w:val="center"/>
          </w:tcPr>
          <w:p w14:paraId="2D69476B">
            <w:pPr>
              <w:snapToGrid w:val="0"/>
              <w:spacing w:line="240" w:lineRule="auto"/>
              <w:ind w:left="0" w:leftChars="0" w:right="0" w:rightChars="0" w:firstLine="0" w:firstLineChars="0"/>
              <w:jc w:val="center"/>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756418.00元（人民币）；</w:t>
            </w:r>
          </w:p>
        </w:tc>
      </w:tr>
    </w:tbl>
    <w:p w14:paraId="305C1997">
      <w:pPr>
        <w:spacing w:line="360" w:lineRule="auto"/>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2.2设备组成</w:t>
      </w:r>
    </w:p>
    <w:tbl>
      <w:tblPr>
        <w:tblStyle w:val="35"/>
        <w:tblW w:w="9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9"/>
        <w:gridCol w:w="6384"/>
        <w:gridCol w:w="1062"/>
        <w:gridCol w:w="1116"/>
      </w:tblGrid>
      <w:tr w14:paraId="06D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19" w:type="dxa"/>
            <w:vAlign w:val="center"/>
          </w:tcPr>
          <w:p w14:paraId="4A5BA87D">
            <w:pPr>
              <w:snapToGrid w:val="0"/>
              <w:spacing w:line="240" w:lineRule="auto"/>
              <w:ind w:left="0" w:leftChars="0" w:right="0" w:rightChars="0" w:firstLine="0" w:firstLineChars="0"/>
              <w:jc w:val="center"/>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序号</w:t>
            </w:r>
          </w:p>
        </w:tc>
        <w:tc>
          <w:tcPr>
            <w:tcW w:w="6384" w:type="dxa"/>
            <w:vAlign w:val="center"/>
          </w:tcPr>
          <w:p w14:paraId="4521ED28">
            <w:pPr>
              <w:snapToGrid w:val="0"/>
              <w:spacing w:line="240" w:lineRule="auto"/>
              <w:ind w:left="0" w:leftChars="0" w:right="0" w:rightChars="0" w:firstLine="0" w:firstLineChars="0"/>
              <w:jc w:val="center"/>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设备组成</w:t>
            </w:r>
          </w:p>
        </w:tc>
        <w:tc>
          <w:tcPr>
            <w:tcW w:w="1062" w:type="dxa"/>
            <w:vAlign w:val="center"/>
          </w:tcPr>
          <w:p w14:paraId="773FBD94">
            <w:pPr>
              <w:snapToGrid w:val="0"/>
              <w:spacing w:line="240" w:lineRule="auto"/>
              <w:ind w:left="0" w:leftChars="0" w:right="0" w:rightChars="0" w:firstLine="0" w:firstLineChars="0"/>
              <w:jc w:val="center"/>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数量</w:t>
            </w:r>
          </w:p>
        </w:tc>
        <w:tc>
          <w:tcPr>
            <w:tcW w:w="1116" w:type="dxa"/>
            <w:vAlign w:val="center"/>
          </w:tcPr>
          <w:p w14:paraId="1A2A6B80">
            <w:pPr>
              <w:snapToGrid w:val="0"/>
              <w:spacing w:line="240" w:lineRule="auto"/>
              <w:ind w:left="0" w:leftChars="0" w:right="0" w:rightChars="0" w:firstLine="0" w:firstLineChars="0"/>
              <w:jc w:val="center"/>
              <w:rPr>
                <w:rFonts w:hint="default" w:ascii="宋体" w:hAnsi="宋体" w:eastAsia="宋体" w:cs="宋体"/>
                <w:b/>
                <w:color w:val="auto"/>
                <w:sz w:val="24"/>
                <w:highlight w:val="none"/>
                <w:lang w:val="en-US" w:eastAsia="zh-CN"/>
              </w:rPr>
            </w:pPr>
            <w:r>
              <w:rPr>
                <w:rFonts w:hint="eastAsia" w:ascii="宋体" w:hAnsi="宋体" w:eastAsia="宋体" w:cs="宋体"/>
                <w:b/>
                <w:color w:val="auto"/>
                <w:sz w:val="24"/>
                <w:highlight w:val="none"/>
                <w:lang w:val="en-US" w:eastAsia="zh-CN"/>
              </w:rPr>
              <w:t>单位</w:t>
            </w:r>
          </w:p>
        </w:tc>
      </w:tr>
      <w:tr w14:paraId="427A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090206A7">
            <w:pPr>
              <w:snapToGrid w:val="0"/>
              <w:spacing w:line="240" w:lineRule="auto"/>
              <w:ind w:left="0" w:leftChars="0" w:right="0" w:rightChars="0" w:firstLine="0" w:firstLineChars="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p>
        </w:tc>
        <w:tc>
          <w:tcPr>
            <w:tcW w:w="6384" w:type="dxa"/>
            <w:vAlign w:val="center"/>
          </w:tcPr>
          <w:p w14:paraId="512C16F8">
            <w:pPr>
              <w:snapToGrid w:val="0"/>
              <w:spacing w:line="240" w:lineRule="auto"/>
              <w:ind w:left="0" w:leftChars="0" w:right="0" w:rightChars="0" w:firstLine="0" w:firstLineChars="0"/>
              <w:jc w:val="left"/>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400万智能半球网络摄像机</w:t>
            </w:r>
          </w:p>
        </w:tc>
        <w:tc>
          <w:tcPr>
            <w:tcW w:w="1062" w:type="dxa"/>
            <w:vAlign w:val="center"/>
          </w:tcPr>
          <w:p w14:paraId="201A3F72">
            <w:pPr>
              <w:snapToGrid w:val="0"/>
              <w:spacing w:line="240" w:lineRule="auto"/>
              <w:ind w:left="0" w:leftChars="0" w:right="0" w:rightChars="0" w:firstLine="0" w:firstLineChars="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141</w:t>
            </w:r>
          </w:p>
        </w:tc>
        <w:tc>
          <w:tcPr>
            <w:tcW w:w="1116" w:type="dxa"/>
            <w:vAlign w:val="center"/>
          </w:tcPr>
          <w:p w14:paraId="4317C8E9">
            <w:pPr>
              <w:snapToGrid w:val="0"/>
              <w:spacing w:line="240" w:lineRule="auto"/>
              <w:ind w:left="0" w:leftChars="0" w:right="0" w:rightChars="0" w:firstLine="0" w:firstLineChars="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台</w:t>
            </w:r>
          </w:p>
        </w:tc>
      </w:tr>
      <w:tr w14:paraId="46194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17B0D1DF">
            <w:pPr>
              <w:snapToGrid w:val="0"/>
              <w:spacing w:line="240" w:lineRule="auto"/>
              <w:ind w:left="0" w:leftChars="0" w:right="0" w:rightChars="0" w:firstLine="0" w:firstLineChars="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6384" w:type="dxa"/>
            <w:shd w:val="clear" w:color="auto" w:fill="auto"/>
            <w:vAlign w:val="center"/>
          </w:tcPr>
          <w:p w14:paraId="1346F275">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400万半球网络摄像机</w:t>
            </w:r>
          </w:p>
        </w:tc>
        <w:tc>
          <w:tcPr>
            <w:tcW w:w="1062" w:type="dxa"/>
            <w:shd w:val="clear" w:color="auto" w:fill="auto"/>
            <w:vAlign w:val="center"/>
          </w:tcPr>
          <w:p w14:paraId="25D730D1">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92</w:t>
            </w:r>
          </w:p>
        </w:tc>
        <w:tc>
          <w:tcPr>
            <w:tcW w:w="1116" w:type="dxa"/>
            <w:shd w:val="clear" w:color="auto" w:fill="auto"/>
            <w:vAlign w:val="center"/>
          </w:tcPr>
          <w:p w14:paraId="3B64B4D5">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台</w:t>
            </w:r>
          </w:p>
        </w:tc>
      </w:tr>
      <w:tr w14:paraId="7CEE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63617B7B">
            <w:pPr>
              <w:snapToGrid w:val="0"/>
              <w:spacing w:line="240" w:lineRule="auto"/>
              <w:ind w:left="0" w:leftChars="0" w:right="0" w:rightChars="0" w:firstLine="0" w:firstLineChars="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6384" w:type="dxa"/>
            <w:shd w:val="clear" w:color="auto" w:fill="auto"/>
            <w:vAlign w:val="center"/>
          </w:tcPr>
          <w:p w14:paraId="39713F95">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400万枪式网络摄像机</w:t>
            </w:r>
          </w:p>
        </w:tc>
        <w:tc>
          <w:tcPr>
            <w:tcW w:w="1062" w:type="dxa"/>
            <w:shd w:val="clear" w:color="auto" w:fill="auto"/>
            <w:vAlign w:val="center"/>
          </w:tcPr>
          <w:p w14:paraId="701C9ABA">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53</w:t>
            </w:r>
          </w:p>
        </w:tc>
        <w:tc>
          <w:tcPr>
            <w:tcW w:w="1116" w:type="dxa"/>
            <w:shd w:val="clear" w:color="auto" w:fill="auto"/>
            <w:vAlign w:val="center"/>
          </w:tcPr>
          <w:p w14:paraId="69237315">
            <w:pPr>
              <w:snapToGrid w:val="0"/>
              <w:spacing w:line="240" w:lineRule="auto"/>
              <w:ind w:left="0" w:leftChars="0" w:right="0" w:rightChars="0" w:firstLine="0" w:firstLineChars="0"/>
              <w:jc w:val="center"/>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台</w:t>
            </w:r>
          </w:p>
        </w:tc>
      </w:tr>
      <w:tr w14:paraId="64F6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28846467">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w:t>
            </w:r>
          </w:p>
        </w:tc>
        <w:tc>
          <w:tcPr>
            <w:tcW w:w="6384" w:type="dxa"/>
            <w:shd w:val="clear" w:color="auto" w:fill="auto"/>
            <w:vAlign w:val="center"/>
          </w:tcPr>
          <w:p w14:paraId="1467882D">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400万电梯专用网络摄像机</w:t>
            </w:r>
          </w:p>
        </w:tc>
        <w:tc>
          <w:tcPr>
            <w:tcW w:w="1062" w:type="dxa"/>
            <w:shd w:val="clear" w:color="auto" w:fill="auto"/>
            <w:vAlign w:val="center"/>
          </w:tcPr>
          <w:p w14:paraId="6C248A16">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p>
        </w:tc>
        <w:tc>
          <w:tcPr>
            <w:tcW w:w="1116" w:type="dxa"/>
            <w:shd w:val="clear" w:color="auto" w:fill="auto"/>
            <w:vAlign w:val="center"/>
          </w:tcPr>
          <w:p w14:paraId="66D073D1">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台</w:t>
            </w:r>
          </w:p>
        </w:tc>
      </w:tr>
      <w:tr w14:paraId="3437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7154DEF6">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w:t>
            </w:r>
          </w:p>
        </w:tc>
        <w:tc>
          <w:tcPr>
            <w:tcW w:w="6384" w:type="dxa"/>
            <w:shd w:val="clear" w:color="auto" w:fill="auto"/>
            <w:vAlign w:val="center"/>
          </w:tcPr>
          <w:p w14:paraId="3CC0890B">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电梯专用网桥</w:t>
            </w:r>
          </w:p>
        </w:tc>
        <w:tc>
          <w:tcPr>
            <w:tcW w:w="1062" w:type="dxa"/>
            <w:shd w:val="clear" w:color="auto" w:fill="auto"/>
            <w:vAlign w:val="center"/>
          </w:tcPr>
          <w:p w14:paraId="23470B65">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p>
        </w:tc>
        <w:tc>
          <w:tcPr>
            <w:tcW w:w="1116" w:type="dxa"/>
            <w:shd w:val="clear" w:color="auto" w:fill="auto"/>
            <w:vAlign w:val="center"/>
          </w:tcPr>
          <w:p w14:paraId="610560C6">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套</w:t>
            </w:r>
          </w:p>
        </w:tc>
      </w:tr>
      <w:tr w14:paraId="2328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232B0EA4">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w:t>
            </w:r>
          </w:p>
        </w:tc>
        <w:tc>
          <w:tcPr>
            <w:tcW w:w="6384" w:type="dxa"/>
            <w:shd w:val="clear" w:color="auto" w:fill="auto"/>
            <w:vAlign w:val="center"/>
          </w:tcPr>
          <w:p w14:paraId="321E0DF4">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DC12V2A电源适配器</w:t>
            </w:r>
          </w:p>
        </w:tc>
        <w:tc>
          <w:tcPr>
            <w:tcW w:w="1062" w:type="dxa"/>
            <w:shd w:val="clear" w:color="auto" w:fill="auto"/>
            <w:vAlign w:val="center"/>
          </w:tcPr>
          <w:p w14:paraId="37B07669">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p>
        </w:tc>
        <w:tc>
          <w:tcPr>
            <w:tcW w:w="1116" w:type="dxa"/>
            <w:shd w:val="clear" w:color="auto" w:fill="auto"/>
            <w:vAlign w:val="center"/>
          </w:tcPr>
          <w:p w14:paraId="296CDB39">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个</w:t>
            </w:r>
          </w:p>
        </w:tc>
      </w:tr>
      <w:tr w14:paraId="1C683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624F7D56">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w:t>
            </w:r>
          </w:p>
        </w:tc>
        <w:tc>
          <w:tcPr>
            <w:tcW w:w="6384" w:type="dxa"/>
            <w:shd w:val="clear" w:color="auto" w:fill="auto"/>
            <w:vAlign w:val="center"/>
          </w:tcPr>
          <w:p w14:paraId="57CF299A">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枪式摄像机壁装支架</w:t>
            </w:r>
          </w:p>
        </w:tc>
        <w:tc>
          <w:tcPr>
            <w:tcW w:w="1062" w:type="dxa"/>
            <w:shd w:val="clear" w:color="auto" w:fill="auto"/>
            <w:vAlign w:val="center"/>
          </w:tcPr>
          <w:p w14:paraId="5287D333">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53</w:t>
            </w:r>
          </w:p>
        </w:tc>
        <w:tc>
          <w:tcPr>
            <w:tcW w:w="1116" w:type="dxa"/>
            <w:shd w:val="clear" w:color="auto" w:fill="auto"/>
            <w:vAlign w:val="center"/>
          </w:tcPr>
          <w:p w14:paraId="5E265D62">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个</w:t>
            </w:r>
          </w:p>
        </w:tc>
      </w:tr>
      <w:tr w14:paraId="571A9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5ED534F4">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w:t>
            </w:r>
          </w:p>
        </w:tc>
        <w:tc>
          <w:tcPr>
            <w:tcW w:w="6384" w:type="dxa"/>
            <w:shd w:val="clear" w:color="auto" w:fill="auto"/>
            <w:vAlign w:val="center"/>
          </w:tcPr>
          <w:p w14:paraId="7A098720">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视频监控存储专用硬盘8TB</w:t>
            </w:r>
          </w:p>
        </w:tc>
        <w:tc>
          <w:tcPr>
            <w:tcW w:w="1062" w:type="dxa"/>
            <w:shd w:val="clear" w:color="auto" w:fill="auto"/>
            <w:vAlign w:val="center"/>
          </w:tcPr>
          <w:p w14:paraId="36C51DBC">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56</w:t>
            </w:r>
          </w:p>
        </w:tc>
        <w:tc>
          <w:tcPr>
            <w:tcW w:w="1116" w:type="dxa"/>
            <w:shd w:val="clear" w:color="auto" w:fill="auto"/>
            <w:vAlign w:val="center"/>
          </w:tcPr>
          <w:p w14:paraId="4ECC2529">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块</w:t>
            </w:r>
          </w:p>
        </w:tc>
      </w:tr>
      <w:tr w14:paraId="5D12E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79EA8C7D">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w:t>
            </w:r>
          </w:p>
        </w:tc>
        <w:tc>
          <w:tcPr>
            <w:tcW w:w="6384" w:type="dxa"/>
            <w:shd w:val="clear" w:color="auto" w:fill="auto"/>
            <w:vAlign w:val="center"/>
          </w:tcPr>
          <w:p w14:paraId="56082E59">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智能视频存储计算服务器16盘位</w:t>
            </w:r>
          </w:p>
        </w:tc>
        <w:tc>
          <w:tcPr>
            <w:tcW w:w="1062" w:type="dxa"/>
            <w:shd w:val="clear" w:color="auto" w:fill="auto"/>
            <w:vAlign w:val="center"/>
          </w:tcPr>
          <w:p w14:paraId="719463A1">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1116" w:type="dxa"/>
            <w:shd w:val="clear" w:color="auto" w:fill="auto"/>
            <w:vAlign w:val="center"/>
          </w:tcPr>
          <w:p w14:paraId="6A4A4060">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台</w:t>
            </w:r>
          </w:p>
        </w:tc>
      </w:tr>
      <w:tr w14:paraId="7D75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2A4452EC">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10</w:t>
            </w:r>
          </w:p>
        </w:tc>
        <w:tc>
          <w:tcPr>
            <w:tcW w:w="6384" w:type="dxa"/>
            <w:shd w:val="clear" w:color="auto" w:fill="auto"/>
            <w:vAlign w:val="center"/>
          </w:tcPr>
          <w:p w14:paraId="04207C3E">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智能视频存储计算服务器24盘位</w:t>
            </w:r>
          </w:p>
        </w:tc>
        <w:tc>
          <w:tcPr>
            <w:tcW w:w="1062" w:type="dxa"/>
            <w:shd w:val="clear" w:color="auto" w:fill="auto"/>
            <w:vAlign w:val="center"/>
          </w:tcPr>
          <w:p w14:paraId="4DBAF415">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p>
        </w:tc>
        <w:tc>
          <w:tcPr>
            <w:tcW w:w="1116" w:type="dxa"/>
            <w:shd w:val="clear" w:color="auto" w:fill="auto"/>
            <w:vAlign w:val="center"/>
          </w:tcPr>
          <w:p w14:paraId="2E60C74D">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台</w:t>
            </w:r>
          </w:p>
        </w:tc>
      </w:tr>
      <w:tr w14:paraId="610AB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1DBCB052">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11</w:t>
            </w:r>
          </w:p>
        </w:tc>
        <w:tc>
          <w:tcPr>
            <w:tcW w:w="6384" w:type="dxa"/>
            <w:shd w:val="clear" w:color="auto" w:fill="auto"/>
            <w:vAlign w:val="center"/>
          </w:tcPr>
          <w:p w14:paraId="09AE3318">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视频监控专用以太网千兆可网管交换机(PoE)</w:t>
            </w:r>
          </w:p>
        </w:tc>
        <w:tc>
          <w:tcPr>
            <w:tcW w:w="1062" w:type="dxa"/>
            <w:shd w:val="clear" w:color="auto" w:fill="auto"/>
            <w:vAlign w:val="center"/>
          </w:tcPr>
          <w:p w14:paraId="451A717B">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18</w:t>
            </w:r>
          </w:p>
        </w:tc>
        <w:tc>
          <w:tcPr>
            <w:tcW w:w="1116" w:type="dxa"/>
            <w:shd w:val="clear" w:color="auto" w:fill="auto"/>
            <w:vAlign w:val="center"/>
          </w:tcPr>
          <w:p w14:paraId="09F55500">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台</w:t>
            </w:r>
          </w:p>
        </w:tc>
      </w:tr>
      <w:tr w14:paraId="4644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0C34B971">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12</w:t>
            </w:r>
          </w:p>
        </w:tc>
        <w:tc>
          <w:tcPr>
            <w:tcW w:w="6384" w:type="dxa"/>
            <w:shd w:val="clear" w:color="auto" w:fill="auto"/>
            <w:vAlign w:val="center"/>
          </w:tcPr>
          <w:p w14:paraId="63792290">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视频监控专用以太网汇聚交换机</w:t>
            </w:r>
          </w:p>
        </w:tc>
        <w:tc>
          <w:tcPr>
            <w:tcW w:w="1062" w:type="dxa"/>
            <w:shd w:val="clear" w:color="auto" w:fill="auto"/>
            <w:vAlign w:val="center"/>
          </w:tcPr>
          <w:p w14:paraId="19F7B54D">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1116" w:type="dxa"/>
            <w:shd w:val="clear" w:color="auto" w:fill="auto"/>
            <w:vAlign w:val="center"/>
          </w:tcPr>
          <w:p w14:paraId="33F1FC6E">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台</w:t>
            </w:r>
          </w:p>
        </w:tc>
      </w:tr>
      <w:tr w14:paraId="2ACBB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0305363D">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13</w:t>
            </w:r>
          </w:p>
        </w:tc>
        <w:tc>
          <w:tcPr>
            <w:tcW w:w="6384" w:type="dxa"/>
            <w:shd w:val="clear" w:color="auto" w:fill="auto"/>
            <w:vAlign w:val="center"/>
          </w:tcPr>
          <w:p w14:paraId="3AF096BE">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SFP千兆单模单纤光纤模块</w:t>
            </w:r>
          </w:p>
        </w:tc>
        <w:tc>
          <w:tcPr>
            <w:tcW w:w="1062" w:type="dxa"/>
            <w:shd w:val="clear" w:color="auto" w:fill="auto"/>
            <w:vAlign w:val="center"/>
          </w:tcPr>
          <w:p w14:paraId="59AC004A">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36</w:t>
            </w:r>
          </w:p>
        </w:tc>
        <w:tc>
          <w:tcPr>
            <w:tcW w:w="1116" w:type="dxa"/>
            <w:shd w:val="clear" w:color="auto" w:fill="auto"/>
            <w:vAlign w:val="center"/>
          </w:tcPr>
          <w:p w14:paraId="785964A5">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个</w:t>
            </w:r>
          </w:p>
        </w:tc>
      </w:tr>
      <w:tr w14:paraId="7D1D5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17719BD9">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14</w:t>
            </w:r>
          </w:p>
        </w:tc>
        <w:tc>
          <w:tcPr>
            <w:tcW w:w="6384" w:type="dxa"/>
            <w:shd w:val="clear" w:color="auto" w:fill="auto"/>
            <w:vAlign w:val="center"/>
          </w:tcPr>
          <w:p w14:paraId="3CFF51AD">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SFP万兆单模单纤光纤模块</w:t>
            </w:r>
          </w:p>
        </w:tc>
        <w:tc>
          <w:tcPr>
            <w:tcW w:w="1062" w:type="dxa"/>
            <w:shd w:val="clear" w:color="auto" w:fill="auto"/>
            <w:vAlign w:val="center"/>
          </w:tcPr>
          <w:p w14:paraId="078569E1">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w:t>
            </w:r>
          </w:p>
        </w:tc>
        <w:tc>
          <w:tcPr>
            <w:tcW w:w="1116" w:type="dxa"/>
            <w:shd w:val="clear" w:color="auto" w:fill="auto"/>
            <w:vAlign w:val="center"/>
          </w:tcPr>
          <w:p w14:paraId="6BB75BDF">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个</w:t>
            </w:r>
          </w:p>
        </w:tc>
      </w:tr>
      <w:tr w14:paraId="0CA9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4797CEF8">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15</w:t>
            </w:r>
          </w:p>
        </w:tc>
        <w:tc>
          <w:tcPr>
            <w:tcW w:w="6384" w:type="dxa"/>
            <w:shd w:val="clear" w:color="auto" w:fill="auto"/>
            <w:vAlign w:val="center"/>
          </w:tcPr>
          <w:p w14:paraId="499B9CB7">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连接设备用尾纤</w:t>
            </w:r>
          </w:p>
        </w:tc>
        <w:tc>
          <w:tcPr>
            <w:tcW w:w="1062" w:type="dxa"/>
            <w:shd w:val="clear" w:color="auto" w:fill="auto"/>
            <w:vAlign w:val="center"/>
          </w:tcPr>
          <w:p w14:paraId="4FBEDD14">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47</w:t>
            </w:r>
          </w:p>
        </w:tc>
        <w:tc>
          <w:tcPr>
            <w:tcW w:w="1116" w:type="dxa"/>
            <w:shd w:val="clear" w:color="auto" w:fill="auto"/>
            <w:vAlign w:val="center"/>
          </w:tcPr>
          <w:p w14:paraId="7F4CEAD1">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条</w:t>
            </w:r>
          </w:p>
        </w:tc>
      </w:tr>
      <w:tr w14:paraId="43D5E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3BC57703">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16</w:t>
            </w:r>
          </w:p>
        </w:tc>
        <w:tc>
          <w:tcPr>
            <w:tcW w:w="6384" w:type="dxa"/>
            <w:shd w:val="clear" w:color="auto" w:fill="auto"/>
            <w:vAlign w:val="center"/>
          </w:tcPr>
          <w:p w14:paraId="34D41CC5">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熔纤用尾纤</w:t>
            </w:r>
          </w:p>
        </w:tc>
        <w:tc>
          <w:tcPr>
            <w:tcW w:w="1062" w:type="dxa"/>
            <w:shd w:val="clear" w:color="auto" w:fill="auto"/>
            <w:vAlign w:val="center"/>
          </w:tcPr>
          <w:p w14:paraId="3C96EBBB">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24</w:t>
            </w:r>
          </w:p>
        </w:tc>
        <w:tc>
          <w:tcPr>
            <w:tcW w:w="1116" w:type="dxa"/>
            <w:shd w:val="clear" w:color="auto" w:fill="auto"/>
            <w:vAlign w:val="center"/>
          </w:tcPr>
          <w:p w14:paraId="04B578E7">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条</w:t>
            </w:r>
          </w:p>
        </w:tc>
      </w:tr>
      <w:tr w14:paraId="7E84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749691FF">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17</w:t>
            </w:r>
          </w:p>
        </w:tc>
        <w:tc>
          <w:tcPr>
            <w:tcW w:w="6384" w:type="dxa"/>
            <w:shd w:val="clear" w:color="auto" w:fill="auto"/>
            <w:vAlign w:val="center"/>
          </w:tcPr>
          <w:p w14:paraId="3D149A33">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熔纤辅材</w:t>
            </w:r>
          </w:p>
        </w:tc>
        <w:tc>
          <w:tcPr>
            <w:tcW w:w="1062" w:type="dxa"/>
            <w:shd w:val="clear" w:color="auto" w:fill="auto"/>
            <w:vAlign w:val="center"/>
          </w:tcPr>
          <w:p w14:paraId="588EE1C8">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36</w:t>
            </w:r>
          </w:p>
        </w:tc>
        <w:tc>
          <w:tcPr>
            <w:tcW w:w="1116" w:type="dxa"/>
            <w:shd w:val="clear" w:color="auto" w:fill="auto"/>
            <w:vAlign w:val="center"/>
          </w:tcPr>
          <w:p w14:paraId="30E9B9A1">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套</w:t>
            </w:r>
          </w:p>
        </w:tc>
      </w:tr>
      <w:tr w14:paraId="26155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2CC24130">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18</w:t>
            </w:r>
          </w:p>
        </w:tc>
        <w:tc>
          <w:tcPr>
            <w:tcW w:w="6384" w:type="dxa"/>
            <w:shd w:val="clear" w:color="auto" w:fill="auto"/>
            <w:vAlign w:val="center"/>
          </w:tcPr>
          <w:p w14:paraId="5639DBF0">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法兰盘</w:t>
            </w:r>
          </w:p>
        </w:tc>
        <w:tc>
          <w:tcPr>
            <w:tcW w:w="1062" w:type="dxa"/>
            <w:shd w:val="clear" w:color="auto" w:fill="auto"/>
            <w:vAlign w:val="center"/>
          </w:tcPr>
          <w:p w14:paraId="54388F8C">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12</w:t>
            </w:r>
          </w:p>
        </w:tc>
        <w:tc>
          <w:tcPr>
            <w:tcW w:w="1116" w:type="dxa"/>
            <w:shd w:val="clear" w:color="auto" w:fill="auto"/>
            <w:vAlign w:val="center"/>
          </w:tcPr>
          <w:p w14:paraId="08A836B6">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个</w:t>
            </w:r>
          </w:p>
        </w:tc>
      </w:tr>
      <w:tr w14:paraId="6EC3C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466234CD">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19</w:t>
            </w:r>
          </w:p>
        </w:tc>
        <w:tc>
          <w:tcPr>
            <w:tcW w:w="6384" w:type="dxa"/>
            <w:shd w:val="clear" w:color="auto" w:fill="auto"/>
            <w:vAlign w:val="center"/>
          </w:tcPr>
          <w:p w14:paraId="331B3A80">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9U机柜</w:t>
            </w:r>
          </w:p>
        </w:tc>
        <w:tc>
          <w:tcPr>
            <w:tcW w:w="1062" w:type="dxa"/>
            <w:shd w:val="clear" w:color="auto" w:fill="auto"/>
            <w:vAlign w:val="center"/>
          </w:tcPr>
          <w:p w14:paraId="43460ED3">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p>
        </w:tc>
        <w:tc>
          <w:tcPr>
            <w:tcW w:w="1116" w:type="dxa"/>
            <w:shd w:val="clear" w:color="auto" w:fill="auto"/>
            <w:vAlign w:val="center"/>
          </w:tcPr>
          <w:p w14:paraId="68E5126D">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个</w:t>
            </w:r>
          </w:p>
        </w:tc>
      </w:tr>
      <w:tr w14:paraId="6CDF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5FD4FB31">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20</w:t>
            </w:r>
          </w:p>
        </w:tc>
        <w:tc>
          <w:tcPr>
            <w:tcW w:w="6384" w:type="dxa"/>
            <w:shd w:val="clear" w:color="auto" w:fill="auto"/>
            <w:vAlign w:val="center"/>
          </w:tcPr>
          <w:p w14:paraId="741F0FF8">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光端盒</w:t>
            </w:r>
          </w:p>
        </w:tc>
        <w:tc>
          <w:tcPr>
            <w:tcW w:w="1062" w:type="dxa"/>
            <w:shd w:val="clear" w:color="auto" w:fill="auto"/>
            <w:vAlign w:val="center"/>
          </w:tcPr>
          <w:p w14:paraId="3642ED30">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1116" w:type="dxa"/>
            <w:shd w:val="clear" w:color="auto" w:fill="auto"/>
            <w:vAlign w:val="center"/>
          </w:tcPr>
          <w:p w14:paraId="687839E3">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个</w:t>
            </w:r>
          </w:p>
        </w:tc>
      </w:tr>
      <w:tr w14:paraId="652FC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9" w:type="dxa"/>
            <w:vAlign w:val="center"/>
          </w:tcPr>
          <w:p w14:paraId="67A232A3">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21</w:t>
            </w:r>
          </w:p>
        </w:tc>
        <w:tc>
          <w:tcPr>
            <w:tcW w:w="6384" w:type="dxa"/>
            <w:shd w:val="clear" w:color="auto" w:fill="auto"/>
            <w:vAlign w:val="center"/>
          </w:tcPr>
          <w:p w14:paraId="73EBA560">
            <w:pPr>
              <w:snapToGrid w:val="0"/>
              <w:spacing w:line="240" w:lineRule="auto"/>
              <w:ind w:left="0" w:leftChars="0" w:right="0" w:rightChars="0" w:firstLine="0" w:firstLine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插排</w:t>
            </w:r>
          </w:p>
        </w:tc>
        <w:tc>
          <w:tcPr>
            <w:tcW w:w="1062" w:type="dxa"/>
            <w:shd w:val="clear" w:color="auto" w:fill="auto"/>
            <w:vAlign w:val="center"/>
          </w:tcPr>
          <w:p w14:paraId="1016850D">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w:t>
            </w:r>
          </w:p>
        </w:tc>
        <w:tc>
          <w:tcPr>
            <w:tcW w:w="1116" w:type="dxa"/>
            <w:shd w:val="clear" w:color="auto" w:fill="auto"/>
            <w:vAlign w:val="center"/>
          </w:tcPr>
          <w:p w14:paraId="76C37A5A">
            <w:pPr>
              <w:snapToGrid w:val="0"/>
              <w:spacing w:line="240" w:lineRule="auto"/>
              <w:ind w:left="0" w:leftChars="0" w:right="0" w:righ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个</w:t>
            </w:r>
          </w:p>
        </w:tc>
      </w:tr>
    </w:tbl>
    <w:p w14:paraId="2C357BC0">
      <w:pPr>
        <w:spacing w:line="288" w:lineRule="auto"/>
        <w:rPr>
          <w:rFonts w:hint="default" w:ascii="方正书宋简体" w:hAnsi="宋体" w:eastAsia="方正书宋简体"/>
          <w:b/>
          <w:color w:val="auto"/>
          <w:szCs w:val="21"/>
          <w:lang w:val="en-US" w:eastAsia="zh-CN"/>
        </w:rPr>
      </w:pPr>
    </w:p>
    <w:p w14:paraId="041AEE37">
      <w:pPr>
        <w:spacing w:line="360" w:lineRule="auto"/>
        <w:outlineLvl w:val="1"/>
        <w:rPr>
          <w:rFonts w:hint="eastAsia" w:ascii="宋体" w:hAnsi="宋体" w:eastAsia="宋体" w:cs="宋体"/>
          <w:b/>
          <w:sz w:val="24"/>
          <w:lang w:val="en-US" w:eastAsia="zh-CN"/>
        </w:rPr>
      </w:pPr>
      <w:r>
        <w:rPr>
          <w:rFonts w:hint="eastAsia" w:ascii="宋体" w:hAnsi="宋体" w:eastAsia="宋体" w:cs="宋体"/>
          <w:b/>
          <w:sz w:val="24"/>
          <w:lang w:val="en-US" w:eastAsia="zh-CN"/>
        </w:rPr>
        <w:t>三、需执行的相关政策合规要求、执行标准和规范要求</w:t>
      </w:r>
    </w:p>
    <w:p w14:paraId="11BE3B09">
      <w:pPr>
        <w:spacing w:line="360" w:lineRule="auto"/>
        <w:ind w:firstLine="480" w:firstLineChars="200"/>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按照国家有关标准、规范和招标文件要求达到合格标准。主要设备需支持接入标准:ONVIF协议、GB/T28181国标标准。</w:t>
      </w:r>
    </w:p>
    <w:p w14:paraId="3D406549">
      <w:pPr>
        <w:spacing w:line="360" w:lineRule="auto"/>
        <w:outlineLvl w:val="1"/>
        <w:rPr>
          <w:rFonts w:hint="default" w:ascii="宋体" w:hAnsi="宋体" w:eastAsia="宋体" w:cs="宋体"/>
          <w:b/>
          <w:sz w:val="24"/>
          <w:highlight w:val="none"/>
          <w:lang w:val="en-US" w:eastAsia="zh-CN"/>
        </w:rPr>
      </w:pPr>
      <w:r>
        <w:rPr>
          <w:rFonts w:hint="eastAsia" w:ascii="宋体" w:hAnsi="宋体" w:eastAsia="宋体" w:cs="宋体"/>
          <w:b/>
          <w:sz w:val="24"/>
          <w:highlight w:val="none"/>
          <w:lang w:val="en-US" w:eastAsia="zh-CN"/>
        </w:rPr>
        <w:t>四、项目技术/服务要求</w:t>
      </w:r>
    </w:p>
    <w:tbl>
      <w:tblPr>
        <w:tblStyle w:val="34"/>
        <w:tblW w:w="93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526"/>
        <w:gridCol w:w="6940"/>
      </w:tblGrid>
      <w:tr w14:paraId="3FB69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68" w:type="dxa"/>
            <w:vAlign w:val="center"/>
          </w:tcPr>
          <w:p w14:paraId="7950C4EA">
            <w:pPr>
              <w:snapToGrid w:val="0"/>
              <w:spacing w:before="78" w:beforeLines="25" w:after="78" w:afterLines="25"/>
              <w:ind w:left="0" w:leftChars="0" w:right="0" w:rightChars="0" w:firstLine="0" w:firstLineChars="0"/>
              <w:jc w:val="center"/>
              <w:rPr>
                <w:rFonts w:hint="eastAsia" w:asciiTheme="majorEastAsia" w:hAnsiTheme="majorEastAsia" w:eastAsiaTheme="majorEastAsia"/>
                <w:b/>
                <w:bCs/>
                <w:szCs w:val="21"/>
                <w:highlight w:val="none"/>
              </w:rPr>
            </w:pPr>
            <w:r>
              <w:rPr>
                <w:rFonts w:asciiTheme="majorEastAsia" w:hAnsiTheme="majorEastAsia" w:eastAsiaTheme="majorEastAsia"/>
                <w:b/>
                <w:bCs/>
                <w:szCs w:val="21"/>
                <w:highlight w:val="none"/>
              </w:rPr>
              <w:t>序号</w:t>
            </w:r>
          </w:p>
        </w:tc>
        <w:tc>
          <w:tcPr>
            <w:tcW w:w="0" w:type="auto"/>
            <w:vAlign w:val="center"/>
          </w:tcPr>
          <w:p w14:paraId="2A9F413E">
            <w:pPr>
              <w:snapToGrid w:val="0"/>
              <w:spacing w:before="78" w:beforeLines="25" w:after="78" w:afterLines="25"/>
              <w:ind w:left="0" w:leftChars="0" w:right="0" w:rightChars="0" w:firstLine="0" w:firstLineChars="0"/>
              <w:jc w:val="center"/>
              <w:rPr>
                <w:rFonts w:hint="eastAsia" w:asciiTheme="majorEastAsia" w:hAnsiTheme="majorEastAsia" w:eastAsiaTheme="majorEastAsia"/>
                <w:b/>
                <w:bCs/>
                <w:szCs w:val="21"/>
                <w:highlight w:val="none"/>
              </w:rPr>
            </w:pPr>
            <w:r>
              <w:rPr>
                <w:rFonts w:asciiTheme="majorEastAsia" w:hAnsiTheme="majorEastAsia" w:eastAsiaTheme="majorEastAsia"/>
                <w:b/>
                <w:bCs/>
                <w:szCs w:val="21"/>
                <w:highlight w:val="none"/>
              </w:rPr>
              <w:t>设备名称</w:t>
            </w:r>
          </w:p>
        </w:tc>
        <w:tc>
          <w:tcPr>
            <w:tcW w:w="6940" w:type="dxa"/>
            <w:vAlign w:val="center"/>
          </w:tcPr>
          <w:p w14:paraId="3A96A14B">
            <w:pPr>
              <w:snapToGrid w:val="0"/>
              <w:spacing w:before="78" w:beforeLines="25" w:after="78" w:afterLines="25"/>
              <w:ind w:left="0" w:leftChars="0" w:right="0" w:rightChars="0" w:firstLine="0" w:firstLineChars="0"/>
              <w:jc w:val="center"/>
              <w:rPr>
                <w:rFonts w:hint="eastAsia" w:asciiTheme="majorEastAsia" w:hAnsiTheme="majorEastAsia" w:eastAsiaTheme="majorEastAsia"/>
                <w:b/>
                <w:bCs/>
                <w:szCs w:val="21"/>
                <w:highlight w:val="none"/>
              </w:rPr>
            </w:pPr>
            <w:r>
              <w:rPr>
                <w:rFonts w:asciiTheme="majorEastAsia" w:hAnsiTheme="majorEastAsia" w:eastAsiaTheme="majorEastAsia"/>
                <w:b/>
                <w:bCs/>
                <w:szCs w:val="21"/>
                <w:highlight w:val="none"/>
              </w:rPr>
              <w:t>参数</w:t>
            </w:r>
          </w:p>
        </w:tc>
      </w:tr>
      <w:tr w14:paraId="74D8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5A9DFEB0">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ascii="宋体" w:eastAsia="宋体" w:hAnsiTheme="majorEastAsia"/>
                <w:b/>
                <w:bCs/>
                <w:sz w:val="21"/>
                <w:szCs w:val="21"/>
                <w:highlight w:val="none"/>
              </w:rPr>
              <w:t>1</w:t>
            </w:r>
          </w:p>
        </w:tc>
        <w:tc>
          <w:tcPr>
            <w:tcW w:w="0" w:type="auto"/>
            <w:vAlign w:val="center"/>
          </w:tcPr>
          <w:p w14:paraId="7A4093A1">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400万像素半球智能网络摄像机</w:t>
            </w:r>
          </w:p>
        </w:tc>
        <w:tc>
          <w:tcPr>
            <w:tcW w:w="6940" w:type="dxa"/>
            <w:vAlign w:val="center"/>
          </w:tcPr>
          <w:p w14:paraId="1A6C84B2">
            <w:pPr>
              <w:numPr>
                <w:ilvl w:val="0"/>
                <w:numId w:val="7"/>
              </w:numPr>
              <w:tabs>
                <w:tab w:val="clear" w:pos="312"/>
              </w:tabs>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半球摄像机像素≥400万</w:t>
            </w:r>
            <w:r>
              <w:rPr>
                <w:rFonts w:ascii="宋体" w:eastAsia="宋体" w:hAnsiTheme="majorEastAsia"/>
                <w:b/>
                <w:sz w:val="21"/>
                <w:szCs w:val="21"/>
                <w:highlight w:val="none"/>
              </w:rPr>
              <w:br w:type="textWrapping"/>
            </w:r>
            <w:r>
              <w:rPr>
                <w:rFonts w:ascii="宋体" w:eastAsia="宋体" w:hAnsiTheme="majorEastAsia"/>
                <w:b/>
                <w:sz w:val="21"/>
                <w:szCs w:val="21"/>
                <w:highlight w:val="none"/>
              </w:rPr>
              <w:t>2. ▲半球摄像机传感器靶面尺寸：≥1/1.8"，摄像机最低照度：彩色≤0.001lx，黑白≤0.0001lx，</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宋体" w:eastAsia="宋体" w:hAnsiTheme="majorEastAsia"/>
                <w:b/>
                <w:sz w:val="21"/>
                <w:szCs w:val="21"/>
                <w:highlight w:val="none"/>
              </w:rPr>
              <w:t>未提供检测报告或系列产品证明扣</w:t>
            </w:r>
            <w:r>
              <w:rPr>
                <w:rFonts w:hint="eastAsia" w:ascii="宋体" w:eastAsia="宋体" w:hAnsiTheme="majorEastAsia"/>
                <w:b/>
                <w:sz w:val="21"/>
                <w:szCs w:val="21"/>
                <w:highlight w:val="none"/>
              </w:rPr>
              <w:t>2</w:t>
            </w:r>
            <w:r>
              <w:rPr>
                <w:rFonts w:ascii="宋体" w:eastAsia="宋体" w:hAnsiTheme="majorEastAsia"/>
                <w:b/>
                <w:sz w:val="21"/>
                <w:szCs w:val="21"/>
                <w:highlight w:val="none"/>
              </w:rPr>
              <w:t>分）</w:t>
            </w:r>
          </w:p>
          <w:p w14:paraId="502B6838">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3.摄像机内置麦克风需≥1个</w:t>
            </w:r>
            <w:r>
              <w:rPr>
                <w:rFonts w:ascii="宋体" w:eastAsia="宋体" w:hAnsiTheme="majorEastAsia"/>
                <w:b/>
                <w:sz w:val="21"/>
                <w:szCs w:val="21"/>
                <w:highlight w:val="none"/>
              </w:rPr>
              <w:br w:type="textWrapping"/>
            </w:r>
            <w:r>
              <w:rPr>
                <w:rFonts w:ascii="宋体" w:eastAsia="宋体" w:hAnsiTheme="majorEastAsia"/>
                <w:b/>
                <w:sz w:val="21"/>
                <w:szCs w:val="21"/>
                <w:highlight w:val="none"/>
              </w:rPr>
              <w:t>5.半球摄像机宽动态能力需≥120dB</w:t>
            </w:r>
            <w:r>
              <w:rPr>
                <w:rFonts w:ascii="宋体" w:eastAsia="宋体" w:hAnsiTheme="majorEastAsia"/>
                <w:b/>
                <w:sz w:val="21"/>
                <w:szCs w:val="21"/>
                <w:highlight w:val="none"/>
              </w:rPr>
              <w:br w:type="textWrapping"/>
            </w:r>
            <w:r>
              <w:rPr>
                <w:rFonts w:ascii="宋体" w:eastAsia="宋体" w:hAnsiTheme="majorEastAsia"/>
                <w:b/>
                <w:sz w:val="21"/>
                <w:szCs w:val="21"/>
                <w:highlight w:val="none"/>
              </w:rPr>
              <w:t>6.具备电动变焦功能，镜头焦距需覆盖2.8mm～12mm</w:t>
            </w:r>
          </w:p>
          <w:p w14:paraId="2C4A1818">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7.具备红外补光功能，红外补光距离需≥50m</w:t>
            </w:r>
          </w:p>
          <w:p w14:paraId="318B0BD7">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8.半球摄像机视频编码格式需支持H.265;H.264;</w:t>
            </w:r>
            <w:r>
              <w:rPr>
                <w:rFonts w:ascii="宋体" w:eastAsia="宋体" w:hAnsiTheme="majorEastAsia"/>
                <w:b/>
                <w:sz w:val="21"/>
                <w:szCs w:val="21"/>
                <w:highlight w:val="none"/>
              </w:rPr>
              <w:br w:type="textWrapping"/>
            </w:r>
            <w:r>
              <w:rPr>
                <w:rFonts w:ascii="宋体" w:eastAsia="宋体" w:hAnsiTheme="majorEastAsia"/>
                <w:b/>
                <w:sz w:val="21"/>
                <w:szCs w:val="21"/>
                <w:highlight w:val="none"/>
              </w:rPr>
              <w:t>9.▲具备人脸识别能力，支持检出两眼瞳距≤21像素点人脸图片；</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宋体" w:eastAsia="宋体" w:hAnsiTheme="majorEastAsia"/>
                <w:b/>
                <w:sz w:val="21"/>
                <w:szCs w:val="21"/>
                <w:highlight w:val="none"/>
              </w:rPr>
              <w:t>未提供检测报告或系列产品证明扣</w:t>
            </w:r>
            <w:r>
              <w:rPr>
                <w:rFonts w:hint="eastAsia" w:ascii="宋体" w:eastAsia="宋体" w:hAnsiTheme="majorEastAsia"/>
                <w:b/>
                <w:sz w:val="21"/>
                <w:szCs w:val="21"/>
                <w:highlight w:val="none"/>
              </w:rPr>
              <w:t>2</w:t>
            </w:r>
            <w:r>
              <w:rPr>
                <w:rFonts w:ascii="宋体" w:eastAsia="宋体" w:hAnsiTheme="majorEastAsia"/>
                <w:b/>
                <w:sz w:val="21"/>
                <w:szCs w:val="21"/>
                <w:highlight w:val="none"/>
              </w:rPr>
              <w:t>分）</w:t>
            </w:r>
            <w:r>
              <w:rPr>
                <w:rFonts w:ascii="宋体" w:eastAsia="宋体" w:hAnsiTheme="majorEastAsia"/>
                <w:b/>
                <w:sz w:val="21"/>
                <w:szCs w:val="21"/>
                <w:highlight w:val="none"/>
              </w:rPr>
              <w:br w:type="textWrapping"/>
            </w:r>
            <w:r>
              <w:rPr>
                <w:rFonts w:ascii="宋体" w:eastAsia="宋体" w:hAnsiTheme="majorEastAsia"/>
                <w:b/>
                <w:sz w:val="21"/>
                <w:szCs w:val="21"/>
                <w:highlight w:val="none"/>
              </w:rPr>
              <w:t>10. ▲摄像机抗冲击等级需≥IK08</w:t>
            </w:r>
            <w:r>
              <w:rPr>
                <w:rFonts w:hint="eastAsia" w:ascii="宋体" w:hAnsiTheme="majorEastAsia"/>
                <w:b/>
                <w:sz w:val="21"/>
                <w:szCs w:val="21"/>
                <w:highlight w:val="none"/>
                <w:lang w:eastAsia="zh-CN"/>
              </w:rPr>
              <w:t>，</w:t>
            </w:r>
            <w:r>
              <w:rPr>
                <w:rFonts w:hint="eastAsia" w:ascii="宋体" w:hAnsiTheme="majorEastAsia"/>
                <w:b/>
                <w:sz w:val="21"/>
                <w:szCs w:val="21"/>
                <w:highlight w:val="none"/>
                <w:lang w:val="en-US" w:eastAsia="zh-CN"/>
              </w:rPr>
              <w:t>(</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宋体" w:eastAsia="宋体" w:hAnsiTheme="majorEastAsia"/>
                <w:b/>
                <w:sz w:val="21"/>
                <w:szCs w:val="21"/>
                <w:highlight w:val="none"/>
              </w:rPr>
              <w:t>未提供检测报告或系列产品证明扣</w:t>
            </w:r>
            <w:r>
              <w:rPr>
                <w:rFonts w:hint="eastAsia" w:ascii="宋体" w:eastAsia="宋体" w:hAnsiTheme="majorEastAsia"/>
                <w:b/>
                <w:sz w:val="21"/>
                <w:szCs w:val="21"/>
                <w:highlight w:val="none"/>
              </w:rPr>
              <w:t>2</w:t>
            </w:r>
            <w:r>
              <w:rPr>
                <w:rFonts w:ascii="宋体" w:eastAsia="宋体" w:hAnsiTheme="majorEastAsia"/>
                <w:b/>
                <w:sz w:val="21"/>
                <w:szCs w:val="21"/>
                <w:highlight w:val="none"/>
              </w:rPr>
              <w:t>分）</w:t>
            </w:r>
          </w:p>
          <w:p w14:paraId="3E51F6A5">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11.支持本地SD卡存储，支持≥128G；网络异常时可实现本地存储</w:t>
            </w:r>
          </w:p>
          <w:p w14:paraId="696FF2FA">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12.具有≥1个RJ45网络接口，≥1路音频输入，≥1路音频输出</w:t>
            </w:r>
            <w:r>
              <w:rPr>
                <w:rFonts w:ascii="宋体" w:eastAsia="宋体" w:hAnsiTheme="majorEastAsia"/>
                <w:b/>
                <w:sz w:val="21"/>
                <w:szCs w:val="21"/>
                <w:highlight w:val="none"/>
              </w:rPr>
              <w:br w:type="textWrapping"/>
            </w:r>
            <w:r>
              <w:rPr>
                <w:rFonts w:ascii="宋体" w:eastAsia="宋体" w:hAnsiTheme="majorEastAsia"/>
                <w:b/>
                <w:sz w:val="21"/>
                <w:szCs w:val="21"/>
                <w:highlight w:val="none"/>
              </w:rPr>
              <w:t>13.供电方式：支持DC12V及POE供电</w:t>
            </w:r>
          </w:p>
          <w:p w14:paraId="06C95543">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14.▲半球摄像机软件升级过程中断电,重新加电后可恢复到升级前的软件版本，保证摄像机不会因升级中途断电而导致无法使用；（</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宋体" w:eastAsia="宋体" w:hAnsiTheme="majorEastAsia"/>
                <w:b/>
                <w:sz w:val="21"/>
                <w:szCs w:val="21"/>
                <w:highlight w:val="none"/>
              </w:rPr>
              <w:t>未提供检测报告或系列产品证明扣</w:t>
            </w:r>
            <w:r>
              <w:rPr>
                <w:rFonts w:hint="eastAsia" w:ascii="宋体" w:eastAsia="宋体" w:hAnsiTheme="majorEastAsia"/>
                <w:b/>
                <w:sz w:val="21"/>
                <w:szCs w:val="21"/>
                <w:highlight w:val="none"/>
              </w:rPr>
              <w:t>2</w:t>
            </w:r>
            <w:r>
              <w:rPr>
                <w:rFonts w:ascii="宋体" w:eastAsia="宋体" w:hAnsiTheme="majorEastAsia"/>
                <w:b/>
                <w:sz w:val="21"/>
                <w:szCs w:val="21"/>
                <w:highlight w:val="none"/>
              </w:rPr>
              <w:t>分）</w:t>
            </w:r>
            <w:r>
              <w:rPr>
                <w:rFonts w:ascii="宋体" w:eastAsia="宋体" w:hAnsiTheme="majorEastAsia"/>
                <w:b/>
                <w:sz w:val="21"/>
                <w:szCs w:val="21"/>
                <w:highlight w:val="none"/>
              </w:rPr>
              <w:br w:type="textWrapping"/>
            </w:r>
            <w:r>
              <w:rPr>
                <w:rFonts w:ascii="宋体" w:eastAsia="宋体" w:hAnsiTheme="majorEastAsia"/>
                <w:b/>
                <w:sz w:val="21"/>
                <w:szCs w:val="21"/>
                <w:highlight w:val="none"/>
              </w:rPr>
              <w:t>15.</w:t>
            </w:r>
            <w:r>
              <w:rPr>
                <w:rFonts w:hint="eastAsia" w:ascii="宋体" w:eastAsia="宋体"/>
                <w:sz w:val="21"/>
                <w:highlight w:val="none"/>
              </w:rPr>
              <w:t xml:space="preserve"> </w:t>
            </w:r>
            <w:r>
              <w:rPr>
                <w:rFonts w:ascii="宋体" w:eastAsia="宋体" w:hAnsiTheme="majorEastAsia"/>
                <w:b/>
                <w:sz w:val="21"/>
                <w:szCs w:val="21"/>
                <w:highlight w:val="none"/>
              </w:rPr>
              <w:t>▲因所需监控核心设备均属于行业级设备，为了区别于民用级设备保证项目顺利交付，</w:t>
            </w:r>
            <w:r>
              <w:rPr>
                <w:rFonts w:hint="eastAsia" w:ascii="宋体" w:hAnsiTheme="majorEastAsia"/>
                <w:b/>
                <w:sz w:val="21"/>
                <w:szCs w:val="21"/>
                <w:highlight w:val="none"/>
                <w:lang w:eastAsia="zh-CN"/>
              </w:rPr>
              <w:t>供应商应出具所投产品合法来源渠道承诺函及签订合同时提供原厂三年质保及原厂授权的承诺函加盖公章。未提供承诺函的扣2分</w:t>
            </w:r>
            <w:r>
              <w:rPr>
                <w:rFonts w:ascii="宋体" w:eastAsia="宋体" w:hAnsiTheme="majorEastAsia"/>
                <w:b/>
                <w:sz w:val="21"/>
                <w:szCs w:val="21"/>
                <w:highlight w:val="none"/>
              </w:rPr>
              <w:t>。</w:t>
            </w:r>
            <w:r>
              <w:rPr>
                <w:rFonts w:ascii="宋体" w:eastAsia="宋体" w:hAnsiTheme="majorEastAsia"/>
                <w:b/>
                <w:sz w:val="21"/>
                <w:szCs w:val="21"/>
                <w:highlight w:val="none"/>
              </w:rPr>
              <w:br w:type="textWrapping"/>
            </w:r>
            <w:r>
              <w:rPr>
                <w:rFonts w:ascii="宋体" w:eastAsia="宋体" w:hAnsiTheme="majorEastAsia"/>
                <w:b/>
                <w:sz w:val="21"/>
                <w:szCs w:val="21"/>
                <w:highlight w:val="none"/>
              </w:rPr>
              <w:t>16.★为保证设备顺利接入监控平台，满足不同品牌接入，设备需支持接入标准:ONVIF协议、GB/T28181国标标准（需供应商提供保证书并加盖公章）</w:t>
            </w:r>
          </w:p>
        </w:tc>
      </w:tr>
      <w:tr w14:paraId="5803D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36DE37C0">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ascii="宋体" w:eastAsia="宋体" w:hAnsiTheme="majorEastAsia"/>
                <w:b/>
                <w:bCs/>
                <w:sz w:val="21"/>
                <w:szCs w:val="21"/>
                <w:highlight w:val="none"/>
              </w:rPr>
              <w:t>2</w:t>
            </w:r>
          </w:p>
        </w:tc>
        <w:tc>
          <w:tcPr>
            <w:tcW w:w="0" w:type="auto"/>
            <w:vAlign w:val="center"/>
          </w:tcPr>
          <w:p w14:paraId="060DA0E3">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400万像素半球网络摄像机</w:t>
            </w:r>
          </w:p>
        </w:tc>
        <w:tc>
          <w:tcPr>
            <w:tcW w:w="6940" w:type="dxa"/>
            <w:vAlign w:val="center"/>
          </w:tcPr>
          <w:p w14:paraId="53E1D9AA">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1.半球摄像机像素≥400万</w:t>
            </w:r>
          </w:p>
          <w:p w14:paraId="1A682740">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2.▲半球摄像机传感器靶面尺寸：≥1/3"，摄像机最低照度：彩色≤0.002lx，黑白≤0.0002lx，</w:t>
            </w:r>
            <w:r>
              <w:rPr>
                <w:rFonts w:hint="eastAsia" w:ascii="宋体" w:hAnsiTheme="majorEastAsia"/>
                <w:b/>
                <w:sz w:val="21"/>
                <w:szCs w:val="21"/>
                <w:highlight w:val="none"/>
                <w:lang w:val="en-US" w:eastAsia="zh-CN"/>
              </w:rPr>
              <w:t>(</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宋体" w:eastAsia="宋体" w:hAnsiTheme="majorEastAsia"/>
                <w:b/>
                <w:sz w:val="21"/>
                <w:szCs w:val="21"/>
                <w:highlight w:val="none"/>
              </w:rPr>
              <w:t>未提供检测报告或系列产品证明扣</w:t>
            </w:r>
            <w:r>
              <w:rPr>
                <w:rFonts w:hint="eastAsia" w:ascii="宋体" w:eastAsia="宋体" w:hAnsiTheme="majorEastAsia"/>
                <w:b/>
                <w:sz w:val="21"/>
                <w:szCs w:val="21"/>
                <w:highlight w:val="none"/>
              </w:rPr>
              <w:t>2</w:t>
            </w:r>
            <w:r>
              <w:rPr>
                <w:rFonts w:ascii="宋体" w:eastAsia="宋体" w:hAnsiTheme="majorEastAsia"/>
                <w:b/>
                <w:sz w:val="21"/>
                <w:szCs w:val="21"/>
                <w:highlight w:val="none"/>
              </w:rPr>
              <w:t>分）</w:t>
            </w:r>
            <w:r>
              <w:rPr>
                <w:rFonts w:ascii="宋体" w:eastAsia="宋体" w:hAnsiTheme="majorEastAsia"/>
                <w:b/>
                <w:sz w:val="21"/>
                <w:szCs w:val="21"/>
                <w:highlight w:val="none"/>
              </w:rPr>
              <w:br w:type="textWrapping"/>
            </w:r>
            <w:r>
              <w:rPr>
                <w:rFonts w:ascii="宋体" w:eastAsia="宋体" w:hAnsiTheme="majorEastAsia"/>
                <w:b/>
                <w:sz w:val="21"/>
                <w:szCs w:val="21"/>
                <w:highlight w:val="none"/>
              </w:rPr>
              <w:t>3.摄像机内置麦克风需≥1个</w:t>
            </w:r>
            <w:r>
              <w:rPr>
                <w:rFonts w:ascii="宋体" w:eastAsia="宋体" w:hAnsiTheme="majorEastAsia"/>
                <w:b/>
                <w:sz w:val="21"/>
                <w:szCs w:val="21"/>
                <w:highlight w:val="none"/>
              </w:rPr>
              <w:br w:type="textWrapping"/>
            </w:r>
            <w:r>
              <w:rPr>
                <w:rFonts w:ascii="宋体" w:eastAsia="宋体" w:hAnsiTheme="majorEastAsia"/>
                <w:b/>
                <w:sz w:val="21"/>
                <w:szCs w:val="21"/>
                <w:highlight w:val="none"/>
              </w:rPr>
              <w:t>4.半球摄像机宽动态能力需≥120dB</w:t>
            </w:r>
            <w:r>
              <w:rPr>
                <w:rFonts w:ascii="宋体" w:eastAsia="宋体" w:hAnsiTheme="majorEastAsia"/>
                <w:b/>
                <w:sz w:val="21"/>
                <w:szCs w:val="21"/>
                <w:highlight w:val="none"/>
              </w:rPr>
              <w:br w:type="textWrapping"/>
            </w:r>
            <w:r>
              <w:rPr>
                <w:rFonts w:ascii="宋体" w:eastAsia="宋体" w:hAnsiTheme="majorEastAsia"/>
                <w:b/>
                <w:sz w:val="21"/>
                <w:szCs w:val="21"/>
                <w:highlight w:val="none"/>
              </w:rPr>
              <w:t>5.具备电动变焦功能，镜头焦距需覆盖≥2.8mm～≤12mm</w:t>
            </w:r>
            <w:r>
              <w:rPr>
                <w:rFonts w:ascii="宋体" w:eastAsia="宋体" w:hAnsiTheme="majorEastAsia"/>
                <w:b/>
                <w:sz w:val="21"/>
                <w:szCs w:val="21"/>
                <w:highlight w:val="none"/>
              </w:rPr>
              <w:br w:type="textWrapping"/>
            </w:r>
            <w:r>
              <w:rPr>
                <w:rFonts w:ascii="宋体" w:eastAsia="宋体" w:hAnsiTheme="majorEastAsia"/>
                <w:b/>
                <w:sz w:val="21"/>
                <w:szCs w:val="21"/>
                <w:highlight w:val="none"/>
              </w:rPr>
              <w:t>6.具备红外补光功能，红外补光距离需≥50m</w:t>
            </w:r>
            <w:r>
              <w:rPr>
                <w:rFonts w:ascii="宋体" w:eastAsia="宋体" w:hAnsiTheme="majorEastAsia"/>
                <w:b/>
                <w:sz w:val="21"/>
                <w:szCs w:val="21"/>
                <w:highlight w:val="none"/>
              </w:rPr>
              <w:br w:type="textWrapping"/>
            </w:r>
            <w:r>
              <w:rPr>
                <w:rFonts w:ascii="宋体" w:eastAsia="宋体" w:hAnsiTheme="majorEastAsia"/>
                <w:b/>
                <w:sz w:val="21"/>
                <w:szCs w:val="21"/>
                <w:highlight w:val="none"/>
              </w:rPr>
              <w:t>7.半球摄像机视频编码格式需支持H.265;H.264;</w:t>
            </w:r>
            <w:r>
              <w:rPr>
                <w:rFonts w:ascii="宋体" w:eastAsia="宋体" w:hAnsiTheme="majorEastAsia"/>
                <w:b/>
                <w:sz w:val="21"/>
                <w:szCs w:val="21"/>
                <w:highlight w:val="none"/>
              </w:rPr>
              <w:br w:type="textWrapping"/>
            </w:r>
            <w:r>
              <w:rPr>
                <w:rFonts w:ascii="宋体" w:eastAsia="宋体" w:hAnsiTheme="majorEastAsia"/>
                <w:b/>
                <w:sz w:val="21"/>
                <w:szCs w:val="21"/>
                <w:highlight w:val="none"/>
              </w:rPr>
              <w:t>8. ▲摄像机抗冲击等级需≥IK08</w:t>
            </w:r>
            <w:r>
              <w:rPr>
                <w:rFonts w:hint="eastAsia" w:ascii="宋体" w:hAnsiTheme="majorEastAsia"/>
                <w:b/>
                <w:sz w:val="21"/>
                <w:szCs w:val="21"/>
                <w:highlight w:val="none"/>
                <w:lang w:eastAsia="zh-CN"/>
              </w:rPr>
              <w:t>，</w:t>
            </w:r>
            <w:r>
              <w:rPr>
                <w:rFonts w:hint="eastAsia" w:ascii="宋体" w:hAnsiTheme="majorEastAsia"/>
                <w:b/>
                <w:sz w:val="21"/>
                <w:szCs w:val="21"/>
                <w:highlight w:val="none"/>
                <w:lang w:val="en-US" w:eastAsia="zh-CN"/>
              </w:rPr>
              <w:t>(</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宋体" w:eastAsia="宋体" w:hAnsiTheme="majorEastAsia"/>
                <w:b/>
                <w:sz w:val="21"/>
                <w:szCs w:val="21"/>
                <w:highlight w:val="none"/>
              </w:rPr>
              <w:t>未提供检测报告或系列产品证明扣</w:t>
            </w:r>
            <w:r>
              <w:rPr>
                <w:rFonts w:hint="eastAsia" w:ascii="宋体" w:eastAsia="宋体" w:hAnsiTheme="majorEastAsia"/>
                <w:b/>
                <w:sz w:val="21"/>
                <w:szCs w:val="21"/>
                <w:highlight w:val="none"/>
              </w:rPr>
              <w:t>2</w:t>
            </w:r>
            <w:r>
              <w:rPr>
                <w:rFonts w:ascii="宋体" w:eastAsia="宋体" w:hAnsiTheme="majorEastAsia"/>
                <w:b/>
                <w:sz w:val="21"/>
                <w:szCs w:val="21"/>
                <w:highlight w:val="none"/>
              </w:rPr>
              <w:t>分）</w:t>
            </w:r>
          </w:p>
          <w:p w14:paraId="28B68995">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9.支持本地SD卡存储，支持≥128G；网络异常时可实现本地存储</w:t>
            </w:r>
          </w:p>
          <w:p w14:paraId="7DC8EFF8">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10.具有≥1个RJ45网络接口，≥1路音频输入</w:t>
            </w:r>
            <w:r>
              <w:rPr>
                <w:rFonts w:ascii="宋体" w:eastAsia="宋体" w:hAnsiTheme="majorEastAsia"/>
                <w:b/>
                <w:sz w:val="21"/>
                <w:szCs w:val="21"/>
                <w:highlight w:val="none"/>
              </w:rPr>
              <w:br w:type="textWrapping"/>
            </w:r>
            <w:r>
              <w:rPr>
                <w:rFonts w:ascii="宋体" w:eastAsia="宋体" w:hAnsiTheme="majorEastAsia"/>
                <w:b/>
                <w:sz w:val="21"/>
                <w:szCs w:val="21"/>
                <w:highlight w:val="none"/>
              </w:rPr>
              <w:t>11.供电方式：支持DC12V及POE供电</w:t>
            </w:r>
          </w:p>
          <w:p w14:paraId="20AAEAF1">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12.▲半球摄像机软件升级过程中断电,重新加电后可恢复到升级前的软件版本，保证摄像机不会因升级中途断电而导致无法使用；（</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宋体" w:eastAsia="宋体" w:hAnsiTheme="majorEastAsia"/>
                <w:b/>
                <w:sz w:val="21"/>
                <w:szCs w:val="21"/>
                <w:highlight w:val="none"/>
              </w:rPr>
              <w:t>未提供检测报告或系列产品证明扣</w:t>
            </w:r>
            <w:r>
              <w:rPr>
                <w:rFonts w:hint="eastAsia" w:ascii="宋体" w:eastAsia="宋体" w:hAnsiTheme="majorEastAsia"/>
                <w:b/>
                <w:sz w:val="21"/>
                <w:szCs w:val="21"/>
                <w:highlight w:val="none"/>
              </w:rPr>
              <w:t>2</w:t>
            </w:r>
            <w:r>
              <w:rPr>
                <w:rFonts w:ascii="宋体" w:eastAsia="宋体" w:hAnsiTheme="majorEastAsia"/>
                <w:b/>
                <w:sz w:val="21"/>
                <w:szCs w:val="21"/>
                <w:highlight w:val="none"/>
              </w:rPr>
              <w:t>分）</w:t>
            </w:r>
            <w:r>
              <w:rPr>
                <w:rFonts w:ascii="宋体" w:eastAsia="宋体" w:hAnsiTheme="majorEastAsia"/>
                <w:b/>
                <w:sz w:val="21"/>
                <w:szCs w:val="21"/>
                <w:highlight w:val="none"/>
              </w:rPr>
              <w:br w:type="textWrapping"/>
            </w:r>
            <w:r>
              <w:rPr>
                <w:rFonts w:ascii="宋体" w:eastAsia="宋体" w:hAnsiTheme="majorEastAsia"/>
                <w:b/>
                <w:sz w:val="21"/>
                <w:szCs w:val="21"/>
                <w:highlight w:val="none"/>
              </w:rPr>
              <w:t>13.</w:t>
            </w:r>
            <w:r>
              <w:rPr>
                <w:rFonts w:hint="eastAsia" w:ascii="宋体" w:eastAsia="宋体"/>
                <w:sz w:val="21"/>
                <w:highlight w:val="none"/>
              </w:rPr>
              <w:t xml:space="preserve"> </w:t>
            </w:r>
            <w:r>
              <w:rPr>
                <w:rFonts w:ascii="宋体" w:eastAsia="宋体" w:hAnsiTheme="majorEastAsia"/>
                <w:b/>
                <w:sz w:val="21"/>
                <w:szCs w:val="21"/>
                <w:highlight w:val="none"/>
              </w:rPr>
              <w:t>▲因所需监控核心设备均属于行业级设备，为了区别于民用级设备保证项目顺利交付，</w:t>
            </w:r>
            <w:r>
              <w:rPr>
                <w:rFonts w:hint="eastAsia" w:ascii="宋体" w:hAnsiTheme="majorEastAsia"/>
                <w:b/>
                <w:sz w:val="21"/>
                <w:szCs w:val="21"/>
                <w:highlight w:val="none"/>
                <w:lang w:eastAsia="zh-CN"/>
              </w:rPr>
              <w:t>供应商应出具所投产品合法来源渠道承诺函及签订合同时提供原厂三年质保及原厂授权的承诺函加盖公章。未提供承诺函的扣2分</w:t>
            </w:r>
            <w:r>
              <w:rPr>
                <w:rFonts w:ascii="宋体" w:eastAsia="宋体" w:hAnsiTheme="majorEastAsia"/>
                <w:b/>
                <w:sz w:val="21"/>
                <w:szCs w:val="21"/>
                <w:highlight w:val="none"/>
              </w:rPr>
              <w:t>。</w:t>
            </w:r>
            <w:r>
              <w:rPr>
                <w:rFonts w:ascii="宋体" w:eastAsia="宋体" w:hAnsiTheme="majorEastAsia"/>
                <w:b/>
                <w:sz w:val="21"/>
                <w:szCs w:val="21"/>
                <w:highlight w:val="none"/>
              </w:rPr>
              <w:br w:type="textWrapping"/>
            </w:r>
            <w:r>
              <w:rPr>
                <w:rFonts w:ascii="宋体" w:eastAsia="宋体" w:hAnsiTheme="majorEastAsia"/>
                <w:b/>
                <w:sz w:val="21"/>
                <w:szCs w:val="21"/>
                <w:highlight w:val="none"/>
              </w:rPr>
              <w:t>14.★为保证设备顺利接入监控平台，满足不同品牌接入，设备需支持接入标准:ONVIF协议、GB/T28181国标标准（需供应商提供保证书并加盖公章）</w:t>
            </w:r>
          </w:p>
        </w:tc>
      </w:tr>
      <w:tr w14:paraId="6677B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19BE3065">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3</w:t>
            </w:r>
          </w:p>
        </w:tc>
        <w:tc>
          <w:tcPr>
            <w:tcW w:w="0" w:type="auto"/>
            <w:vAlign w:val="center"/>
          </w:tcPr>
          <w:p w14:paraId="30534A11">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400万像素枪式网络摄像机</w:t>
            </w:r>
          </w:p>
        </w:tc>
        <w:tc>
          <w:tcPr>
            <w:tcW w:w="6940" w:type="dxa"/>
            <w:vAlign w:val="center"/>
          </w:tcPr>
          <w:p w14:paraId="064D2A92">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1.摄像机像素≥400万</w:t>
            </w:r>
          </w:p>
          <w:p w14:paraId="5966E5F3">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2.▲摄像机传感器靶面尺寸：≥1/3"，摄像机最低照度：彩色≤0.002lx，黑白≤0.0002lx(</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宋体" w:eastAsia="宋体" w:hAnsiTheme="majorEastAsia"/>
                <w:b/>
                <w:sz w:val="21"/>
                <w:szCs w:val="21"/>
                <w:highlight w:val="none"/>
              </w:rPr>
              <w:t>未提供检测报告或系列产品证明扣</w:t>
            </w:r>
            <w:r>
              <w:rPr>
                <w:rFonts w:hint="eastAsia" w:ascii="宋体" w:eastAsia="宋体" w:hAnsiTheme="majorEastAsia"/>
                <w:b/>
                <w:sz w:val="21"/>
                <w:szCs w:val="21"/>
                <w:highlight w:val="none"/>
              </w:rPr>
              <w:t>2</w:t>
            </w:r>
            <w:r>
              <w:rPr>
                <w:rFonts w:ascii="宋体" w:eastAsia="宋体" w:hAnsiTheme="majorEastAsia"/>
                <w:b/>
                <w:sz w:val="21"/>
                <w:szCs w:val="21"/>
                <w:highlight w:val="none"/>
              </w:rPr>
              <w:t>分）</w:t>
            </w:r>
          </w:p>
          <w:p w14:paraId="5B907CFC">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3.摄像机内置麦克风需≥1个</w:t>
            </w:r>
          </w:p>
          <w:p w14:paraId="5117A3FE">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5.摄像机宽动态能力需≥120dB</w:t>
            </w:r>
          </w:p>
          <w:p w14:paraId="12FB15F4">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6.具备电动变焦功能，镜头焦距需覆盖2.8mm～12mm</w:t>
            </w:r>
          </w:p>
          <w:p w14:paraId="4585DA7A">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7.具备红外补光功能，红外补光距离需≥50m</w:t>
            </w:r>
          </w:p>
          <w:p w14:paraId="3B1B53EF">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8.摄像机视频编码格式需支持H.265;H.264;</w:t>
            </w:r>
          </w:p>
          <w:p w14:paraId="226FDAF5">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10.支持本地SD卡存储，支持≥128G；网络异常时可实现本地存储</w:t>
            </w:r>
          </w:p>
          <w:p w14:paraId="382FA865">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11.具有≥1个RJ45网络接口，≥1路音频输入，≥1路音频输出</w:t>
            </w:r>
          </w:p>
          <w:p w14:paraId="175BF7CC">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12.供电方式：支持DC12V及POE供电</w:t>
            </w:r>
          </w:p>
          <w:p w14:paraId="3E3DFD10">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13.▲摄像机软件升级过程中断电,重新加电后可恢复到升级前的软件版本，保证摄像机不会因升级中途断电而导致无法使用；（</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宋体" w:eastAsia="宋体" w:hAnsiTheme="majorEastAsia"/>
                <w:b/>
                <w:sz w:val="21"/>
                <w:szCs w:val="21"/>
                <w:highlight w:val="none"/>
              </w:rPr>
              <w:t>未提供检测报告或系列产品证明扣</w:t>
            </w:r>
            <w:r>
              <w:rPr>
                <w:rFonts w:hint="eastAsia" w:ascii="宋体" w:eastAsia="宋体" w:hAnsiTheme="majorEastAsia"/>
                <w:b/>
                <w:sz w:val="21"/>
                <w:szCs w:val="21"/>
                <w:highlight w:val="none"/>
              </w:rPr>
              <w:t>2</w:t>
            </w:r>
            <w:r>
              <w:rPr>
                <w:rFonts w:ascii="宋体" w:eastAsia="宋体" w:hAnsiTheme="majorEastAsia"/>
                <w:b/>
                <w:sz w:val="21"/>
                <w:szCs w:val="21"/>
                <w:highlight w:val="none"/>
              </w:rPr>
              <w:t>分）</w:t>
            </w:r>
          </w:p>
          <w:p w14:paraId="6B22323D">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14. ▲因所需监控核心设备均属于行业级设备，为了区别于民用级设备保证项目顺利交付，</w:t>
            </w:r>
            <w:r>
              <w:rPr>
                <w:rFonts w:hint="eastAsia" w:ascii="宋体" w:hAnsiTheme="majorEastAsia"/>
                <w:b/>
                <w:sz w:val="21"/>
                <w:szCs w:val="21"/>
                <w:highlight w:val="none"/>
                <w:lang w:eastAsia="zh-CN"/>
              </w:rPr>
              <w:t>供应商应出具所投产品合法来源渠道承诺函及签订合同时提供原厂三年质保及原厂授权的承诺函加盖公章。未提供承诺函的扣2分</w:t>
            </w:r>
            <w:r>
              <w:rPr>
                <w:rFonts w:ascii="宋体" w:eastAsia="宋体" w:hAnsiTheme="majorEastAsia"/>
                <w:b/>
                <w:sz w:val="21"/>
                <w:szCs w:val="21"/>
                <w:highlight w:val="none"/>
              </w:rPr>
              <w:t>。</w:t>
            </w:r>
          </w:p>
          <w:p w14:paraId="19EE4FCA">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15.★为保证设备顺利接入监控平台，满足不同品牌接入，设备需支持接入标准:ONVIF协议、GB/T28181国标标准（需供应商提供保证书并加盖公章）</w:t>
            </w:r>
          </w:p>
        </w:tc>
      </w:tr>
      <w:tr w14:paraId="2A841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196D588F">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4</w:t>
            </w:r>
          </w:p>
        </w:tc>
        <w:tc>
          <w:tcPr>
            <w:tcW w:w="0" w:type="auto"/>
            <w:vAlign w:val="center"/>
          </w:tcPr>
          <w:p w14:paraId="12EB330E">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400万像素电梯专用智能网络摄像机</w:t>
            </w:r>
          </w:p>
        </w:tc>
        <w:tc>
          <w:tcPr>
            <w:tcW w:w="6940" w:type="dxa"/>
            <w:vAlign w:val="center"/>
          </w:tcPr>
          <w:p w14:paraId="6412500A">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1.电梯摄像机像素≥400万像素</w:t>
            </w:r>
          </w:p>
          <w:p w14:paraId="2D957310">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2.最低照度彩色≤0.01lx，黑白≤0.001lx</w:t>
            </w:r>
          </w:p>
          <w:p w14:paraId="596C0813">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3.支持SD卡网络异常时可实现本地存储。</w:t>
            </w:r>
          </w:p>
          <w:p w14:paraId="207EA3E3">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4.具有≥1个RJ45网络接口，≥1个音频输入，≥1个音频输出</w:t>
            </w:r>
          </w:p>
          <w:p w14:paraId="3561ECEB">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5.需支持PoE供电</w:t>
            </w:r>
          </w:p>
          <w:p w14:paraId="08CAC8B8">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6.▲需支持≥IK08抗冲击等级（</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宋体" w:eastAsia="宋体" w:hAnsiTheme="majorEastAsia"/>
                <w:b/>
                <w:sz w:val="21"/>
                <w:szCs w:val="21"/>
                <w:highlight w:val="none"/>
              </w:rPr>
              <w:t>未提供检测报告或系列产品证明扣</w:t>
            </w:r>
            <w:r>
              <w:rPr>
                <w:rFonts w:hint="eastAsia" w:ascii="宋体" w:eastAsia="宋体" w:hAnsiTheme="majorEastAsia"/>
                <w:b/>
                <w:sz w:val="21"/>
                <w:szCs w:val="21"/>
                <w:highlight w:val="none"/>
              </w:rPr>
              <w:t>2</w:t>
            </w:r>
            <w:r>
              <w:rPr>
                <w:rFonts w:ascii="宋体" w:eastAsia="宋体" w:hAnsiTheme="majorEastAsia"/>
                <w:b/>
                <w:sz w:val="21"/>
                <w:szCs w:val="21"/>
                <w:highlight w:val="none"/>
              </w:rPr>
              <w:t>分）</w:t>
            </w:r>
          </w:p>
          <w:p w14:paraId="6682EA0C">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7.视频输出支持2560×1440、25fps</w:t>
            </w:r>
          </w:p>
          <w:p w14:paraId="4759B8D5">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8.需支持背光补偿，强光抑制，3D数字降噪，≥120 dB宽动态</w:t>
            </w:r>
          </w:p>
          <w:p w14:paraId="5814A17D">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9.★为满足平台对不同品牌接入，设备需支持接入标准:ONVIF协议、GB/T28181国标标准（需供应商提供保证书并加盖公章）</w:t>
            </w:r>
          </w:p>
        </w:tc>
      </w:tr>
      <w:tr w14:paraId="3AA2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288BE99D">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5</w:t>
            </w:r>
          </w:p>
        </w:tc>
        <w:tc>
          <w:tcPr>
            <w:tcW w:w="0" w:type="auto"/>
            <w:vAlign w:val="center"/>
          </w:tcPr>
          <w:p w14:paraId="1A8DE941">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电梯专用网桥</w:t>
            </w:r>
          </w:p>
        </w:tc>
        <w:tc>
          <w:tcPr>
            <w:tcW w:w="6940" w:type="dxa"/>
            <w:vAlign w:val="center"/>
          </w:tcPr>
          <w:p w14:paraId="513A2573">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1、支持准:IEEE802.11 b/g/n（2T2R300Mbps）</w:t>
            </w:r>
          </w:p>
          <w:p w14:paraId="3EBB8784">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2、天线增益:内置天线：增益≥6dBi；水平≥65度，垂直≥60度</w:t>
            </w:r>
          </w:p>
          <w:p w14:paraId="3B4AAB85">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最大传输速率:11n模式：≥300Mbps(40M信道宽度)，≥130(20M信道宽度)，11g模式：≥54Mbps，电源:支持12</w:t>
            </w:r>
            <w:r>
              <w:rPr>
                <w:rFonts w:ascii="宋体" w:hAnsi="Cambria Math" w:eastAsia="宋体" w:cs="Cambria Math"/>
                <w:b/>
                <w:sz w:val="21"/>
                <w:szCs w:val="21"/>
                <w:highlight w:val="none"/>
              </w:rPr>
              <w:t>‑</w:t>
            </w:r>
            <w:r>
              <w:rPr>
                <w:rFonts w:ascii="宋体" w:eastAsia="宋体" w:hAnsiTheme="majorEastAsia"/>
                <w:b/>
                <w:sz w:val="21"/>
                <w:szCs w:val="21"/>
                <w:highlight w:val="none"/>
              </w:rPr>
              <w:t>24V 被动 PoE 输入及DC 12V，工作温度:-20℃~55℃</w:t>
            </w:r>
            <w:r>
              <w:rPr>
                <w:rFonts w:ascii="宋体" w:eastAsia="宋体" w:hAnsiTheme="majorEastAsia"/>
                <w:b/>
                <w:sz w:val="21"/>
                <w:szCs w:val="21"/>
                <w:highlight w:val="none"/>
              </w:rPr>
              <w:br w:type="textWrapping"/>
            </w:r>
            <w:r>
              <w:rPr>
                <w:rFonts w:ascii="宋体" w:eastAsia="宋体" w:hAnsiTheme="majorEastAsia"/>
                <w:b/>
                <w:sz w:val="21"/>
                <w:szCs w:val="21"/>
                <w:highlight w:val="none"/>
              </w:rPr>
              <w:t>3、≥2个10/100/1000Base-T以太网端口</w:t>
            </w:r>
            <w:r>
              <w:rPr>
                <w:rFonts w:ascii="宋体" w:eastAsia="宋体" w:hAnsiTheme="majorEastAsia"/>
                <w:b/>
                <w:sz w:val="21"/>
                <w:szCs w:val="21"/>
                <w:highlight w:val="none"/>
              </w:rPr>
              <w:br w:type="textWrapping"/>
            </w:r>
            <w:r>
              <w:rPr>
                <w:rFonts w:ascii="宋体" w:eastAsia="宋体" w:hAnsiTheme="majorEastAsia"/>
                <w:b/>
                <w:sz w:val="21"/>
                <w:szCs w:val="21"/>
                <w:highlight w:val="none"/>
              </w:rPr>
              <w:t>4、传输距离≥100米</w:t>
            </w:r>
          </w:p>
        </w:tc>
      </w:tr>
      <w:tr w14:paraId="43995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3D7A9074">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6</w:t>
            </w:r>
          </w:p>
        </w:tc>
        <w:tc>
          <w:tcPr>
            <w:tcW w:w="0" w:type="auto"/>
            <w:vAlign w:val="center"/>
          </w:tcPr>
          <w:p w14:paraId="220498F2">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DC12V2A电源适配器</w:t>
            </w:r>
          </w:p>
        </w:tc>
        <w:tc>
          <w:tcPr>
            <w:tcW w:w="6940" w:type="dxa"/>
            <w:vAlign w:val="center"/>
          </w:tcPr>
          <w:p w14:paraId="27BA4CE0">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1、输入电压：AC100V</w:t>
            </w:r>
            <w:r>
              <w:rPr>
                <w:rFonts w:ascii="宋体" w:hAnsi="Cambria Math" w:eastAsia="宋体" w:cs="Cambria Math"/>
                <w:b/>
                <w:sz w:val="21"/>
                <w:szCs w:val="21"/>
                <w:highlight w:val="none"/>
              </w:rPr>
              <w:t>‑</w:t>
            </w:r>
            <w:r>
              <w:rPr>
                <w:rFonts w:ascii="宋体" w:eastAsia="宋体" w:hAnsiTheme="majorEastAsia"/>
                <w:b/>
                <w:sz w:val="21"/>
                <w:szCs w:val="21"/>
                <w:highlight w:val="none"/>
              </w:rPr>
              <w:t>240V，50/60Hz</w:t>
            </w:r>
          </w:p>
          <w:p w14:paraId="312407D1">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2、输出：DC12V，额定输出电流≥2A</w:t>
            </w:r>
          </w:p>
          <w:p w14:paraId="4E4C999E">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3、具备国家 CCC认证</w:t>
            </w:r>
          </w:p>
          <w:p w14:paraId="256C377C">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4、适应室内监控设备使用环境，具备过流、过压、短路保护功能</w:t>
            </w:r>
          </w:p>
        </w:tc>
      </w:tr>
      <w:tr w14:paraId="2ED88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14D00F1F">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ascii="宋体" w:eastAsia="宋体" w:hAnsiTheme="majorEastAsia"/>
                <w:b/>
                <w:bCs/>
                <w:sz w:val="21"/>
                <w:szCs w:val="21"/>
                <w:highlight w:val="none"/>
              </w:rPr>
              <w:t>7</w:t>
            </w:r>
          </w:p>
        </w:tc>
        <w:tc>
          <w:tcPr>
            <w:tcW w:w="0" w:type="auto"/>
            <w:vAlign w:val="center"/>
          </w:tcPr>
          <w:p w14:paraId="0CE0E01F">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枪式摄像机壁装支架</w:t>
            </w:r>
          </w:p>
        </w:tc>
        <w:tc>
          <w:tcPr>
            <w:tcW w:w="6940" w:type="dxa"/>
            <w:vAlign w:val="center"/>
          </w:tcPr>
          <w:p w14:paraId="2A02C028">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1.安装方式：壁装</w:t>
            </w:r>
          </w:p>
          <w:p w14:paraId="46928F87">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2.金属材质</w:t>
            </w:r>
          </w:p>
          <w:p w14:paraId="7F991571">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3.尺寸≥70×90×170mm</w:t>
            </w:r>
          </w:p>
        </w:tc>
      </w:tr>
      <w:tr w14:paraId="44002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10329D01">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8</w:t>
            </w:r>
          </w:p>
        </w:tc>
        <w:tc>
          <w:tcPr>
            <w:tcW w:w="0" w:type="auto"/>
            <w:vAlign w:val="center"/>
          </w:tcPr>
          <w:p w14:paraId="00BDE072">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视频监控存储专用硬盘8TB</w:t>
            </w:r>
          </w:p>
        </w:tc>
        <w:tc>
          <w:tcPr>
            <w:tcW w:w="6940" w:type="dxa"/>
            <w:vAlign w:val="center"/>
          </w:tcPr>
          <w:p w14:paraId="0F5827EB">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1.容量：≥8TB；企业级硬盘</w:t>
            </w:r>
            <w:r>
              <w:rPr>
                <w:rFonts w:ascii="宋体" w:eastAsia="宋体" w:hAnsiTheme="majorEastAsia"/>
                <w:b/>
                <w:sz w:val="21"/>
                <w:szCs w:val="21"/>
                <w:highlight w:val="none"/>
              </w:rPr>
              <w:br w:type="textWrapping"/>
            </w:r>
            <w:r>
              <w:rPr>
                <w:rFonts w:ascii="宋体" w:eastAsia="宋体" w:hAnsiTheme="majorEastAsia"/>
                <w:b/>
                <w:sz w:val="21"/>
                <w:szCs w:val="21"/>
                <w:highlight w:val="none"/>
              </w:rPr>
              <w:t>2.接口：SATA 6Gb/s</w:t>
            </w:r>
            <w:r>
              <w:rPr>
                <w:rFonts w:ascii="宋体" w:eastAsia="宋体" w:hAnsiTheme="majorEastAsia"/>
                <w:b/>
                <w:sz w:val="21"/>
                <w:szCs w:val="21"/>
                <w:highlight w:val="none"/>
              </w:rPr>
              <w:br w:type="textWrapping"/>
            </w:r>
            <w:r>
              <w:rPr>
                <w:rFonts w:ascii="宋体" w:eastAsia="宋体" w:hAnsiTheme="majorEastAsia"/>
                <w:b/>
                <w:sz w:val="21"/>
                <w:szCs w:val="21"/>
                <w:highlight w:val="none"/>
              </w:rPr>
              <w:t>3.规格：3.5英寸</w:t>
            </w:r>
            <w:r>
              <w:rPr>
                <w:rFonts w:ascii="宋体" w:eastAsia="宋体" w:hAnsiTheme="majorEastAsia"/>
                <w:b/>
                <w:sz w:val="21"/>
                <w:szCs w:val="21"/>
                <w:highlight w:val="none"/>
              </w:rPr>
              <w:br w:type="textWrapping"/>
            </w:r>
            <w:r>
              <w:rPr>
                <w:rFonts w:ascii="宋体" w:eastAsia="宋体" w:hAnsiTheme="majorEastAsia"/>
                <w:b/>
                <w:sz w:val="21"/>
                <w:szCs w:val="21"/>
                <w:highlight w:val="none"/>
              </w:rPr>
              <w:t>4.缓存：≥256MB</w:t>
            </w:r>
            <w:r>
              <w:rPr>
                <w:rFonts w:ascii="宋体" w:eastAsia="宋体" w:hAnsiTheme="majorEastAsia"/>
                <w:b/>
                <w:sz w:val="21"/>
                <w:szCs w:val="21"/>
                <w:highlight w:val="none"/>
              </w:rPr>
              <w:br w:type="textWrapping"/>
            </w:r>
            <w:r>
              <w:rPr>
                <w:rFonts w:ascii="宋体" w:eastAsia="宋体" w:hAnsiTheme="majorEastAsia"/>
                <w:b/>
                <w:sz w:val="21"/>
                <w:szCs w:val="21"/>
                <w:highlight w:val="none"/>
              </w:rPr>
              <w:t>5.性能级别</w:t>
            </w:r>
            <w:r>
              <w:rPr>
                <w:rFonts w:ascii="宋体" w:eastAsia="宋体" w:hAnsiTheme="majorEastAsia"/>
                <w:b/>
                <w:color w:val="FF0000"/>
                <w:sz w:val="21"/>
                <w:szCs w:val="21"/>
                <w:highlight w:val="none"/>
              </w:rPr>
              <w:t>：</w:t>
            </w:r>
            <w:r>
              <w:rPr>
                <w:rFonts w:hint="eastAsia" w:ascii="宋体" w:hAnsiTheme="majorEastAsia"/>
                <w:b/>
                <w:color w:val="FF0000"/>
                <w:sz w:val="21"/>
                <w:szCs w:val="21"/>
                <w:highlight w:val="none"/>
                <w:lang w:eastAsia="zh-CN"/>
              </w:rPr>
              <w:t>≥7200RPM</w:t>
            </w:r>
            <w:r>
              <w:rPr>
                <w:rFonts w:ascii="宋体" w:eastAsia="宋体" w:hAnsiTheme="majorEastAsia"/>
                <w:b/>
                <w:sz w:val="21"/>
                <w:szCs w:val="21"/>
                <w:highlight w:val="none"/>
              </w:rPr>
              <w:br w:type="textWrapping"/>
            </w:r>
            <w:r>
              <w:rPr>
                <w:rFonts w:ascii="宋体" w:eastAsia="宋体" w:hAnsiTheme="majorEastAsia"/>
                <w:b/>
                <w:sz w:val="21"/>
                <w:szCs w:val="21"/>
                <w:highlight w:val="none"/>
              </w:rPr>
              <w:t>6.MTBF:≥200万小时</w:t>
            </w:r>
            <w:r>
              <w:rPr>
                <w:rFonts w:ascii="宋体" w:eastAsia="宋体" w:hAnsiTheme="majorEastAsia"/>
                <w:b/>
                <w:sz w:val="21"/>
                <w:szCs w:val="21"/>
                <w:highlight w:val="none"/>
              </w:rPr>
              <w:br w:type="textWrapping"/>
            </w:r>
            <w:r>
              <w:rPr>
                <w:rFonts w:ascii="宋体" w:eastAsia="宋体" w:hAnsiTheme="majorEastAsia"/>
                <w:b/>
                <w:sz w:val="21"/>
                <w:szCs w:val="21"/>
                <w:highlight w:val="none"/>
              </w:rPr>
              <w:t>7.工作负载率：≥550TB/年</w:t>
            </w:r>
          </w:p>
        </w:tc>
      </w:tr>
      <w:tr w14:paraId="67701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32D97F8B">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9</w:t>
            </w:r>
          </w:p>
        </w:tc>
        <w:tc>
          <w:tcPr>
            <w:tcW w:w="0" w:type="auto"/>
            <w:vAlign w:val="center"/>
          </w:tcPr>
          <w:p w14:paraId="5CFECE90">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智能视频存储计算服务16盘位服务器</w:t>
            </w:r>
          </w:p>
        </w:tc>
        <w:tc>
          <w:tcPr>
            <w:tcW w:w="6940" w:type="dxa"/>
            <w:vAlign w:val="center"/>
          </w:tcPr>
          <w:p w14:paraId="364746B3">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1.存储接口及容量：≥16个SATA接口硬盘，可接入单盘≥20TB容量的SATA接口硬盘，支持硬盘热插拔</w:t>
            </w:r>
            <w:r>
              <w:rPr>
                <w:rFonts w:ascii="宋体" w:eastAsia="宋体" w:hAnsiTheme="majorEastAsia"/>
                <w:b/>
                <w:sz w:val="21"/>
                <w:szCs w:val="21"/>
                <w:highlight w:val="none"/>
              </w:rPr>
              <w:br w:type="textWrapping"/>
            </w:r>
            <w:r>
              <w:rPr>
                <w:rFonts w:ascii="宋体" w:eastAsia="宋体" w:hAnsiTheme="majorEastAsia"/>
                <w:b/>
                <w:sz w:val="21"/>
                <w:szCs w:val="21"/>
                <w:highlight w:val="none"/>
              </w:rPr>
              <w:t>2.可接入≥128路网络视频信号</w:t>
            </w:r>
            <w:r>
              <w:rPr>
                <w:rFonts w:ascii="宋体" w:eastAsia="宋体" w:hAnsiTheme="majorEastAsia"/>
                <w:b/>
                <w:sz w:val="21"/>
                <w:szCs w:val="21"/>
                <w:highlight w:val="none"/>
              </w:rPr>
              <w:br w:type="textWrapping"/>
            </w:r>
            <w:r>
              <w:rPr>
                <w:rFonts w:ascii="宋体" w:eastAsia="宋体" w:hAnsiTheme="majorEastAsia"/>
                <w:b/>
                <w:sz w:val="21"/>
                <w:szCs w:val="21"/>
                <w:highlight w:val="none"/>
              </w:rPr>
              <w:t>3.▲支持最大接入带宽≥512Mbps，最大转发带宽≥320Mbps；（</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ascii="宋体" w:eastAsia="宋体" w:hAnsiTheme="majorEastAsia"/>
                <w:b/>
                <w:sz w:val="21"/>
                <w:szCs w:val="21"/>
                <w:highlight w:val="none"/>
              </w:rPr>
              <w:t>未提供检测报告或系列产品证明扣</w:t>
            </w:r>
            <w:r>
              <w:rPr>
                <w:rFonts w:hint="eastAsia" w:ascii="宋体" w:eastAsia="宋体" w:hAnsiTheme="majorEastAsia"/>
                <w:b/>
                <w:sz w:val="21"/>
                <w:szCs w:val="21"/>
                <w:highlight w:val="none"/>
              </w:rPr>
              <w:t>2</w:t>
            </w:r>
            <w:r>
              <w:rPr>
                <w:rFonts w:ascii="宋体" w:eastAsia="宋体" w:hAnsiTheme="majorEastAsia"/>
                <w:b/>
                <w:sz w:val="21"/>
                <w:szCs w:val="21"/>
                <w:highlight w:val="none"/>
              </w:rPr>
              <w:t>分）</w:t>
            </w:r>
            <w:r>
              <w:rPr>
                <w:rFonts w:ascii="宋体" w:eastAsia="宋体" w:hAnsiTheme="majorEastAsia"/>
                <w:b/>
                <w:sz w:val="21"/>
                <w:szCs w:val="21"/>
                <w:highlight w:val="none"/>
              </w:rPr>
              <w:br w:type="textWrapping"/>
            </w:r>
            <w:r>
              <w:rPr>
                <w:rFonts w:ascii="宋体" w:eastAsia="宋体" w:hAnsiTheme="majorEastAsia"/>
                <w:b/>
                <w:sz w:val="21"/>
                <w:szCs w:val="21"/>
                <w:highlight w:val="none"/>
              </w:rPr>
              <w:t xml:space="preserve">4.RAID模式：RAID0、RAID1、RAID5 </w:t>
            </w:r>
            <w:r>
              <w:rPr>
                <w:rFonts w:ascii="宋体" w:eastAsia="宋体" w:hAnsiTheme="majorEastAsia"/>
                <w:b/>
                <w:sz w:val="21"/>
                <w:szCs w:val="21"/>
                <w:highlight w:val="none"/>
              </w:rPr>
              <w:br w:type="textWrapping"/>
            </w:r>
            <w:r>
              <w:rPr>
                <w:rFonts w:ascii="宋体" w:eastAsia="宋体" w:hAnsiTheme="majorEastAsia"/>
                <w:b/>
                <w:sz w:val="21"/>
                <w:szCs w:val="21"/>
                <w:highlight w:val="none"/>
              </w:rPr>
              <w:t>7.网口:≥2个，RJ45：10M/100M/1000M自适应以太网电口</w:t>
            </w:r>
            <w:r>
              <w:rPr>
                <w:rFonts w:ascii="宋体" w:eastAsia="宋体" w:hAnsiTheme="majorEastAsia"/>
                <w:b/>
                <w:sz w:val="21"/>
                <w:szCs w:val="21"/>
                <w:highlight w:val="none"/>
              </w:rPr>
              <w:br w:type="textWrapping"/>
            </w:r>
            <w:r>
              <w:rPr>
                <w:rFonts w:ascii="宋体" w:eastAsia="宋体" w:hAnsiTheme="majorEastAsia"/>
                <w:b/>
                <w:sz w:val="21"/>
                <w:szCs w:val="21"/>
                <w:highlight w:val="none"/>
              </w:rPr>
              <w:t>8.支持HDMI视频信号输出</w:t>
            </w:r>
            <w:r>
              <w:rPr>
                <w:rFonts w:ascii="宋体" w:eastAsia="宋体" w:hAnsiTheme="majorEastAsia"/>
                <w:b/>
                <w:sz w:val="21"/>
                <w:szCs w:val="21"/>
                <w:highlight w:val="none"/>
              </w:rPr>
              <w:br w:type="textWrapping"/>
            </w:r>
            <w:r>
              <w:rPr>
                <w:rFonts w:ascii="宋体" w:eastAsia="宋体" w:hAnsiTheme="majorEastAsia"/>
                <w:b/>
                <w:sz w:val="21"/>
                <w:szCs w:val="21"/>
                <w:highlight w:val="none"/>
              </w:rPr>
              <w:t>9.设备支持分组管理，支持将接入的视频通道按分组管理；支持以分组方式进行预览、回放和检索；自定义视图支持以分组方式拖动通道进行配置</w:t>
            </w:r>
            <w:r>
              <w:rPr>
                <w:rFonts w:ascii="宋体" w:eastAsia="宋体" w:hAnsiTheme="majorEastAsia"/>
                <w:b/>
                <w:sz w:val="21"/>
                <w:szCs w:val="21"/>
                <w:highlight w:val="none"/>
              </w:rPr>
              <w:br w:type="textWrapping"/>
            </w:r>
            <w:r>
              <w:rPr>
                <w:rFonts w:ascii="宋体" w:eastAsia="宋体" w:hAnsiTheme="majorEastAsia"/>
                <w:b/>
                <w:sz w:val="21"/>
                <w:szCs w:val="21"/>
                <w:highlight w:val="none"/>
              </w:rPr>
              <w:t>10. ▲因所需监控核心设备均属于行业级设备，为了区别于民用级设备保证项目顺利交付，</w:t>
            </w:r>
            <w:r>
              <w:rPr>
                <w:rFonts w:hint="eastAsia" w:ascii="宋体" w:hAnsiTheme="majorEastAsia"/>
                <w:b/>
                <w:sz w:val="21"/>
                <w:szCs w:val="21"/>
                <w:highlight w:val="none"/>
                <w:lang w:eastAsia="zh-CN"/>
              </w:rPr>
              <w:t>供应商应出具所投产品合法来源渠道承诺函及签订合同时提供原厂三年质保及原厂授权的承诺函加盖公章。未提供承诺函的扣2分</w:t>
            </w:r>
            <w:r>
              <w:rPr>
                <w:rFonts w:ascii="宋体" w:eastAsia="宋体" w:hAnsiTheme="majorEastAsia"/>
                <w:b/>
                <w:sz w:val="21"/>
                <w:szCs w:val="21"/>
                <w:highlight w:val="none"/>
              </w:rPr>
              <w:t>。</w:t>
            </w:r>
            <w:r>
              <w:rPr>
                <w:rFonts w:ascii="宋体" w:eastAsia="宋体" w:hAnsiTheme="majorEastAsia"/>
                <w:b/>
                <w:sz w:val="21"/>
                <w:szCs w:val="21"/>
                <w:highlight w:val="none"/>
              </w:rPr>
              <w:br w:type="textWrapping"/>
            </w:r>
            <w:r>
              <w:rPr>
                <w:rFonts w:ascii="宋体" w:eastAsia="宋体" w:hAnsiTheme="majorEastAsia"/>
                <w:b/>
                <w:sz w:val="21"/>
                <w:szCs w:val="21"/>
                <w:highlight w:val="none"/>
              </w:rPr>
              <w:t>11.★可接入支持ONVIF协议、GB/T28181协议的设备。（需供应商提供保证书并加盖公章）</w:t>
            </w:r>
          </w:p>
        </w:tc>
      </w:tr>
      <w:tr w14:paraId="48EB0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0B43057C">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10</w:t>
            </w:r>
          </w:p>
        </w:tc>
        <w:tc>
          <w:tcPr>
            <w:tcW w:w="0" w:type="auto"/>
            <w:vAlign w:val="center"/>
          </w:tcPr>
          <w:p w14:paraId="25360CF0">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智能视频存储计算服务</w:t>
            </w:r>
            <w:r>
              <w:rPr>
                <w:rFonts w:hint="eastAsia" w:ascii="宋体" w:eastAsia="宋体" w:hAnsiTheme="majorEastAsia"/>
                <w:b/>
                <w:bCs/>
                <w:sz w:val="21"/>
                <w:szCs w:val="21"/>
                <w:highlight w:val="none"/>
              </w:rPr>
              <w:t>24</w:t>
            </w:r>
            <w:r>
              <w:rPr>
                <w:rFonts w:ascii="宋体" w:eastAsia="宋体" w:hAnsiTheme="majorEastAsia"/>
                <w:b/>
                <w:bCs/>
                <w:sz w:val="21"/>
                <w:szCs w:val="21"/>
                <w:highlight w:val="none"/>
              </w:rPr>
              <w:t>盘位服务器</w:t>
            </w:r>
          </w:p>
        </w:tc>
        <w:tc>
          <w:tcPr>
            <w:tcW w:w="6940" w:type="dxa"/>
            <w:vAlign w:val="center"/>
          </w:tcPr>
          <w:p w14:paraId="6D05108C">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1.存储接口及容量：≥24个SATA接口硬盘，可接入单盘≥20TB容量的SATA接口硬盘，支持硬盘热插拔</w:t>
            </w:r>
          </w:p>
          <w:p w14:paraId="7658C238">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2.可接入≥160路网络视频信号</w:t>
            </w:r>
          </w:p>
          <w:p w14:paraId="461FC5D2">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3.▲支持最大接入带宽≥768Mbps，最大转发带宽≥640Mbps；（</w:t>
            </w:r>
            <w:r>
              <w:rPr>
                <w:rFonts w:hint="eastAsia" w:ascii="宋体" w:hAnsiTheme="majorEastAsia"/>
                <w:b/>
                <w:sz w:val="21"/>
                <w:szCs w:val="21"/>
                <w:highlight w:val="none"/>
                <w:lang w:eastAsia="zh-CN"/>
              </w:rPr>
              <w:t>供应商需提供由具备CMA资质的检测机构出具的检测报告复印件作为证明材料；如检测机构同时具备CNAS认可，且相关检测项目在其认可范围内，也可予以认可。检测报告复印件应加盖供应商公章，多页报告应加盖骑缝章，内容完整、清晰可辨。供应商应在技术偏离表中注明检测报告对应页码、条款号及检测项目，并在报告复印件相应位置作出清晰标注。如检测报告为系列产品报告，应提供能够证明所投产品型号属于该系列的有效证明材料。</w:t>
            </w:r>
            <w:r>
              <w:rPr>
                <w:rFonts w:hint="eastAsia" w:ascii="宋体" w:eastAsia="宋体" w:hAnsiTheme="majorEastAsia"/>
                <w:b/>
                <w:sz w:val="21"/>
                <w:szCs w:val="21"/>
                <w:highlight w:val="none"/>
              </w:rPr>
              <w:t>未提供检测报告或系列产品证明扣3分）</w:t>
            </w:r>
          </w:p>
          <w:p w14:paraId="4BF4DD49">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4.解码能力：≥12×1080P</w:t>
            </w:r>
          </w:p>
          <w:p w14:paraId="0BDA04C0">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5.显示能力：≥4K输出</w:t>
            </w:r>
          </w:p>
          <w:p w14:paraId="45F4FB50">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6.RAID模式：RAID0、RAID1、RAID5、RAID6、RAID10</w:t>
            </w:r>
          </w:p>
          <w:p w14:paraId="625A036D">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7.网口:≥2个，RJ4510M/100M/1000M自适应以太网电口</w:t>
            </w:r>
          </w:p>
          <w:p w14:paraId="324264DC">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8.支持HDMI、VGA等视频信号输出</w:t>
            </w:r>
          </w:p>
          <w:p w14:paraId="382413DB">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9.设备支持分组管理，支持将接入的视频通道按分组管理；支持以分组方式进行预览、回放和检索；自定义视图支持以分组方式拖动通道进行配置</w:t>
            </w:r>
          </w:p>
          <w:p w14:paraId="5B1A7A6B">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10.</w:t>
            </w:r>
            <w:r>
              <w:rPr>
                <w:rFonts w:ascii="宋体" w:eastAsia="宋体" w:hAnsiTheme="majorEastAsia"/>
                <w:b/>
                <w:sz w:val="21"/>
                <w:szCs w:val="21"/>
                <w:highlight w:val="none"/>
              </w:rPr>
              <w:t xml:space="preserve"> ▲因所需监控核心设备均属于行业级设备，为了区别于民用级设备保证项目顺利交付，</w:t>
            </w:r>
            <w:r>
              <w:rPr>
                <w:rFonts w:hint="eastAsia" w:ascii="宋体" w:hAnsiTheme="majorEastAsia"/>
                <w:b/>
                <w:sz w:val="21"/>
                <w:szCs w:val="21"/>
                <w:highlight w:val="none"/>
                <w:lang w:eastAsia="zh-CN"/>
              </w:rPr>
              <w:t>供应商应出具所投产品合法来源渠道承诺函及签订合同时提供原厂三年质保及原厂授权的承诺函加盖公章。未提供承诺函的扣2分</w:t>
            </w:r>
            <w:r>
              <w:rPr>
                <w:rFonts w:ascii="宋体" w:eastAsia="宋体" w:hAnsiTheme="majorEastAsia"/>
                <w:b/>
                <w:sz w:val="21"/>
                <w:szCs w:val="21"/>
                <w:highlight w:val="none"/>
              </w:rPr>
              <w:t>。</w:t>
            </w:r>
          </w:p>
          <w:p w14:paraId="259B1115">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11.★可接入支持ONVIF协议、GB/T28181协议的设备。（需供应商提供保证书并加盖公章）</w:t>
            </w:r>
          </w:p>
        </w:tc>
      </w:tr>
      <w:tr w14:paraId="4A79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528CEAC7">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ascii="宋体" w:eastAsia="宋体" w:hAnsiTheme="majorEastAsia"/>
                <w:b/>
                <w:bCs/>
                <w:sz w:val="21"/>
                <w:szCs w:val="21"/>
                <w:highlight w:val="none"/>
              </w:rPr>
              <w:t>1</w:t>
            </w:r>
            <w:r>
              <w:rPr>
                <w:rFonts w:hint="eastAsia" w:ascii="宋体" w:eastAsia="宋体" w:hAnsiTheme="majorEastAsia"/>
                <w:b/>
                <w:bCs/>
                <w:sz w:val="21"/>
                <w:szCs w:val="21"/>
                <w:highlight w:val="none"/>
              </w:rPr>
              <w:t>1</w:t>
            </w:r>
          </w:p>
        </w:tc>
        <w:tc>
          <w:tcPr>
            <w:tcW w:w="0" w:type="auto"/>
            <w:vAlign w:val="center"/>
          </w:tcPr>
          <w:p w14:paraId="0317AF43">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视频监控专用以太网千兆可网管交换机(PoE)</w:t>
            </w:r>
          </w:p>
        </w:tc>
        <w:tc>
          <w:tcPr>
            <w:tcW w:w="6940" w:type="dxa"/>
            <w:vAlign w:val="center"/>
          </w:tcPr>
          <w:p w14:paraId="3EAB3E15">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 xml:space="preserve">1.性能：整机交换容量 ≥432Gbps；转发性能 ≥126Mpps </w:t>
            </w:r>
            <w:r>
              <w:rPr>
                <w:rFonts w:ascii="宋体" w:eastAsia="宋体" w:hAnsiTheme="majorEastAsia"/>
                <w:b/>
                <w:sz w:val="21"/>
                <w:szCs w:val="21"/>
                <w:highlight w:val="none"/>
              </w:rPr>
              <w:br w:type="textWrapping"/>
            </w:r>
            <w:r>
              <w:rPr>
                <w:rFonts w:ascii="宋体" w:eastAsia="宋体" w:hAnsiTheme="majorEastAsia"/>
                <w:b/>
                <w:sz w:val="21"/>
                <w:szCs w:val="21"/>
                <w:highlight w:val="none"/>
              </w:rPr>
              <w:t>2.端口：≥24个千兆电，≥4个千兆SFP</w:t>
            </w:r>
            <w:r>
              <w:rPr>
                <w:rFonts w:ascii="宋体" w:eastAsia="宋体" w:hAnsiTheme="majorEastAsia"/>
                <w:b/>
                <w:sz w:val="21"/>
                <w:szCs w:val="21"/>
                <w:highlight w:val="none"/>
              </w:rPr>
              <w:br w:type="textWrapping"/>
            </w:r>
            <w:r>
              <w:rPr>
                <w:rFonts w:ascii="宋体" w:eastAsia="宋体" w:hAnsiTheme="majorEastAsia"/>
                <w:b/>
                <w:sz w:val="21"/>
                <w:szCs w:val="21"/>
                <w:highlight w:val="none"/>
              </w:rPr>
              <w:t>3.需支持PoE+，PoE供电≥375W</w:t>
            </w:r>
            <w:r>
              <w:rPr>
                <w:rFonts w:ascii="宋体" w:eastAsia="宋体" w:hAnsiTheme="majorEastAsia"/>
                <w:b/>
                <w:sz w:val="21"/>
                <w:szCs w:val="21"/>
                <w:highlight w:val="none"/>
              </w:rPr>
              <w:br w:type="textWrapping"/>
            </w:r>
            <w:r>
              <w:rPr>
                <w:rFonts w:ascii="宋体" w:eastAsia="宋体" w:hAnsiTheme="majorEastAsia"/>
                <w:b/>
                <w:sz w:val="21"/>
                <w:szCs w:val="21"/>
                <w:highlight w:val="none"/>
              </w:rPr>
              <w:t>4.MAC地址表≥16K，IPv4路由表容量≥512，ARP≥1K</w:t>
            </w:r>
            <w:r>
              <w:rPr>
                <w:rFonts w:ascii="宋体" w:eastAsia="宋体" w:hAnsiTheme="majorEastAsia"/>
                <w:b/>
                <w:sz w:val="21"/>
                <w:szCs w:val="21"/>
                <w:highlight w:val="none"/>
              </w:rPr>
              <w:br w:type="textWrapping"/>
            </w:r>
            <w:r>
              <w:rPr>
                <w:rFonts w:ascii="宋体" w:eastAsia="宋体" w:hAnsiTheme="majorEastAsia"/>
                <w:b/>
                <w:sz w:val="21"/>
                <w:szCs w:val="21"/>
                <w:highlight w:val="none"/>
              </w:rPr>
              <w:t>5.需支持IPv4/IPv6静态路由、支持RIP/RIPng、OSPFV2/V3，支持VLAN虚接口</w:t>
            </w:r>
            <w:r>
              <w:rPr>
                <w:rFonts w:ascii="宋体" w:eastAsia="宋体" w:hAnsiTheme="majorEastAsia"/>
                <w:b/>
                <w:sz w:val="21"/>
                <w:szCs w:val="21"/>
                <w:highlight w:val="none"/>
              </w:rPr>
              <w:br w:type="textWrapping"/>
            </w:r>
            <w:r>
              <w:rPr>
                <w:rFonts w:ascii="宋体" w:eastAsia="宋体" w:hAnsiTheme="majorEastAsia"/>
                <w:b/>
                <w:sz w:val="21"/>
                <w:szCs w:val="21"/>
                <w:highlight w:val="none"/>
              </w:rPr>
              <w:t>6.交换机堆叠台数≥8</w:t>
            </w:r>
            <w:r>
              <w:rPr>
                <w:rFonts w:ascii="宋体" w:eastAsia="宋体" w:hAnsiTheme="majorEastAsia"/>
                <w:b/>
                <w:sz w:val="21"/>
                <w:szCs w:val="21"/>
                <w:highlight w:val="none"/>
              </w:rPr>
              <w:br w:type="textWrapping"/>
            </w:r>
            <w:r>
              <w:rPr>
                <w:rFonts w:ascii="宋体" w:eastAsia="宋体" w:hAnsiTheme="majorEastAsia"/>
                <w:b/>
                <w:sz w:val="21"/>
                <w:szCs w:val="21"/>
                <w:highlight w:val="none"/>
              </w:rPr>
              <w:t>7.需支持网管功能</w:t>
            </w:r>
            <w:r>
              <w:rPr>
                <w:rFonts w:ascii="宋体" w:eastAsia="宋体" w:hAnsiTheme="majorEastAsia"/>
                <w:b/>
                <w:sz w:val="21"/>
                <w:szCs w:val="21"/>
                <w:highlight w:val="none"/>
              </w:rPr>
              <w:br w:type="textWrapping"/>
            </w:r>
            <w:r>
              <w:rPr>
                <w:rFonts w:ascii="宋体" w:eastAsia="宋体" w:hAnsiTheme="majorEastAsia"/>
                <w:b/>
                <w:sz w:val="21"/>
                <w:szCs w:val="21"/>
                <w:highlight w:val="none"/>
              </w:rPr>
              <w:t>8.需内置防雷技术，室内场景支持≥6KV业务端口防雷能力；室外场景支持≥10KV业务端口防雷能力</w:t>
            </w:r>
          </w:p>
        </w:tc>
      </w:tr>
      <w:tr w14:paraId="7104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352CFC4F">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ascii="宋体" w:eastAsia="宋体" w:hAnsiTheme="majorEastAsia"/>
                <w:b/>
                <w:bCs/>
                <w:sz w:val="21"/>
                <w:szCs w:val="21"/>
                <w:highlight w:val="none"/>
              </w:rPr>
              <w:t>1</w:t>
            </w:r>
            <w:r>
              <w:rPr>
                <w:rFonts w:hint="eastAsia" w:ascii="宋体" w:eastAsia="宋体" w:hAnsiTheme="majorEastAsia"/>
                <w:b/>
                <w:bCs/>
                <w:sz w:val="21"/>
                <w:szCs w:val="21"/>
                <w:highlight w:val="none"/>
              </w:rPr>
              <w:t>2</w:t>
            </w:r>
          </w:p>
        </w:tc>
        <w:tc>
          <w:tcPr>
            <w:tcW w:w="0" w:type="auto"/>
            <w:vAlign w:val="center"/>
          </w:tcPr>
          <w:p w14:paraId="19D83D4A">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视频监控专用以太网汇聚交换机</w:t>
            </w:r>
          </w:p>
        </w:tc>
        <w:tc>
          <w:tcPr>
            <w:tcW w:w="6940" w:type="dxa"/>
            <w:vAlign w:val="center"/>
          </w:tcPr>
          <w:p w14:paraId="17B40A84">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1.交换容量≥598Gbps、包转发率≥252Mpps</w:t>
            </w:r>
            <w:r>
              <w:rPr>
                <w:rFonts w:ascii="宋体" w:eastAsia="宋体" w:hAnsiTheme="majorEastAsia"/>
                <w:b/>
                <w:sz w:val="21"/>
                <w:szCs w:val="21"/>
                <w:highlight w:val="none"/>
              </w:rPr>
              <w:br w:type="textWrapping"/>
            </w:r>
            <w:r>
              <w:rPr>
                <w:rFonts w:ascii="宋体" w:eastAsia="宋体" w:hAnsiTheme="majorEastAsia"/>
                <w:b/>
                <w:sz w:val="21"/>
                <w:szCs w:val="21"/>
                <w:highlight w:val="none"/>
              </w:rPr>
              <w:t>2.接口要求：≥24个千兆光口，≥4个万兆自适应光接口</w:t>
            </w:r>
            <w:r>
              <w:rPr>
                <w:rFonts w:ascii="宋体" w:eastAsia="宋体" w:hAnsiTheme="majorEastAsia"/>
                <w:b/>
                <w:sz w:val="21"/>
                <w:szCs w:val="21"/>
                <w:highlight w:val="none"/>
              </w:rPr>
              <w:br w:type="textWrapping"/>
            </w:r>
            <w:r>
              <w:rPr>
                <w:rFonts w:ascii="宋体" w:eastAsia="宋体" w:hAnsiTheme="majorEastAsia"/>
                <w:b/>
                <w:sz w:val="21"/>
                <w:szCs w:val="21"/>
                <w:highlight w:val="none"/>
              </w:rPr>
              <w:t>3.支持L2～L4包过滤功能，提供基于源MAC地址、目的MAC地址、源IP地址、目的IP地址、端口、协议、VLAN范围等过滤</w:t>
            </w:r>
            <w:r>
              <w:rPr>
                <w:rFonts w:ascii="宋体" w:eastAsia="宋体" w:hAnsiTheme="majorEastAsia"/>
                <w:b/>
                <w:sz w:val="21"/>
                <w:szCs w:val="21"/>
                <w:highlight w:val="none"/>
              </w:rPr>
              <w:br w:type="textWrapping"/>
            </w:r>
            <w:r>
              <w:rPr>
                <w:rFonts w:ascii="宋体" w:eastAsia="宋体" w:hAnsiTheme="majorEastAsia"/>
                <w:b/>
                <w:sz w:val="21"/>
                <w:szCs w:val="21"/>
                <w:highlight w:val="none"/>
              </w:rPr>
              <w:t>4.支持静态路由、RIP、OSPF、BGP、IS-IS等路由协议</w:t>
            </w:r>
            <w:r>
              <w:rPr>
                <w:rFonts w:ascii="宋体" w:eastAsia="宋体" w:hAnsiTheme="majorEastAsia"/>
                <w:b/>
                <w:sz w:val="21"/>
                <w:szCs w:val="21"/>
                <w:highlight w:val="none"/>
              </w:rPr>
              <w:br w:type="textWrapping"/>
            </w:r>
            <w:r>
              <w:rPr>
                <w:rFonts w:ascii="宋体" w:eastAsia="宋体" w:hAnsiTheme="majorEastAsia"/>
                <w:b/>
                <w:sz w:val="21"/>
                <w:szCs w:val="21"/>
                <w:highlight w:val="none"/>
              </w:rPr>
              <w:t>5.支持MAC地址自动学习和老化，支持静态、动态和黑洞MAC地址表项；MAC地址≥16K</w:t>
            </w:r>
            <w:r>
              <w:rPr>
                <w:rFonts w:ascii="宋体" w:eastAsia="宋体" w:hAnsiTheme="majorEastAsia"/>
                <w:b/>
                <w:sz w:val="21"/>
                <w:szCs w:val="21"/>
                <w:highlight w:val="none"/>
              </w:rPr>
              <w:br w:type="textWrapping"/>
            </w:r>
            <w:r>
              <w:rPr>
                <w:rFonts w:ascii="宋体" w:eastAsia="宋体" w:hAnsiTheme="majorEastAsia"/>
                <w:b/>
                <w:sz w:val="21"/>
                <w:szCs w:val="21"/>
                <w:highlight w:val="none"/>
              </w:rPr>
              <w:t>7. 支持 VLAN ID 范围 1</w:t>
            </w:r>
            <w:r>
              <w:rPr>
                <w:rFonts w:ascii="宋体" w:hAnsi="Cambria Math" w:eastAsia="宋体" w:cs="Cambria Math"/>
                <w:b/>
                <w:sz w:val="21"/>
                <w:szCs w:val="21"/>
                <w:highlight w:val="none"/>
              </w:rPr>
              <w:t>‑</w:t>
            </w:r>
            <w:r>
              <w:rPr>
                <w:rFonts w:ascii="宋体" w:eastAsia="宋体" w:hAnsiTheme="majorEastAsia"/>
                <w:b/>
                <w:sz w:val="21"/>
                <w:szCs w:val="21"/>
                <w:highlight w:val="none"/>
              </w:rPr>
              <w:t>4094，支持最大同时配置 VLAN 数量≥4094</w:t>
            </w:r>
            <w:r>
              <w:rPr>
                <w:rFonts w:ascii="宋体" w:eastAsia="宋体" w:hAnsiTheme="majorEastAsia"/>
                <w:b/>
                <w:sz w:val="21"/>
                <w:szCs w:val="21"/>
                <w:highlight w:val="none"/>
              </w:rPr>
              <w:br w:type="textWrapping"/>
            </w:r>
            <w:r>
              <w:rPr>
                <w:rFonts w:ascii="宋体" w:eastAsia="宋体" w:hAnsiTheme="majorEastAsia"/>
                <w:b/>
                <w:sz w:val="21"/>
                <w:szCs w:val="21"/>
                <w:highlight w:val="none"/>
              </w:rPr>
              <w:t>8.支持IGMP Snooping、和Fast Leave；支持跨组播VLAN复制；支持三层组播协议PIM-SM和PIM-DM</w:t>
            </w:r>
            <w:r>
              <w:rPr>
                <w:rFonts w:ascii="宋体" w:eastAsia="宋体" w:hAnsiTheme="majorEastAsia"/>
                <w:b/>
                <w:sz w:val="21"/>
                <w:szCs w:val="21"/>
                <w:highlight w:val="none"/>
              </w:rPr>
              <w:br w:type="textWrapping"/>
            </w:r>
            <w:r>
              <w:rPr>
                <w:rFonts w:ascii="宋体" w:eastAsia="宋体" w:hAnsiTheme="majorEastAsia"/>
                <w:b/>
                <w:sz w:val="21"/>
                <w:szCs w:val="21"/>
                <w:highlight w:val="none"/>
              </w:rPr>
              <w:t>9.支持STP、RSTP、MSTP；支持BPDU保护、根保护、环路保护和BPDU Tunnel；支持跨设备链路聚合；支持G.8032、VRRP，50ms级保护倒换</w:t>
            </w:r>
            <w:r>
              <w:rPr>
                <w:rFonts w:ascii="宋体" w:eastAsia="宋体" w:hAnsiTheme="majorEastAsia"/>
                <w:b/>
                <w:sz w:val="21"/>
                <w:szCs w:val="21"/>
                <w:highlight w:val="none"/>
              </w:rPr>
              <w:br w:type="textWrapping"/>
            </w:r>
            <w:r>
              <w:rPr>
                <w:rFonts w:ascii="宋体" w:eastAsia="宋体" w:hAnsiTheme="majorEastAsia"/>
                <w:b/>
                <w:sz w:val="21"/>
                <w:szCs w:val="21"/>
                <w:highlight w:val="none"/>
              </w:rPr>
              <w:t>10.支持端口镜像和远程端口镜像；支持SNMP</w:t>
            </w:r>
            <w:r>
              <w:rPr>
                <w:rFonts w:ascii="宋体" w:eastAsia="宋体" w:hAnsiTheme="majorEastAsia"/>
                <w:b/>
                <w:sz w:val="21"/>
                <w:szCs w:val="21"/>
                <w:highlight w:val="none"/>
              </w:rPr>
              <w:br w:type="textWrapping"/>
            </w:r>
            <w:r>
              <w:rPr>
                <w:rFonts w:ascii="宋体" w:eastAsia="宋体" w:hAnsiTheme="majorEastAsia"/>
                <w:b/>
                <w:sz w:val="21"/>
                <w:szCs w:val="21"/>
                <w:highlight w:val="none"/>
              </w:rPr>
              <w:t>11.工作环境：工作温度：-5~55℃；相对湿度：10~90%（无凝结）</w:t>
            </w:r>
            <w:r>
              <w:rPr>
                <w:rFonts w:ascii="宋体" w:eastAsia="宋体" w:hAnsiTheme="majorEastAsia"/>
                <w:b/>
                <w:sz w:val="21"/>
                <w:szCs w:val="21"/>
                <w:highlight w:val="none"/>
              </w:rPr>
              <w:br w:type="textWrapping"/>
            </w:r>
            <w:r>
              <w:rPr>
                <w:rFonts w:ascii="宋体" w:eastAsia="宋体" w:hAnsiTheme="majorEastAsia"/>
                <w:b/>
                <w:sz w:val="21"/>
                <w:szCs w:val="21"/>
                <w:highlight w:val="none"/>
              </w:rPr>
              <w:t>12.需支持网管功能</w:t>
            </w:r>
          </w:p>
        </w:tc>
      </w:tr>
      <w:tr w14:paraId="30F25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57229572">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ascii="宋体" w:eastAsia="宋体" w:hAnsiTheme="majorEastAsia"/>
                <w:b/>
                <w:bCs/>
                <w:sz w:val="21"/>
                <w:szCs w:val="21"/>
                <w:highlight w:val="none"/>
              </w:rPr>
              <w:t>1</w:t>
            </w:r>
            <w:r>
              <w:rPr>
                <w:rFonts w:hint="eastAsia" w:ascii="宋体" w:eastAsia="宋体" w:hAnsiTheme="majorEastAsia"/>
                <w:b/>
                <w:bCs/>
                <w:sz w:val="21"/>
                <w:szCs w:val="21"/>
                <w:highlight w:val="none"/>
              </w:rPr>
              <w:t>3</w:t>
            </w:r>
          </w:p>
        </w:tc>
        <w:tc>
          <w:tcPr>
            <w:tcW w:w="0" w:type="auto"/>
            <w:vAlign w:val="center"/>
          </w:tcPr>
          <w:p w14:paraId="64CC0E74">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SFP千兆单模单纤光纤模块</w:t>
            </w:r>
          </w:p>
        </w:tc>
        <w:tc>
          <w:tcPr>
            <w:tcW w:w="6940" w:type="dxa"/>
            <w:vAlign w:val="center"/>
          </w:tcPr>
          <w:p w14:paraId="57F6A6BA">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1、传输速率：≥1.25Gbps</w:t>
            </w:r>
          </w:p>
          <w:p w14:paraId="2C6710DA">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2、传输距离≥20km，单模单纤，LC 接口</w:t>
            </w:r>
          </w:p>
          <w:p w14:paraId="08FE4886">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3、光模块需与所投交换机设备完全兼容，设备可正常识别无异常告警；</w:t>
            </w:r>
          </w:p>
          <w:p w14:paraId="03536265">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4、工作温度：0℃～70℃</w:t>
            </w:r>
          </w:p>
        </w:tc>
      </w:tr>
      <w:tr w14:paraId="6C96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637656A0">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ascii="宋体" w:eastAsia="宋体" w:hAnsiTheme="majorEastAsia"/>
                <w:b/>
                <w:bCs/>
                <w:sz w:val="21"/>
                <w:szCs w:val="21"/>
                <w:highlight w:val="none"/>
              </w:rPr>
              <w:t>1</w:t>
            </w:r>
            <w:r>
              <w:rPr>
                <w:rFonts w:hint="eastAsia" w:ascii="宋体" w:eastAsia="宋体" w:hAnsiTheme="majorEastAsia"/>
                <w:b/>
                <w:bCs/>
                <w:sz w:val="21"/>
                <w:szCs w:val="21"/>
                <w:highlight w:val="none"/>
              </w:rPr>
              <w:t>4</w:t>
            </w:r>
          </w:p>
        </w:tc>
        <w:tc>
          <w:tcPr>
            <w:tcW w:w="0" w:type="auto"/>
            <w:vAlign w:val="center"/>
          </w:tcPr>
          <w:p w14:paraId="4DE617CF">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SFP万兆单模单纤光纤模块</w:t>
            </w:r>
          </w:p>
        </w:tc>
        <w:tc>
          <w:tcPr>
            <w:tcW w:w="6940" w:type="dxa"/>
            <w:vAlign w:val="center"/>
          </w:tcPr>
          <w:p w14:paraId="0F2C3851">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1、传输速率：≥10Gbps</w:t>
            </w:r>
          </w:p>
          <w:p w14:paraId="2E794648">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2、传输距离≥20km，单模单纤，LC 接口</w:t>
            </w:r>
          </w:p>
          <w:p w14:paraId="7D89FD3D">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3、光模块需与所投交换机设备完全兼容，设备可正常识别无异常告警；</w:t>
            </w:r>
          </w:p>
          <w:p w14:paraId="31C4F922">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4、工作温度：0℃～70℃</w:t>
            </w:r>
          </w:p>
        </w:tc>
      </w:tr>
      <w:tr w14:paraId="0041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0F8F5087">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ascii="宋体" w:eastAsia="宋体" w:hAnsiTheme="majorEastAsia"/>
                <w:b/>
                <w:bCs/>
                <w:sz w:val="21"/>
                <w:szCs w:val="21"/>
                <w:highlight w:val="none"/>
              </w:rPr>
              <w:t>1</w:t>
            </w:r>
            <w:r>
              <w:rPr>
                <w:rFonts w:hint="eastAsia" w:ascii="宋体" w:eastAsia="宋体" w:hAnsiTheme="majorEastAsia"/>
                <w:b/>
                <w:bCs/>
                <w:sz w:val="21"/>
                <w:szCs w:val="21"/>
                <w:highlight w:val="none"/>
              </w:rPr>
              <w:t>5</w:t>
            </w:r>
          </w:p>
        </w:tc>
        <w:tc>
          <w:tcPr>
            <w:tcW w:w="0" w:type="auto"/>
            <w:vAlign w:val="center"/>
          </w:tcPr>
          <w:p w14:paraId="0810F9E0">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连接设备用尾纤</w:t>
            </w:r>
          </w:p>
        </w:tc>
        <w:tc>
          <w:tcPr>
            <w:tcW w:w="6940" w:type="dxa"/>
            <w:vAlign w:val="center"/>
          </w:tcPr>
          <w:p w14:paraId="0E4ECE03">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1.≥5米FC-LC</w:t>
            </w:r>
            <w:r>
              <w:rPr>
                <w:rFonts w:ascii="宋体" w:eastAsia="宋体" w:hAnsiTheme="majorEastAsia"/>
                <w:b/>
                <w:sz w:val="21"/>
                <w:szCs w:val="21"/>
                <w:highlight w:val="none"/>
              </w:rPr>
              <w:br w:type="textWrapping"/>
            </w:r>
            <w:r>
              <w:rPr>
                <w:rFonts w:ascii="宋体" w:eastAsia="宋体" w:hAnsiTheme="majorEastAsia"/>
                <w:b/>
                <w:sz w:val="21"/>
                <w:szCs w:val="21"/>
                <w:highlight w:val="none"/>
              </w:rPr>
              <w:t>2.电信级</w:t>
            </w:r>
            <w:r>
              <w:rPr>
                <w:rFonts w:ascii="宋体" w:eastAsia="宋体" w:hAnsiTheme="majorEastAsia"/>
                <w:b/>
                <w:sz w:val="21"/>
                <w:szCs w:val="21"/>
                <w:highlight w:val="none"/>
              </w:rPr>
              <w:br w:type="textWrapping"/>
            </w:r>
            <w:r>
              <w:rPr>
                <w:rFonts w:ascii="宋体" w:eastAsia="宋体" w:hAnsiTheme="majorEastAsia"/>
                <w:b/>
                <w:sz w:val="21"/>
                <w:szCs w:val="21"/>
                <w:highlight w:val="none"/>
              </w:rPr>
              <w:t>3.回波损耗：≥50dB</w:t>
            </w:r>
            <w:r>
              <w:rPr>
                <w:rFonts w:ascii="宋体" w:eastAsia="宋体" w:hAnsiTheme="majorEastAsia"/>
                <w:b/>
                <w:sz w:val="21"/>
                <w:szCs w:val="21"/>
                <w:highlight w:val="none"/>
              </w:rPr>
              <w:br w:type="textWrapping"/>
            </w:r>
            <w:r>
              <w:rPr>
                <w:rFonts w:ascii="宋体" w:eastAsia="宋体" w:hAnsiTheme="majorEastAsia"/>
                <w:b/>
                <w:sz w:val="21"/>
                <w:szCs w:val="21"/>
                <w:highlight w:val="none"/>
              </w:rPr>
              <w:t>4.插入损耗：≤0.2dB</w:t>
            </w:r>
            <w:r>
              <w:rPr>
                <w:rFonts w:ascii="宋体" w:eastAsia="宋体" w:hAnsiTheme="majorEastAsia"/>
                <w:b/>
                <w:sz w:val="21"/>
                <w:szCs w:val="21"/>
                <w:highlight w:val="none"/>
              </w:rPr>
              <w:br w:type="textWrapping"/>
            </w:r>
            <w:r>
              <w:rPr>
                <w:rFonts w:ascii="宋体" w:eastAsia="宋体" w:hAnsiTheme="majorEastAsia"/>
                <w:b/>
                <w:sz w:val="21"/>
                <w:szCs w:val="21"/>
                <w:highlight w:val="none"/>
              </w:rPr>
              <w:t>5.可插拔次数：＞1000次</w:t>
            </w:r>
          </w:p>
        </w:tc>
      </w:tr>
      <w:tr w14:paraId="68CCD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730747A0">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ascii="宋体" w:eastAsia="宋体" w:hAnsiTheme="majorEastAsia"/>
                <w:b/>
                <w:bCs/>
                <w:sz w:val="21"/>
                <w:szCs w:val="21"/>
                <w:highlight w:val="none"/>
              </w:rPr>
              <w:t>1</w:t>
            </w:r>
            <w:r>
              <w:rPr>
                <w:rFonts w:hint="eastAsia" w:ascii="宋体" w:eastAsia="宋体" w:hAnsiTheme="majorEastAsia"/>
                <w:b/>
                <w:bCs/>
                <w:sz w:val="21"/>
                <w:szCs w:val="21"/>
                <w:highlight w:val="none"/>
              </w:rPr>
              <w:t>6</w:t>
            </w:r>
          </w:p>
        </w:tc>
        <w:tc>
          <w:tcPr>
            <w:tcW w:w="0" w:type="auto"/>
            <w:vAlign w:val="center"/>
          </w:tcPr>
          <w:p w14:paraId="7953BC8F">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熔纤用尾纤</w:t>
            </w:r>
          </w:p>
        </w:tc>
        <w:tc>
          <w:tcPr>
            <w:tcW w:w="6940" w:type="dxa"/>
            <w:vAlign w:val="center"/>
          </w:tcPr>
          <w:p w14:paraId="1C75A879">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1.≥3米LC-LC</w:t>
            </w:r>
            <w:r>
              <w:rPr>
                <w:rFonts w:ascii="宋体" w:eastAsia="宋体" w:hAnsiTheme="majorEastAsia"/>
                <w:b/>
                <w:sz w:val="21"/>
                <w:szCs w:val="21"/>
                <w:highlight w:val="none"/>
              </w:rPr>
              <w:br w:type="textWrapping"/>
            </w:r>
            <w:r>
              <w:rPr>
                <w:rFonts w:ascii="宋体" w:eastAsia="宋体" w:hAnsiTheme="majorEastAsia"/>
                <w:b/>
                <w:sz w:val="21"/>
                <w:szCs w:val="21"/>
                <w:highlight w:val="none"/>
              </w:rPr>
              <w:t>2.电信级</w:t>
            </w:r>
            <w:r>
              <w:rPr>
                <w:rFonts w:ascii="宋体" w:eastAsia="宋体" w:hAnsiTheme="majorEastAsia"/>
                <w:b/>
                <w:sz w:val="21"/>
                <w:szCs w:val="21"/>
                <w:highlight w:val="none"/>
              </w:rPr>
              <w:br w:type="textWrapping"/>
            </w:r>
            <w:r>
              <w:rPr>
                <w:rFonts w:ascii="宋体" w:eastAsia="宋体" w:hAnsiTheme="majorEastAsia"/>
                <w:b/>
                <w:sz w:val="21"/>
                <w:szCs w:val="21"/>
                <w:highlight w:val="none"/>
              </w:rPr>
              <w:t>3.回波损耗：≥50dB</w:t>
            </w:r>
            <w:r>
              <w:rPr>
                <w:rFonts w:ascii="宋体" w:eastAsia="宋体" w:hAnsiTheme="majorEastAsia"/>
                <w:b/>
                <w:sz w:val="21"/>
                <w:szCs w:val="21"/>
                <w:highlight w:val="none"/>
              </w:rPr>
              <w:br w:type="textWrapping"/>
            </w:r>
            <w:r>
              <w:rPr>
                <w:rFonts w:ascii="宋体" w:eastAsia="宋体" w:hAnsiTheme="majorEastAsia"/>
                <w:b/>
                <w:sz w:val="21"/>
                <w:szCs w:val="21"/>
                <w:highlight w:val="none"/>
              </w:rPr>
              <w:t>4.插入损耗：≤0.2dB</w:t>
            </w:r>
            <w:r>
              <w:rPr>
                <w:rFonts w:ascii="宋体" w:eastAsia="宋体" w:hAnsiTheme="majorEastAsia"/>
                <w:b/>
                <w:sz w:val="21"/>
                <w:szCs w:val="21"/>
                <w:highlight w:val="none"/>
              </w:rPr>
              <w:br w:type="textWrapping"/>
            </w:r>
            <w:r>
              <w:rPr>
                <w:rFonts w:ascii="宋体" w:eastAsia="宋体" w:hAnsiTheme="majorEastAsia"/>
                <w:b/>
                <w:sz w:val="21"/>
                <w:szCs w:val="21"/>
                <w:highlight w:val="none"/>
              </w:rPr>
              <w:t>5.可插拔次数：＞1000次</w:t>
            </w:r>
          </w:p>
        </w:tc>
      </w:tr>
      <w:tr w14:paraId="60EB1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15E4C22C">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17</w:t>
            </w:r>
          </w:p>
        </w:tc>
        <w:tc>
          <w:tcPr>
            <w:tcW w:w="0" w:type="auto"/>
            <w:vAlign w:val="center"/>
          </w:tcPr>
          <w:p w14:paraId="03F9D067">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熔纤辅材</w:t>
            </w:r>
          </w:p>
        </w:tc>
        <w:tc>
          <w:tcPr>
            <w:tcW w:w="6940" w:type="dxa"/>
            <w:vAlign w:val="center"/>
          </w:tcPr>
          <w:p w14:paraId="21BCBEA9">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1.光纤熔接,光纤热缩套管、光纤清洁棉、酒精棉片 裸纤保护管、扎带、固定胶</w:t>
            </w:r>
          </w:p>
        </w:tc>
      </w:tr>
      <w:tr w14:paraId="4FCAC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361A0482">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18</w:t>
            </w:r>
          </w:p>
        </w:tc>
        <w:tc>
          <w:tcPr>
            <w:tcW w:w="0" w:type="auto"/>
            <w:vAlign w:val="center"/>
          </w:tcPr>
          <w:p w14:paraId="1F2BD1E9">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法兰盘</w:t>
            </w:r>
          </w:p>
        </w:tc>
        <w:tc>
          <w:tcPr>
            <w:tcW w:w="6940" w:type="dxa"/>
            <w:vAlign w:val="center"/>
          </w:tcPr>
          <w:p w14:paraId="6F209396">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 光纤法兰盘</w:t>
            </w:r>
            <w:r>
              <w:rPr>
                <w:rFonts w:ascii="宋体" w:eastAsia="宋体" w:hAnsiTheme="majorEastAsia"/>
                <w:b/>
                <w:sz w:val="21"/>
                <w:szCs w:val="21"/>
                <w:highlight w:val="none"/>
              </w:rPr>
              <w:br w:type="textWrapping"/>
            </w:r>
            <w:r>
              <w:rPr>
                <w:rFonts w:ascii="宋体" w:eastAsia="宋体" w:hAnsiTheme="majorEastAsia"/>
                <w:b/>
                <w:sz w:val="21"/>
                <w:szCs w:val="21"/>
                <w:highlight w:val="none"/>
              </w:rPr>
              <w:t>2. 电信级</w:t>
            </w:r>
            <w:r>
              <w:rPr>
                <w:rFonts w:ascii="宋体" w:eastAsia="宋体" w:hAnsiTheme="majorEastAsia"/>
                <w:b/>
                <w:sz w:val="21"/>
                <w:szCs w:val="21"/>
                <w:highlight w:val="none"/>
              </w:rPr>
              <w:br w:type="textWrapping"/>
            </w:r>
            <w:r>
              <w:rPr>
                <w:rFonts w:ascii="宋体" w:eastAsia="宋体" w:hAnsiTheme="majorEastAsia"/>
                <w:b/>
                <w:sz w:val="21"/>
                <w:szCs w:val="21"/>
                <w:highlight w:val="none"/>
              </w:rPr>
              <w:t>3. 插损≤0.2db</w:t>
            </w:r>
          </w:p>
        </w:tc>
      </w:tr>
      <w:tr w14:paraId="0AD4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53B40C34">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19</w:t>
            </w:r>
          </w:p>
        </w:tc>
        <w:tc>
          <w:tcPr>
            <w:tcW w:w="0" w:type="auto"/>
            <w:vAlign w:val="center"/>
          </w:tcPr>
          <w:p w14:paraId="3D451077">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9U机柜</w:t>
            </w:r>
          </w:p>
        </w:tc>
        <w:tc>
          <w:tcPr>
            <w:tcW w:w="6940" w:type="dxa"/>
            <w:vAlign w:val="center"/>
          </w:tcPr>
          <w:p w14:paraId="2A084727">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1. 遵循19 英寸工业机架标准</w:t>
            </w:r>
          </w:p>
          <w:p w14:paraId="1A9E712C">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2. 整机外部尺寸：高度≥500mm，宽度≥600mm，深度≥600mm</w:t>
            </w:r>
          </w:p>
          <w:p w14:paraId="4B685BD5">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 xml:space="preserve">3.承重：≥100kg </w:t>
            </w:r>
          </w:p>
          <w:p w14:paraId="7D97D2B7">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4.材料：Q235 或 SPCC 冷轧钢板，机柜安装立柱板材厚度≥1.2mm, 门板、侧板板材厚度≥1.0mm</w:t>
            </w:r>
          </w:p>
          <w:p w14:paraId="1D957C73">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hint="eastAsia" w:ascii="宋体" w:eastAsia="宋体" w:hAnsiTheme="majorEastAsia"/>
                <w:b/>
                <w:sz w:val="21"/>
                <w:szCs w:val="21"/>
                <w:highlight w:val="none"/>
              </w:rPr>
              <w:t>5.表面处理：采用静电喷塑工艺，先酸洗磷化防锈，再喷塑，涂层厚度 ≥40μm，防腐蚀、防刮花，颜色以黑色、浅灰色为主</w:t>
            </w:r>
          </w:p>
        </w:tc>
      </w:tr>
      <w:tr w14:paraId="0B295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314D68EF">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20</w:t>
            </w:r>
          </w:p>
        </w:tc>
        <w:tc>
          <w:tcPr>
            <w:tcW w:w="0" w:type="auto"/>
            <w:vAlign w:val="center"/>
          </w:tcPr>
          <w:p w14:paraId="01BF71FE">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光端盒</w:t>
            </w:r>
          </w:p>
        </w:tc>
        <w:tc>
          <w:tcPr>
            <w:tcW w:w="6940" w:type="dxa"/>
            <w:vAlign w:val="center"/>
          </w:tcPr>
          <w:p w14:paraId="2884D698">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1. 遵循19英寸标准机架式</w:t>
            </w:r>
            <w:r>
              <w:rPr>
                <w:rFonts w:ascii="宋体" w:eastAsia="宋体" w:hAnsiTheme="majorEastAsia"/>
                <w:b/>
                <w:sz w:val="21"/>
                <w:szCs w:val="21"/>
                <w:highlight w:val="none"/>
              </w:rPr>
              <w:br w:type="textWrapping"/>
            </w:r>
            <w:r>
              <w:rPr>
                <w:rFonts w:ascii="宋体" w:eastAsia="宋体" w:hAnsiTheme="majorEastAsia"/>
                <w:b/>
                <w:sz w:val="21"/>
                <w:szCs w:val="21"/>
                <w:highlight w:val="none"/>
              </w:rPr>
              <w:t>2.高度1U光纤配线架</w:t>
            </w:r>
            <w:r>
              <w:rPr>
                <w:rFonts w:ascii="宋体" w:eastAsia="宋体" w:hAnsiTheme="majorEastAsia"/>
                <w:b/>
                <w:sz w:val="21"/>
                <w:szCs w:val="21"/>
                <w:highlight w:val="none"/>
              </w:rPr>
              <w:br w:type="textWrapping"/>
            </w:r>
            <w:r>
              <w:rPr>
                <w:rFonts w:ascii="宋体" w:eastAsia="宋体" w:hAnsiTheme="majorEastAsia"/>
                <w:b/>
                <w:sz w:val="21"/>
                <w:szCs w:val="21"/>
                <w:highlight w:val="none"/>
              </w:rPr>
              <w:t>3. 容量：≥12芯</w:t>
            </w:r>
            <w:r>
              <w:rPr>
                <w:rFonts w:ascii="宋体" w:eastAsia="宋体" w:hAnsiTheme="majorEastAsia"/>
                <w:b/>
                <w:sz w:val="21"/>
                <w:szCs w:val="21"/>
                <w:highlight w:val="none"/>
              </w:rPr>
              <w:br w:type="textWrapping"/>
            </w:r>
            <w:r>
              <w:rPr>
                <w:rFonts w:ascii="宋体" w:eastAsia="宋体" w:hAnsiTheme="majorEastAsia"/>
                <w:b/>
                <w:sz w:val="21"/>
                <w:szCs w:val="21"/>
                <w:highlight w:val="none"/>
              </w:rPr>
              <w:t>4.材质：冷轧钢板，表面防锈喷涂处理</w:t>
            </w:r>
            <w:r>
              <w:rPr>
                <w:rFonts w:ascii="宋体" w:eastAsia="宋体" w:hAnsiTheme="majorEastAsia"/>
                <w:b/>
                <w:sz w:val="21"/>
                <w:szCs w:val="21"/>
                <w:highlight w:val="none"/>
              </w:rPr>
              <w:br w:type="textWrapping"/>
            </w:r>
            <w:r>
              <w:rPr>
                <w:rFonts w:ascii="宋体" w:eastAsia="宋体" w:hAnsiTheme="majorEastAsia"/>
                <w:b/>
                <w:sz w:val="21"/>
                <w:szCs w:val="21"/>
                <w:highlight w:val="none"/>
              </w:rPr>
              <w:t>5.开启方式：抽拉式开启</w:t>
            </w:r>
          </w:p>
        </w:tc>
      </w:tr>
      <w:tr w14:paraId="05FB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68" w:type="dxa"/>
            <w:vAlign w:val="center"/>
          </w:tcPr>
          <w:p w14:paraId="1EBB3A0E">
            <w:pPr>
              <w:snapToGrid w:val="0"/>
              <w:spacing w:before="78" w:beforeLines="25" w:after="78" w:afterLines="25"/>
              <w:ind w:left="0" w:leftChars="0" w:right="0" w:rightChars="0" w:firstLine="0" w:firstLineChars="0"/>
              <w:jc w:val="center"/>
              <w:rPr>
                <w:rFonts w:hint="eastAsia" w:ascii="宋体" w:eastAsia="宋体" w:hAnsiTheme="majorEastAsia"/>
                <w:b/>
                <w:bCs/>
                <w:sz w:val="21"/>
                <w:szCs w:val="21"/>
                <w:highlight w:val="none"/>
              </w:rPr>
            </w:pPr>
            <w:r>
              <w:rPr>
                <w:rFonts w:hint="eastAsia" w:ascii="宋体" w:eastAsia="宋体" w:hAnsiTheme="majorEastAsia"/>
                <w:b/>
                <w:bCs/>
                <w:sz w:val="21"/>
                <w:szCs w:val="21"/>
                <w:highlight w:val="none"/>
              </w:rPr>
              <w:t>21</w:t>
            </w:r>
          </w:p>
        </w:tc>
        <w:tc>
          <w:tcPr>
            <w:tcW w:w="1526" w:type="dxa"/>
            <w:vAlign w:val="center"/>
          </w:tcPr>
          <w:p w14:paraId="0FAEF92A">
            <w:pPr>
              <w:snapToGrid w:val="0"/>
              <w:spacing w:before="78" w:beforeLines="25" w:after="78" w:afterLines="25"/>
              <w:ind w:left="0" w:leftChars="0" w:right="0" w:rightChars="0" w:firstLine="0" w:firstLineChars="0"/>
              <w:jc w:val="left"/>
              <w:rPr>
                <w:rFonts w:hint="eastAsia" w:ascii="宋体" w:eastAsia="宋体" w:hAnsiTheme="majorEastAsia"/>
                <w:b/>
                <w:bCs/>
                <w:sz w:val="21"/>
                <w:szCs w:val="21"/>
                <w:highlight w:val="none"/>
              </w:rPr>
            </w:pPr>
            <w:r>
              <w:rPr>
                <w:rFonts w:ascii="宋体" w:eastAsia="宋体" w:hAnsiTheme="majorEastAsia"/>
                <w:b/>
                <w:bCs/>
                <w:sz w:val="21"/>
                <w:szCs w:val="21"/>
                <w:highlight w:val="none"/>
              </w:rPr>
              <w:t>插排</w:t>
            </w:r>
          </w:p>
        </w:tc>
        <w:tc>
          <w:tcPr>
            <w:tcW w:w="6940" w:type="dxa"/>
            <w:vAlign w:val="center"/>
          </w:tcPr>
          <w:p w14:paraId="46997E13">
            <w:pPr>
              <w:numPr>
                <w:ilvl w:val="0"/>
                <w:numId w:val="8"/>
              </w:numPr>
              <w:tabs>
                <w:tab w:val="clear" w:pos="312"/>
              </w:tabs>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≥6孔位</w:t>
            </w:r>
          </w:p>
          <w:p w14:paraId="09867320">
            <w:pPr>
              <w:snapToGrid w:val="0"/>
              <w:spacing w:before="78" w:beforeLines="25" w:after="78" w:afterLines="25"/>
              <w:ind w:left="0" w:leftChars="0" w:right="0" w:rightChars="0" w:firstLine="0" w:firstLineChars="0"/>
              <w:jc w:val="left"/>
              <w:rPr>
                <w:rFonts w:hint="eastAsia" w:ascii="宋体" w:eastAsia="宋体" w:hAnsiTheme="majorEastAsia"/>
                <w:b/>
                <w:sz w:val="21"/>
                <w:szCs w:val="21"/>
                <w:highlight w:val="none"/>
              </w:rPr>
            </w:pPr>
            <w:r>
              <w:rPr>
                <w:rFonts w:ascii="宋体" w:eastAsia="宋体" w:hAnsiTheme="majorEastAsia"/>
                <w:b/>
                <w:sz w:val="21"/>
                <w:szCs w:val="21"/>
                <w:highlight w:val="none"/>
              </w:rPr>
              <w:t>2.≥10A</w:t>
            </w:r>
          </w:p>
        </w:tc>
      </w:tr>
    </w:tbl>
    <w:p w14:paraId="23ECE45A">
      <w:pPr>
        <w:spacing w:line="360" w:lineRule="auto"/>
        <w:outlineLvl w:val="1"/>
        <w:rPr>
          <w:rFonts w:hint="default" w:ascii="宋体" w:hAnsi="宋体" w:eastAsia="宋体" w:cs="宋体"/>
          <w:b/>
          <w:sz w:val="24"/>
          <w:lang w:val="en-US" w:eastAsia="zh-CN"/>
        </w:rPr>
      </w:pPr>
      <w:r>
        <w:rPr>
          <w:rFonts w:hint="eastAsia" w:ascii="宋体" w:hAnsi="宋体" w:eastAsia="宋体" w:cs="宋体"/>
          <w:b/>
          <w:sz w:val="24"/>
          <w:lang w:val="en-US" w:eastAsia="zh-CN"/>
        </w:rPr>
        <w:t>五、</w:t>
      </w:r>
      <w:r>
        <w:rPr>
          <w:rFonts w:hint="default" w:ascii="宋体" w:hAnsi="宋体" w:eastAsia="宋体" w:cs="宋体"/>
          <w:b/>
          <w:sz w:val="24"/>
          <w:lang w:val="en-US" w:eastAsia="zh-CN"/>
        </w:rPr>
        <w:t>项目实施要求</w:t>
      </w:r>
    </w:p>
    <w:p w14:paraId="1E98CA87">
      <w:pPr>
        <w:spacing w:line="360" w:lineRule="auto"/>
        <w:ind w:firstLine="480" w:firstLineChars="200"/>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安装调试后立即运行无故障，质保期内出现非人为故障立即更换新品。</w:t>
      </w:r>
    </w:p>
    <w:p w14:paraId="208A8337">
      <w:pPr>
        <w:spacing w:line="360" w:lineRule="auto"/>
        <w:outlineLvl w:val="1"/>
        <w:rPr>
          <w:rFonts w:hint="default" w:ascii="宋体" w:hAnsi="宋体" w:eastAsia="宋体" w:cs="宋体"/>
          <w:b/>
          <w:sz w:val="24"/>
          <w:lang w:val="en-US" w:eastAsia="zh-CN"/>
        </w:rPr>
      </w:pPr>
      <w:r>
        <w:rPr>
          <w:rFonts w:hint="eastAsia" w:ascii="宋体" w:hAnsi="宋体" w:eastAsia="宋体" w:cs="宋体"/>
          <w:b/>
          <w:sz w:val="24"/>
          <w:lang w:val="en-US" w:eastAsia="zh-CN"/>
        </w:rPr>
        <w:t>六、</w:t>
      </w:r>
      <w:r>
        <w:rPr>
          <w:rFonts w:hint="default" w:ascii="宋体" w:hAnsi="宋体" w:eastAsia="宋体" w:cs="宋体"/>
          <w:b/>
          <w:sz w:val="24"/>
          <w:lang w:val="en-US" w:eastAsia="zh-CN"/>
        </w:rPr>
        <w:t>验收方式</w:t>
      </w:r>
    </w:p>
    <w:p w14:paraId="2B4F4AC7">
      <w:pPr>
        <w:spacing w:line="360" w:lineRule="auto"/>
        <w:ind w:firstLine="480" w:firstLineChars="200"/>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按照监控设备安装验收监管理办法执行，详见附件1。</w:t>
      </w:r>
    </w:p>
    <w:p w14:paraId="393F6503">
      <w:pPr>
        <w:spacing w:line="360" w:lineRule="auto"/>
        <w:ind w:firstLine="480" w:firstLineChars="200"/>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竣工验收须达到以下标准：设备连续运行72小时故障率≤1%，网络传输稳定，1小时内丢包率≤1%，监控画面分辨率误差≤5%。</w:t>
      </w:r>
    </w:p>
    <w:p w14:paraId="3A34DE3C">
      <w:pPr>
        <w:spacing w:line="360" w:lineRule="auto"/>
        <w:outlineLvl w:val="1"/>
        <w:rPr>
          <w:rFonts w:hint="default" w:ascii="宋体" w:hAnsi="宋体" w:eastAsia="宋体" w:cs="宋体"/>
          <w:b/>
          <w:sz w:val="24"/>
          <w:lang w:val="en-US" w:eastAsia="zh-CN"/>
        </w:rPr>
      </w:pPr>
      <w:r>
        <w:rPr>
          <w:rFonts w:hint="eastAsia" w:ascii="宋体" w:hAnsi="宋体" w:eastAsia="宋体" w:cs="宋体"/>
          <w:b/>
          <w:sz w:val="24"/>
          <w:lang w:val="en-US" w:eastAsia="zh-CN"/>
        </w:rPr>
        <w:t>七、</w:t>
      </w:r>
      <w:r>
        <w:rPr>
          <w:rFonts w:hint="default" w:ascii="宋体" w:hAnsi="宋体" w:eastAsia="宋体" w:cs="宋体"/>
          <w:b/>
          <w:sz w:val="24"/>
          <w:lang w:val="en-US" w:eastAsia="zh-CN"/>
        </w:rPr>
        <w:t>其他技术、服务相关要求</w:t>
      </w:r>
    </w:p>
    <w:p w14:paraId="462C67E3">
      <w:pPr>
        <w:spacing w:line="360" w:lineRule="auto"/>
        <w:ind w:firstLine="480" w:firstLineChars="200"/>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1、按照国家有关标准、规范和招标文件要求达到合格标准；</w:t>
      </w:r>
    </w:p>
    <w:p w14:paraId="1F6E3E28">
      <w:pPr>
        <w:spacing w:line="360" w:lineRule="auto"/>
        <w:ind w:firstLine="480" w:firstLineChars="200"/>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2、合同签订后需提供针对本项目所使用的相关监控类设备的检测报告并加盖制造厂商公章及投标人公章备查。</w:t>
      </w:r>
    </w:p>
    <w:p w14:paraId="286EA865">
      <w:pPr>
        <w:spacing w:line="360" w:lineRule="auto"/>
        <w:ind w:firstLine="480" w:firstLineChars="200"/>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3、满足哈尔滨工业大学安防要求；</w:t>
      </w:r>
    </w:p>
    <w:p w14:paraId="42EB555C">
      <w:pPr>
        <w:spacing w:line="360" w:lineRule="auto"/>
        <w:ind w:firstLine="480" w:firstLineChars="200"/>
        <w:rPr>
          <w:rFonts w:hint="default" w:ascii="宋体" w:hAnsi="宋体" w:eastAsia="宋体" w:cs="宋体"/>
          <w:color w:val="auto"/>
          <w:sz w:val="24"/>
          <w:highlight w:val="none"/>
          <w:lang w:val="en-US" w:eastAsia="zh-CN"/>
        </w:rPr>
      </w:pPr>
      <w:r>
        <w:rPr>
          <w:rFonts w:hint="default" w:ascii="宋体" w:hAnsi="宋体" w:eastAsia="宋体" w:cs="宋体"/>
          <w:color w:val="auto"/>
          <w:sz w:val="24"/>
          <w:highlight w:val="none"/>
          <w:lang w:val="en-US" w:eastAsia="zh-CN"/>
        </w:rPr>
        <w:t>4、项目验收合之日起36个月质保期</w:t>
      </w:r>
    </w:p>
    <w:p w14:paraId="6B10D1B4">
      <w:pPr>
        <w:rPr>
          <w:rFonts w:hint="eastAsia" w:ascii="黑体" w:hAnsi="黑体" w:eastAsia="黑体"/>
          <w:b/>
          <w:bCs/>
          <w:color w:val="FF0000"/>
          <w:kern w:val="44"/>
          <w:sz w:val="36"/>
          <w:szCs w:val="56"/>
          <w:lang w:val="en-US" w:eastAsia="zh-CN"/>
        </w:rPr>
      </w:pPr>
    </w:p>
    <w:bookmarkEnd w:id="3"/>
    <w:bookmarkEnd w:id="4"/>
    <w:bookmarkEnd w:id="5"/>
    <w:bookmarkEnd w:id="6"/>
    <w:bookmarkEnd w:id="7"/>
    <w:bookmarkEnd w:id="8"/>
    <w:bookmarkEnd w:id="9"/>
    <w:bookmarkEnd w:id="10"/>
    <w:p w14:paraId="675876CB">
      <w:pPr>
        <w:rPr>
          <w:rFonts w:hint="eastAsia" w:ascii="宋体" w:hAnsi="宋体" w:cs="宋体"/>
          <w:spacing w:val="-2"/>
          <w:sz w:val="24"/>
        </w:rPr>
      </w:pPr>
      <w:bookmarkStart w:id="16" w:name="_Toc15609"/>
      <w:bookmarkStart w:id="17" w:name="_Toc9358"/>
      <w:bookmarkStart w:id="18" w:name="_Toc10511"/>
      <w:bookmarkStart w:id="19" w:name="_Toc43684402"/>
      <w:bookmarkStart w:id="20" w:name="_Toc47872891"/>
      <w:bookmarkStart w:id="21" w:name="_Toc21442"/>
      <w:bookmarkStart w:id="22" w:name="_Toc137668855"/>
      <w:bookmarkStart w:id="23" w:name="_Toc43684270"/>
      <w:bookmarkStart w:id="24" w:name="_Toc37437886"/>
      <w:bookmarkStart w:id="25" w:name="_Toc45721680"/>
      <w:bookmarkStart w:id="26" w:name="_Toc37437173"/>
      <w:bookmarkStart w:id="27" w:name="_Toc38657058"/>
      <w:bookmarkStart w:id="28" w:name="_Toc18461"/>
    </w:p>
    <w:p w14:paraId="5F5FEA85">
      <w:pPr>
        <w:rPr>
          <w:rFonts w:hint="eastAsia"/>
          <w:color w:val="auto"/>
        </w:rPr>
      </w:pPr>
      <w:r>
        <w:rPr>
          <w:rFonts w:hint="eastAsia" w:ascii="宋体" w:hAnsi="宋体" w:cs="宋体"/>
          <w:spacing w:val="-2"/>
          <w:sz w:val="24"/>
          <w:lang w:val="en-US" w:eastAsia="zh-CN"/>
        </w:rPr>
        <w:t>注：</w:t>
      </w:r>
      <w:r>
        <w:rPr>
          <w:rFonts w:hint="eastAsia" w:ascii="宋体" w:hAnsi="宋体" w:cs="宋体"/>
          <w:spacing w:val="-2"/>
          <w:sz w:val="24"/>
        </w:rPr>
        <w:t>提供相同品牌产品且通过资格审查、符合性审查的不同供应商参加同一合同项下投标的，按一家供应商计算，评审后得分最高的同品牌供应商获得中标供应商推荐资格。</w:t>
      </w:r>
      <w:bookmarkEnd w:id="16"/>
      <w:bookmarkEnd w:id="17"/>
      <w:bookmarkEnd w:id="18"/>
      <w:bookmarkEnd w:id="19"/>
      <w:bookmarkEnd w:id="20"/>
      <w:bookmarkEnd w:id="21"/>
      <w:bookmarkEnd w:id="22"/>
      <w:bookmarkEnd w:id="23"/>
      <w:bookmarkEnd w:id="24"/>
      <w:bookmarkEnd w:id="25"/>
      <w:bookmarkEnd w:id="26"/>
      <w:bookmarkEnd w:id="27"/>
      <w:bookmarkEnd w:id="28"/>
    </w:p>
    <w:sectPr>
      <w:headerReference r:id="rId4" w:type="first"/>
      <w:footerReference r:id="rId6" w:type="first"/>
      <w:headerReference r:id="rId3" w:type="default"/>
      <w:footerReference r:id="rId5" w:type="default"/>
      <w:pgSz w:w="11905" w:h="16838"/>
      <w:pgMar w:top="1361" w:right="1247" w:bottom="1361" w:left="1247" w:header="720" w:footer="720" w:gutter="0"/>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细黑">
    <w:panose1 w:val="02010600040101010101"/>
    <w:charset w:val="86"/>
    <w:family w:val="auto"/>
    <w:pitch w:val="default"/>
    <w:sig w:usb0="00000287" w:usb1="080F0000" w:usb2="00000000" w:usb3="00000000" w:csb0="0004009F" w:csb1="DFD70000"/>
  </w:font>
  <w:font w:name="方正书宋简体">
    <w:altName w:val="宋体"/>
    <w:panose1 w:val="00000000000000000000"/>
    <w:charset w:val="86"/>
    <w:family w:val="auto"/>
    <w:pitch w:val="default"/>
    <w:sig w:usb0="00000000" w:usb1="00000000" w:usb2="00000010" w:usb3="00000000" w:csb0="00040000"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21DE1C">
    <w:pPr>
      <w:pStyle w:val="20"/>
      <w:jc w:val="right"/>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503DCA">
                          <w:pPr>
                            <w:pStyle w:val="2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38yactAgAAV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odssC1u9szxC&#10;R/G8XR0DBGx1jaJ0SvRaod/ayvSzERv6z30b9fQ/WD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F38yactAgAAVwQAAA4AAAAAAAAAAQAgAAAAHwEAAGRycy9lMm9Eb2MueG1sUEsFBgAAAAAG&#10;AAYAWQEAAL4FAAAAAA==&#10;">
              <v:fill on="f" focussize="0,0"/>
              <v:stroke on="f" weight="0.5pt"/>
              <v:imagedata o:title=""/>
              <o:lock v:ext="edit" aspectratio="f"/>
              <v:textbox inset="0mm,0mm,0mm,0mm" style="mso-fit-shape-to-text:t;">
                <w:txbxContent>
                  <w:p w14:paraId="13503DCA">
                    <w:pPr>
                      <w:pStyle w:val="20"/>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A32E4">
    <w:pPr>
      <w:pStyle w:val="20"/>
      <w:tabs>
        <w:tab w:val="left" w:pos="5568"/>
        <w:tab w:val="clear" w:pos="4153"/>
      </w:tabs>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94D6AD">
                          <w:pPr>
                            <w:pStyle w:val="20"/>
                          </w:pPr>
                          <w:r>
                            <w:fldChar w:fldCharType="begin"/>
                          </w:r>
                          <w:r>
                            <w:instrText xml:space="preserve"> PAGE  \* MERGEFORMAT </w:instrText>
                          </w:r>
                          <w:r>
                            <w:fldChar w:fldCharType="separate"/>
                          </w:r>
                          <w:r>
                            <w:t>- 83 -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QaAL0tAgAAVwQAAA4AAABkcnMvZTJvRG9jLnhtbK1UzY7TMBC+I/EO&#10;lu80aRd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QaAL0tAgAAVwQAAA4AAAAAAAAAAQAgAAAAHwEAAGRycy9lMm9Eb2MueG1sUEsFBgAAAAAG&#10;AAYAWQEAAL4FAAAAAA==&#10;">
              <v:fill on="f" focussize="0,0"/>
              <v:stroke on="f" weight="0.5pt"/>
              <v:imagedata o:title=""/>
              <o:lock v:ext="edit" aspectratio="f"/>
              <v:textbox inset="0mm,0mm,0mm,0mm" style="mso-fit-shape-to-text:t;">
                <w:txbxContent>
                  <w:p w14:paraId="6994D6AD">
                    <w:pPr>
                      <w:pStyle w:val="20"/>
                    </w:pPr>
                    <w:r>
                      <w:fldChar w:fldCharType="begin"/>
                    </w:r>
                    <w:r>
                      <w:instrText xml:space="preserve"> PAGE  \* MERGEFORMAT </w:instrText>
                    </w:r>
                    <w:r>
                      <w:fldChar w:fldCharType="separate"/>
                    </w:r>
                    <w:r>
                      <w:t>- 83 -</w:t>
                    </w:r>
                    <w:r>
                      <w:fldChar w:fldCharType="end"/>
                    </w:r>
                  </w:p>
                </w:txbxContent>
              </v:textbox>
            </v:shape>
          </w:pict>
        </mc:Fallback>
      </mc:AlternateContent>
    </w:r>
    <w:r>
      <w:rPr>
        <w:rFonts w:hint="eastAsia"/>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A435D">
    <w:pPr>
      <w:pStyle w:val="21"/>
      <w:jc w:val="left"/>
    </w:pPr>
    <w:r>
      <w:rPr>
        <w:rFonts w:hint="eastAsia"/>
        <w:lang w:eastAsia="zh-CN"/>
      </w:rPr>
      <w:t>哈尔滨工业大学诚意楼、2C栋、交通学院监控设备采购</w:t>
    </w:r>
    <w:r>
      <w:rPr>
        <w:rFonts w:hint="eastAsia"/>
      </w:rPr>
      <w:t xml:space="preserve">                                   </w:t>
    </w:r>
  </w:p>
  <w:p w14:paraId="23E728F1">
    <w:pPr>
      <w:pStyle w:val="11"/>
      <w:spacing w:line="14" w:lineRule="auto"/>
      <w:rPr>
        <w:sz w:val="20"/>
      </w:rPr>
    </w:pPr>
    <w:r>
      <mc:AlternateContent>
        <mc:Choice Requires="wps">
          <w:drawing>
            <wp:anchor distT="0" distB="0" distL="114300" distR="114300" simplePos="0" relativeHeight="251659264" behindDoc="1" locked="0" layoutInCell="1" allowOverlap="1">
              <wp:simplePos x="0" y="0"/>
              <wp:positionH relativeFrom="page">
                <wp:posOffset>5555615</wp:posOffset>
              </wp:positionH>
              <wp:positionV relativeFrom="page">
                <wp:posOffset>544830</wp:posOffset>
              </wp:positionV>
              <wp:extent cx="482600" cy="1397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482600" cy="139700"/>
                      </a:xfrm>
                      <a:prstGeom prst="rect">
                        <a:avLst/>
                      </a:prstGeom>
                      <a:noFill/>
                      <a:ln>
                        <a:noFill/>
                      </a:ln>
                    </wps:spPr>
                    <wps:txbx>
                      <w:txbxContent>
                        <w:p w14:paraId="6D24A53B">
                          <w:pPr>
                            <w:spacing w:line="220" w:lineRule="exact"/>
                            <w:ind w:left="20"/>
                            <w:jc w:val="left"/>
                            <w:rPr>
                              <w:rFonts w:ascii="仿宋" w:eastAsia="仿宋"/>
                              <w:sz w:val="18"/>
                            </w:rPr>
                          </w:pPr>
                        </w:p>
                      </w:txbxContent>
                    </wps:txbx>
                    <wps:bodyPr lIns="0" tIns="0" rIns="0" bIns="0" upright="1"/>
                  </wps:wsp>
                </a:graphicData>
              </a:graphic>
            </wp:anchor>
          </w:drawing>
        </mc:Choice>
        <mc:Fallback>
          <w:pict>
            <v:shape id="_x0000_s1026" o:spid="_x0000_s1026" o:spt="202" type="#_x0000_t202" style="position:absolute;left:0pt;margin-left:437.45pt;margin-top:42.9pt;height:11pt;width:38pt;mso-position-horizontal-relative:page;mso-position-vertical-relative:page;z-index:-251657216;mso-width-relative:page;mso-height-relative:page;" filled="f" stroked="f" coordsize="21600,21600" o:gfxdata="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JQ1tunYAAAACgEAAA8AAAAAAAAAAQAgAAAAIgAAAGRycy9kb3ducmV2LnhtbFBLAQIU&#10;ABQAAAAIAIdO4kA8HQUSugEAAHMDAAAOAAAAAAAAAAEAIAAAACcBAABkcnMvZTJvRG9jLnhtbFBL&#10;BQYAAAAABgAGAFkBAABTBQAAAAA=&#10;">
              <v:fill on="f" focussize="0,0"/>
              <v:stroke on="f"/>
              <v:imagedata o:title=""/>
              <o:lock v:ext="edit" aspectratio="f"/>
              <v:textbox inset="0mm,0mm,0mm,0mm">
                <w:txbxContent>
                  <w:p w14:paraId="6D24A53B">
                    <w:pPr>
                      <w:spacing w:line="220" w:lineRule="exact"/>
                      <w:ind w:left="20"/>
                      <w:jc w:val="left"/>
                      <w:rPr>
                        <w:rFonts w:ascii="仿宋" w:eastAsia="仿宋"/>
                        <w:sz w:val="18"/>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5BA4B">
    <w:pPr>
      <w:pStyle w:val="21"/>
      <w:jc w:val="left"/>
    </w:pPr>
    <w:r>
      <w:rPr>
        <w:rFonts w:hint="eastAsia"/>
        <w:lang w:eastAsia="zh-CN"/>
      </w:rPr>
      <w:t>哈尔滨工业大学诚意楼、2C栋、交通学院监控设备采购</w:t>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4D0210"/>
    <w:multiLevelType w:val="singleLevel"/>
    <w:tmpl w:val="874D0210"/>
    <w:lvl w:ilvl="0" w:tentative="0">
      <w:start w:val="1"/>
      <w:numFmt w:val="decimal"/>
      <w:lvlText w:val="%1."/>
      <w:lvlJc w:val="left"/>
      <w:pPr>
        <w:tabs>
          <w:tab w:val="left" w:pos="312"/>
        </w:tabs>
      </w:pPr>
    </w:lvl>
  </w:abstractNum>
  <w:abstractNum w:abstractNumId="1">
    <w:nsid w:val="C8F0656A"/>
    <w:multiLevelType w:val="singleLevel"/>
    <w:tmpl w:val="C8F0656A"/>
    <w:lvl w:ilvl="0" w:tentative="0">
      <w:start w:val="1"/>
      <w:numFmt w:val="decimal"/>
      <w:lvlText w:val="%1."/>
      <w:lvlJc w:val="left"/>
      <w:pPr>
        <w:tabs>
          <w:tab w:val="left" w:pos="312"/>
        </w:tabs>
      </w:pPr>
    </w:lvl>
  </w:abstractNum>
  <w:abstractNum w:abstractNumId="2">
    <w:nsid w:val="00FE3D42"/>
    <w:multiLevelType w:val="multilevel"/>
    <w:tmpl w:val="00FE3D42"/>
    <w:lvl w:ilvl="0" w:tentative="0">
      <w:start w:val="1"/>
      <w:numFmt w:val="decimal"/>
      <w:lvlText w:val="%1"/>
      <w:lvlJc w:val="left"/>
      <w:pPr>
        <w:ind w:left="432" w:hanging="432"/>
      </w:pPr>
    </w:lvl>
    <w:lvl w:ilvl="1" w:tentative="0">
      <w:start w:val="1"/>
      <w:numFmt w:val="decimal"/>
      <w:lvlText w:val="%1.%2"/>
      <w:lvlJc w:val="left"/>
      <w:pPr>
        <w:ind w:left="576" w:hanging="576"/>
      </w:pPr>
      <w:rPr>
        <w:rFonts w:hint="default" w:ascii="Times New Roman" w:hAnsi="Times New Roman" w:cs="Times New Roman"/>
      </w:rPr>
    </w:lvl>
    <w:lvl w:ilvl="2" w:tentative="0">
      <w:start w:val="1"/>
      <w:numFmt w:val="decimal"/>
      <w:lvlText w:val="%1.%2.%3"/>
      <w:lvlJc w:val="left"/>
      <w:pPr>
        <w:ind w:left="720" w:hanging="720"/>
      </w:pPr>
      <w:rPr>
        <w:rFonts w:hint="default" w:ascii="黑体" w:hAnsi="黑体" w:eastAsia="黑体" w:cs="Times New Roman"/>
      </w:rPr>
    </w:lvl>
    <w:lvl w:ilvl="3" w:tentative="0">
      <w:start w:val="1"/>
      <w:numFmt w:val="decimal"/>
      <w:pStyle w:val="5"/>
      <w:lvlText w:val="%1.%2.%3.%4"/>
      <w:lvlJc w:val="left"/>
      <w:pPr>
        <w:ind w:left="4266" w:hanging="864"/>
      </w:pPr>
      <w:rPr>
        <w:rFonts w:hint="default" w:ascii="黑体" w:hAnsi="黑体" w:eastAsia="黑体" w:cs="Times New Roman"/>
        <w:color w:val="auto"/>
      </w:rPr>
    </w:lvl>
    <w:lvl w:ilvl="4" w:tentative="0">
      <w:start w:val="1"/>
      <w:numFmt w:val="decimal"/>
      <w:lvlText w:val="%1.%2.%3.%4.%5"/>
      <w:lvlJc w:val="left"/>
      <w:pPr>
        <w:ind w:left="2285" w:hanging="1008"/>
      </w:pPr>
      <w:rPr>
        <w:rFonts w:hint="default" w:ascii="黑体" w:hAnsi="黑体" w:eastAsia="黑体" w:cs="Times New Roman"/>
        <w:color w:val="auto"/>
      </w:rPr>
    </w:lvl>
    <w:lvl w:ilvl="5" w:tentative="0">
      <w:start w:val="1"/>
      <w:numFmt w:val="decimal"/>
      <w:lvlText w:val="%1.%2.%3.%4.%5.%6"/>
      <w:lvlJc w:val="left"/>
      <w:pPr>
        <w:ind w:left="1152" w:hanging="1152"/>
      </w:pPr>
      <w:rPr>
        <w:rFonts w:hint="default" w:ascii="黑体" w:hAnsi="黑体" w:eastAsia="黑体" w:cs="Times New Roman"/>
        <w:color w:val="auto"/>
      </w:r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abstractNum w:abstractNumId="3">
    <w:nsid w:val="1EFB4265"/>
    <w:multiLevelType w:val="multilevel"/>
    <w:tmpl w:val="1EFB4265"/>
    <w:lvl w:ilvl="0" w:tentative="0">
      <w:start w:val="1"/>
      <w:numFmt w:val="chineseCountingThousand"/>
      <w:pStyle w:val="30"/>
      <w:suff w:val="space"/>
      <w:lvlText w:val="%1、"/>
      <w:lvlJc w:val="left"/>
      <w:pPr>
        <w:ind w:left="0" w:firstLine="0"/>
      </w:pPr>
      <w:rPr>
        <w:rFonts w:hint="eastAsia" w:ascii="宋体" w:hAnsi="宋体" w:eastAsia="宋体" w:cs="黑体"/>
      </w:rPr>
    </w:lvl>
    <w:lvl w:ilvl="1" w:tentative="0">
      <w:start w:val="1"/>
      <w:numFmt w:val="decimal"/>
      <w:suff w:val="space"/>
      <w:lvlText w:val="%2."/>
      <w:lvlJc w:val="left"/>
      <w:pPr>
        <w:ind w:left="0" w:firstLine="0"/>
      </w:pPr>
    </w:lvl>
    <w:lvl w:ilvl="2" w:tentative="0">
      <w:start w:val="1"/>
      <w:numFmt w:val="decimal"/>
      <w:suff w:val="space"/>
      <w:lvlText w:val="%2.%3."/>
      <w:lvlJc w:val="left"/>
      <w:pPr>
        <w:ind w:left="0" w:firstLine="0"/>
      </w:pPr>
      <w:rPr>
        <w:rFonts w:hint="default" w:ascii="Times New Roman" w:hAnsi="Times New Roman" w:eastAsia="宋体" w:cs="Times New Roman"/>
        <w:sz w:val="24"/>
        <w:szCs w:val="24"/>
      </w:rPr>
    </w:lvl>
    <w:lvl w:ilvl="3" w:tentative="0">
      <w:start w:val="1"/>
      <w:numFmt w:val="decimal"/>
      <w:lvlText w:val="%1.%2.%3.%4"/>
      <w:lvlJc w:val="left"/>
      <w:pPr>
        <w:ind w:left="850" w:hanging="850"/>
      </w:pPr>
      <w:rPr>
        <w:rFonts w:hint="eastAsia" w:ascii="宋体" w:hAnsi="宋体" w:eastAsia="宋体" w:cs="宋体"/>
        <w:color w:val="auto"/>
        <w:sz w:val="24"/>
        <w:szCs w:val="24"/>
      </w:rPr>
    </w:lvl>
    <w:lvl w:ilvl="4" w:tentative="0">
      <w:start w:val="1"/>
      <w:numFmt w:val="decimal"/>
      <w:lvlText w:val="%1.%2.%3.%4.%5."/>
      <w:lvlJc w:val="left"/>
      <w:pPr>
        <w:ind w:left="991" w:hanging="991"/>
      </w:pPr>
      <w:rPr>
        <w:rFonts w:hint="eastAsia"/>
      </w:rPr>
    </w:lvl>
    <w:lvl w:ilvl="5" w:tentative="0">
      <w:start w:val="1"/>
      <w:numFmt w:val="decimal"/>
      <w:lvlText w:val="%1.%2.%3.%4.%5.%6."/>
      <w:lvlJc w:val="left"/>
      <w:pPr>
        <w:ind w:left="1134" w:hanging="1134"/>
      </w:pPr>
      <w:rPr>
        <w:rFonts w:hint="eastAsia"/>
      </w:rPr>
    </w:lvl>
    <w:lvl w:ilvl="6" w:tentative="0">
      <w:start w:val="1"/>
      <w:numFmt w:val="decimal"/>
      <w:lvlText w:val="%1.%2.%3.%4.%5.%6.%7."/>
      <w:lvlJc w:val="left"/>
      <w:pPr>
        <w:ind w:left="1275" w:hanging="1275"/>
      </w:pPr>
      <w:rPr>
        <w:rFonts w:hint="eastAsia"/>
      </w:rPr>
    </w:lvl>
    <w:lvl w:ilvl="7" w:tentative="0">
      <w:start w:val="1"/>
      <w:numFmt w:val="decimal"/>
      <w:lvlText w:val="%1.%2.%3.%4.%5.%6.%7.%8."/>
      <w:lvlJc w:val="left"/>
      <w:pPr>
        <w:ind w:left="1418" w:hanging="1418"/>
      </w:pPr>
      <w:rPr>
        <w:rFonts w:hint="eastAsia"/>
      </w:rPr>
    </w:lvl>
    <w:lvl w:ilvl="8" w:tentative="0">
      <w:start w:val="1"/>
      <w:numFmt w:val="decimal"/>
      <w:lvlText w:val="%1.%2.%3.%4.%5.%6.%7.%8.%9."/>
      <w:lvlJc w:val="left"/>
      <w:pPr>
        <w:ind w:left="1558" w:hanging="1558"/>
      </w:pPr>
      <w:rPr>
        <w:rFonts w:hint="eastAsia"/>
      </w:rPr>
    </w:lvl>
  </w:abstractNum>
  <w:abstractNum w:abstractNumId="4">
    <w:nsid w:val="41383F2D"/>
    <w:multiLevelType w:val="multilevel"/>
    <w:tmpl w:val="41383F2D"/>
    <w:lvl w:ilvl="0" w:tentative="0">
      <w:start w:val="1"/>
      <w:numFmt w:val="bullet"/>
      <w:pStyle w:val="60"/>
      <w:suff w:val="space"/>
      <w:lvlText w:val=""/>
      <w:lvlJc w:val="left"/>
      <w:pPr>
        <w:ind w:left="420" w:firstLine="62"/>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5">
    <w:nsid w:val="43857A13"/>
    <w:multiLevelType w:val="multilevel"/>
    <w:tmpl w:val="43857A13"/>
    <w:lvl w:ilvl="0" w:tentative="0">
      <w:start w:val="1"/>
      <w:numFmt w:val="decimal"/>
      <w:pStyle w:val="61"/>
      <w:suff w:val="space"/>
      <w:lvlText w:val="%1）"/>
      <w:lvlJc w:val="left"/>
      <w:pPr>
        <w:ind w:left="0" w:firstLine="476"/>
      </w:pPr>
    </w:lvl>
    <w:lvl w:ilvl="1" w:tentative="0">
      <w:start w:val="1"/>
      <w:numFmt w:val="lowerLetter"/>
      <w:lvlText w:val="%2)"/>
      <w:lvlJc w:val="left"/>
      <w:pPr>
        <w:ind w:left="1320" w:hanging="420"/>
      </w:pPr>
      <w:rPr>
        <w:rFonts w:hint="eastAsia"/>
      </w:rPr>
    </w:lvl>
    <w:lvl w:ilvl="2" w:tentative="0">
      <w:start w:val="1"/>
      <w:numFmt w:val="lowerRoman"/>
      <w:lvlText w:val="%3."/>
      <w:lvlJc w:val="right"/>
      <w:pPr>
        <w:ind w:left="1740" w:hanging="420"/>
      </w:pPr>
      <w:rPr>
        <w:rFonts w:hint="eastAsia"/>
      </w:rPr>
    </w:lvl>
    <w:lvl w:ilvl="3" w:tentative="0">
      <w:start w:val="1"/>
      <w:numFmt w:val="decimal"/>
      <w:lvlText w:val="%4."/>
      <w:lvlJc w:val="left"/>
      <w:pPr>
        <w:ind w:left="2160" w:hanging="420"/>
      </w:pPr>
      <w:rPr>
        <w:rFonts w:hint="eastAsia"/>
      </w:rPr>
    </w:lvl>
    <w:lvl w:ilvl="4" w:tentative="0">
      <w:start w:val="1"/>
      <w:numFmt w:val="lowerLetter"/>
      <w:lvlText w:val="%5)"/>
      <w:lvlJc w:val="left"/>
      <w:pPr>
        <w:ind w:left="2580" w:hanging="420"/>
      </w:pPr>
      <w:rPr>
        <w:rFonts w:hint="eastAsia"/>
      </w:rPr>
    </w:lvl>
    <w:lvl w:ilvl="5" w:tentative="0">
      <w:start w:val="1"/>
      <w:numFmt w:val="lowerRoman"/>
      <w:lvlText w:val="%6."/>
      <w:lvlJc w:val="right"/>
      <w:pPr>
        <w:ind w:left="3000" w:hanging="420"/>
      </w:pPr>
      <w:rPr>
        <w:rFonts w:hint="eastAsia"/>
      </w:rPr>
    </w:lvl>
    <w:lvl w:ilvl="6" w:tentative="0">
      <w:start w:val="1"/>
      <w:numFmt w:val="decimal"/>
      <w:lvlText w:val="%7."/>
      <w:lvlJc w:val="left"/>
      <w:pPr>
        <w:ind w:left="3420" w:hanging="420"/>
      </w:pPr>
      <w:rPr>
        <w:rFonts w:hint="eastAsia"/>
      </w:rPr>
    </w:lvl>
    <w:lvl w:ilvl="7" w:tentative="0">
      <w:start w:val="1"/>
      <w:numFmt w:val="lowerLetter"/>
      <w:lvlText w:val="%8)"/>
      <w:lvlJc w:val="left"/>
      <w:pPr>
        <w:ind w:left="3840" w:hanging="420"/>
      </w:pPr>
      <w:rPr>
        <w:rFonts w:hint="eastAsia"/>
      </w:rPr>
    </w:lvl>
    <w:lvl w:ilvl="8" w:tentative="0">
      <w:start w:val="1"/>
      <w:numFmt w:val="lowerRoman"/>
      <w:lvlText w:val="%9."/>
      <w:lvlJc w:val="right"/>
      <w:pPr>
        <w:ind w:left="4260" w:hanging="420"/>
      </w:pPr>
      <w:rPr>
        <w:rFonts w:hint="eastAsia"/>
      </w:rPr>
    </w:lvl>
  </w:abstractNum>
  <w:abstractNum w:abstractNumId="6">
    <w:nsid w:val="742F0192"/>
    <w:multiLevelType w:val="multilevel"/>
    <w:tmpl w:val="742F0192"/>
    <w:lvl w:ilvl="0" w:tentative="0">
      <w:start w:val="1"/>
      <w:numFmt w:val="decimal"/>
      <w:pStyle w:val="58"/>
      <w:lvlText w:val="(%1)"/>
      <w:lvlJc w:val="left"/>
      <w:pPr>
        <w:ind w:left="1353" w:hanging="360"/>
      </w:pPr>
      <w:rPr>
        <w:rFonts w:hint="default" w:ascii="Times New Roman" w:hAnsi="Times New Roman" w:cs="Times New Roman"/>
        <w:lang w:val="en-US"/>
      </w:rPr>
    </w:lvl>
    <w:lvl w:ilvl="1" w:tentative="0">
      <w:start w:val="1"/>
      <w:numFmt w:val="lowerLetter"/>
      <w:lvlText w:val="%2)"/>
      <w:lvlJc w:val="left"/>
      <w:pPr>
        <w:ind w:left="1692" w:hanging="420"/>
      </w:pPr>
      <w:rPr>
        <w:rFonts w:hint="eastAsia"/>
      </w:rPr>
    </w:lvl>
    <w:lvl w:ilvl="2" w:tentative="0">
      <w:start w:val="1"/>
      <w:numFmt w:val="lowerRoman"/>
      <w:lvlText w:val="%3."/>
      <w:lvlJc w:val="right"/>
      <w:pPr>
        <w:ind w:left="2112" w:hanging="420"/>
      </w:pPr>
      <w:rPr>
        <w:rFonts w:hint="eastAsia"/>
      </w:rPr>
    </w:lvl>
    <w:lvl w:ilvl="3" w:tentative="0">
      <w:start w:val="1"/>
      <w:numFmt w:val="decimal"/>
      <w:lvlText w:val="%4."/>
      <w:lvlJc w:val="left"/>
      <w:pPr>
        <w:ind w:left="2532" w:hanging="420"/>
      </w:pPr>
      <w:rPr>
        <w:rFonts w:hint="eastAsia"/>
      </w:rPr>
    </w:lvl>
    <w:lvl w:ilvl="4" w:tentative="0">
      <w:start w:val="1"/>
      <w:numFmt w:val="lowerLetter"/>
      <w:lvlText w:val="%5)"/>
      <w:lvlJc w:val="left"/>
      <w:pPr>
        <w:ind w:left="2952" w:hanging="420"/>
      </w:pPr>
      <w:rPr>
        <w:rFonts w:hint="eastAsia"/>
      </w:rPr>
    </w:lvl>
    <w:lvl w:ilvl="5" w:tentative="0">
      <w:start w:val="1"/>
      <w:numFmt w:val="lowerRoman"/>
      <w:lvlText w:val="%6."/>
      <w:lvlJc w:val="right"/>
      <w:pPr>
        <w:ind w:left="3372" w:hanging="420"/>
      </w:pPr>
      <w:rPr>
        <w:rFonts w:hint="eastAsia"/>
      </w:rPr>
    </w:lvl>
    <w:lvl w:ilvl="6" w:tentative="0">
      <w:start w:val="1"/>
      <w:numFmt w:val="decimal"/>
      <w:lvlText w:val="%7."/>
      <w:lvlJc w:val="left"/>
      <w:pPr>
        <w:ind w:left="3792" w:hanging="420"/>
      </w:pPr>
      <w:rPr>
        <w:rFonts w:hint="eastAsia"/>
      </w:rPr>
    </w:lvl>
    <w:lvl w:ilvl="7" w:tentative="0">
      <w:start w:val="1"/>
      <w:numFmt w:val="lowerLetter"/>
      <w:lvlText w:val="%8)"/>
      <w:lvlJc w:val="left"/>
      <w:pPr>
        <w:ind w:left="4212" w:hanging="420"/>
      </w:pPr>
      <w:rPr>
        <w:rFonts w:hint="eastAsia"/>
      </w:rPr>
    </w:lvl>
    <w:lvl w:ilvl="8" w:tentative="0">
      <w:start w:val="1"/>
      <w:numFmt w:val="lowerRoman"/>
      <w:lvlText w:val="%9."/>
      <w:lvlJc w:val="right"/>
      <w:pPr>
        <w:ind w:left="4632" w:hanging="420"/>
      </w:pPr>
      <w:rPr>
        <w:rFonts w:hint="eastAsia"/>
      </w:rPr>
    </w:lvl>
  </w:abstractNum>
  <w:abstractNum w:abstractNumId="7">
    <w:nsid w:val="7D794E61"/>
    <w:multiLevelType w:val="multilevel"/>
    <w:tmpl w:val="7D794E61"/>
    <w:lvl w:ilvl="0" w:tentative="0">
      <w:start w:val="1"/>
      <w:numFmt w:val="decimalEnclosedCircle"/>
      <w:pStyle w:val="52"/>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2"/>
  </w:num>
  <w:num w:numId="2">
    <w:abstractNumId w:val="3"/>
  </w:num>
  <w:num w:numId="3">
    <w:abstractNumId w:val="7"/>
  </w:num>
  <w:num w:numId="4">
    <w:abstractNumId w:val="6"/>
  </w:num>
  <w:num w:numId="5">
    <w:abstractNumId w:val="4"/>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FlZDhmMGQxNmJjODQ4MTMxOTJjYWJhZGUyOGU0MmYifQ=="/>
  </w:docVars>
  <w:rsids>
    <w:rsidRoot w:val="00A77B3E"/>
    <w:rsid w:val="00012647"/>
    <w:rsid w:val="00013C68"/>
    <w:rsid w:val="000209E4"/>
    <w:rsid w:val="0002429E"/>
    <w:rsid w:val="000251B3"/>
    <w:rsid w:val="00025D93"/>
    <w:rsid w:val="0004061C"/>
    <w:rsid w:val="00044DFE"/>
    <w:rsid w:val="0006069F"/>
    <w:rsid w:val="00082E08"/>
    <w:rsid w:val="000C5F53"/>
    <w:rsid w:val="000D4CDA"/>
    <w:rsid w:val="000E6F15"/>
    <w:rsid w:val="00112B84"/>
    <w:rsid w:val="00113988"/>
    <w:rsid w:val="00150A22"/>
    <w:rsid w:val="001631A8"/>
    <w:rsid w:val="001706D1"/>
    <w:rsid w:val="00172046"/>
    <w:rsid w:val="00177BC5"/>
    <w:rsid w:val="001A390F"/>
    <w:rsid w:val="001B2DDE"/>
    <w:rsid w:val="001B7881"/>
    <w:rsid w:val="001C508B"/>
    <w:rsid w:val="001D10F9"/>
    <w:rsid w:val="001D73C5"/>
    <w:rsid w:val="001E0FC5"/>
    <w:rsid w:val="001E56DA"/>
    <w:rsid w:val="001F3BF2"/>
    <w:rsid w:val="001F7B65"/>
    <w:rsid w:val="0020095B"/>
    <w:rsid w:val="00220004"/>
    <w:rsid w:val="002249D1"/>
    <w:rsid w:val="002406C4"/>
    <w:rsid w:val="002542A9"/>
    <w:rsid w:val="002678F5"/>
    <w:rsid w:val="00272508"/>
    <w:rsid w:val="00275589"/>
    <w:rsid w:val="00292E69"/>
    <w:rsid w:val="002A312E"/>
    <w:rsid w:val="002A4969"/>
    <w:rsid w:val="002F6048"/>
    <w:rsid w:val="002F726C"/>
    <w:rsid w:val="003147B3"/>
    <w:rsid w:val="003466F6"/>
    <w:rsid w:val="003656FC"/>
    <w:rsid w:val="00374E18"/>
    <w:rsid w:val="0038374D"/>
    <w:rsid w:val="003A37BE"/>
    <w:rsid w:val="003A66B6"/>
    <w:rsid w:val="003B6783"/>
    <w:rsid w:val="003E13BC"/>
    <w:rsid w:val="003F022E"/>
    <w:rsid w:val="004009FF"/>
    <w:rsid w:val="00403C1D"/>
    <w:rsid w:val="004165BD"/>
    <w:rsid w:val="004326BC"/>
    <w:rsid w:val="0044100D"/>
    <w:rsid w:val="0045129A"/>
    <w:rsid w:val="00454D77"/>
    <w:rsid w:val="004557BC"/>
    <w:rsid w:val="00460A23"/>
    <w:rsid w:val="00481D7A"/>
    <w:rsid w:val="0049077E"/>
    <w:rsid w:val="0049088A"/>
    <w:rsid w:val="00493393"/>
    <w:rsid w:val="004A7C94"/>
    <w:rsid w:val="004B20B2"/>
    <w:rsid w:val="004B3304"/>
    <w:rsid w:val="004B4205"/>
    <w:rsid w:val="004B728B"/>
    <w:rsid w:val="004C31FC"/>
    <w:rsid w:val="004C713F"/>
    <w:rsid w:val="004D36E3"/>
    <w:rsid w:val="004D6A7D"/>
    <w:rsid w:val="004E5353"/>
    <w:rsid w:val="004F22D0"/>
    <w:rsid w:val="004F4875"/>
    <w:rsid w:val="005056E1"/>
    <w:rsid w:val="00506348"/>
    <w:rsid w:val="00522102"/>
    <w:rsid w:val="005252C5"/>
    <w:rsid w:val="0052691E"/>
    <w:rsid w:val="00557381"/>
    <w:rsid w:val="00562516"/>
    <w:rsid w:val="005661D3"/>
    <w:rsid w:val="00570E8D"/>
    <w:rsid w:val="00574C7D"/>
    <w:rsid w:val="00595B7D"/>
    <w:rsid w:val="00597BA8"/>
    <w:rsid w:val="005A15F1"/>
    <w:rsid w:val="005A5303"/>
    <w:rsid w:val="005B3BBF"/>
    <w:rsid w:val="005B6132"/>
    <w:rsid w:val="005D5A0E"/>
    <w:rsid w:val="005E7173"/>
    <w:rsid w:val="00603136"/>
    <w:rsid w:val="00603870"/>
    <w:rsid w:val="0060747B"/>
    <w:rsid w:val="00613D25"/>
    <w:rsid w:val="006144C7"/>
    <w:rsid w:val="00634CB3"/>
    <w:rsid w:val="00642AE6"/>
    <w:rsid w:val="00644A59"/>
    <w:rsid w:val="00683F91"/>
    <w:rsid w:val="006858E5"/>
    <w:rsid w:val="006941AD"/>
    <w:rsid w:val="006971B0"/>
    <w:rsid w:val="00697819"/>
    <w:rsid w:val="006A4E61"/>
    <w:rsid w:val="006B1D6A"/>
    <w:rsid w:val="006B3F49"/>
    <w:rsid w:val="006D1006"/>
    <w:rsid w:val="0070175B"/>
    <w:rsid w:val="00724AE5"/>
    <w:rsid w:val="00733204"/>
    <w:rsid w:val="00761E82"/>
    <w:rsid w:val="007635A3"/>
    <w:rsid w:val="00763EE7"/>
    <w:rsid w:val="00767FE3"/>
    <w:rsid w:val="00780B69"/>
    <w:rsid w:val="007907BA"/>
    <w:rsid w:val="00796B51"/>
    <w:rsid w:val="007B1712"/>
    <w:rsid w:val="007C2A75"/>
    <w:rsid w:val="007E3857"/>
    <w:rsid w:val="00816101"/>
    <w:rsid w:val="0082476F"/>
    <w:rsid w:val="00833AA9"/>
    <w:rsid w:val="00833E5B"/>
    <w:rsid w:val="00840BE9"/>
    <w:rsid w:val="00865108"/>
    <w:rsid w:val="00867963"/>
    <w:rsid w:val="00887185"/>
    <w:rsid w:val="00890F2F"/>
    <w:rsid w:val="00895C99"/>
    <w:rsid w:val="008B1EFA"/>
    <w:rsid w:val="00905933"/>
    <w:rsid w:val="00911170"/>
    <w:rsid w:val="009465D2"/>
    <w:rsid w:val="00952D2D"/>
    <w:rsid w:val="00954702"/>
    <w:rsid w:val="00954EA6"/>
    <w:rsid w:val="009607D9"/>
    <w:rsid w:val="00994AF6"/>
    <w:rsid w:val="009A74F0"/>
    <w:rsid w:val="009B7E80"/>
    <w:rsid w:val="00A0171E"/>
    <w:rsid w:val="00A21379"/>
    <w:rsid w:val="00A3471C"/>
    <w:rsid w:val="00A3692E"/>
    <w:rsid w:val="00A504E8"/>
    <w:rsid w:val="00A71AA2"/>
    <w:rsid w:val="00A723C8"/>
    <w:rsid w:val="00A7651D"/>
    <w:rsid w:val="00A77B3E"/>
    <w:rsid w:val="00A87B0A"/>
    <w:rsid w:val="00A92CFE"/>
    <w:rsid w:val="00AB7AA5"/>
    <w:rsid w:val="00AF27AA"/>
    <w:rsid w:val="00AF2DA3"/>
    <w:rsid w:val="00B10877"/>
    <w:rsid w:val="00B2510F"/>
    <w:rsid w:val="00B3343F"/>
    <w:rsid w:val="00B517A0"/>
    <w:rsid w:val="00B56043"/>
    <w:rsid w:val="00B73735"/>
    <w:rsid w:val="00B74D2A"/>
    <w:rsid w:val="00B960D4"/>
    <w:rsid w:val="00BA4211"/>
    <w:rsid w:val="00BD011C"/>
    <w:rsid w:val="00BD7D74"/>
    <w:rsid w:val="00BE6BF6"/>
    <w:rsid w:val="00C0024B"/>
    <w:rsid w:val="00C017CB"/>
    <w:rsid w:val="00C02D73"/>
    <w:rsid w:val="00C059A6"/>
    <w:rsid w:val="00C07462"/>
    <w:rsid w:val="00C07D03"/>
    <w:rsid w:val="00C11A39"/>
    <w:rsid w:val="00C20CD5"/>
    <w:rsid w:val="00C26A08"/>
    <w:rsid w:val="00C33DF7"/>
    <w:rsid w:val="00C565B7"/>
    <w:rsid w:val="00C6515E"/>
    <w:rsid w:val="00C672C2"/>
    <w:rsid w:val="00C83F09"/>
    <w:rsid w:val="00C85A26"/>
    <w:rsid w:val="00CA2A55"/>
    <w:rsid w:val="00CA6265"/>
    <w:rsid w:val="00CC1141"/>
    <w:rsid w:val="00CF0BFA"/>
    <w:rsid w:val="00D07A48"/>
    <w:rsid w:val="00D1001C"/>
    <w:rsid w:val="00D11157"/>
    <w:rsid w:val="00D11A0B"/>
    <w:rsid w:val="00D15B25"/>
    <w:rsid w:val="00D25C1C"/>
    <w:rsid w:val="00D26637"/>
    <w:rsid w:val="00D27F08"/>
    <w:rsid w:val="00D302F0"/>
    <w:rsid w:val="00D34BC6"/>
    <w:rsid w:val="00D355FF"/>
    <w:rsid w:val="00D35FBD"/>
    <w:rsid w:val="00D565DE"/>
    <w:rsid w:val="00D65BDB"/>
    <w:rsid w:val="00D65C2A"/>
    <w:rsid w:val="00D677AA"/>
    <w:rsid w:val="00DB3502"/>
    <w:rsid w:val="00DD5E1F"/>
    <w:rsid w:val="00DD617D"/>
    <w:rsid w:val="00DE1C07"/>
    <w:rsid w:val="00DF0399"/>
    <w:rsid w:val="00DF08E6"/>
    <w:rsid w:val="00DF589E"/>
    <w:rsid w:val="00E453F8"/>
    <w:rsid w:val="00E71266"/>
    <w:rsid w:val="00E84253"/>
    <w:rsid w:val="00EA29E1"/>
    <w:rsid w:val="00EA4BCD"/>
    <w:rsid w:val="00EB2443"/>
    <w:rsid w:val="00EC383C"/>
    <w:rsid w:val="00ED7AA1"/>
    <w:rsid w:val="00EE2DE0"/>
    <w:rsid w:val="00EF49C1"/>
    <w:rsid w:val="00F075DE"/>
    <w:rsid w:val="00F3031C"/>
    <w:rsid w:val="00F32F98"/>
    <w:rsid w:val="00F33BA9"/>
    <w:rsid w:val="00F47987"/>
    <w:rsid w:val="00F95163"/>
    <w:rsid w:val="00FB03DC"/>
    <w:rsid w:val="00FB17F7"/>
    <w:rsid w:val="00FD4A56"/>
    <w:rsid w:val="00FD61A8"/>
    <w:rsid w:val="00FD7635"/>
    <w:rsid w:val="0124293A"/>
    <w:rsid w:val="013367A7"/>
    <w:rsid w:val="014063FE"/>
    <w:rsid w:val="02217FDE"/>
    <w:rsid w:val="02BF3353"/>
    <w:rsid w:val="02C274CD"/>
    <w:rsid w:val="03F162AF"/>
    <w:rsid w:val="0402731A"/>
    <w:rsid w:val="043D09D3"/>
    <w:rsid w:val="04CB4231"/>
    <w:rsid w:val="055F0FF3"/>
    <w:rsid w:val="05730BDF"/>
    <w:rsid w:val="058C7E64"/>
    <w:rsid w:val="062956B3"/>
    <w:rsid w:val="068C5ACD"/>
    <w:rsid w:val="078D51C2"/>
    <w:rsid w:val="07A70F85"/>
    <w:rsid w:val="07C37EEE"/>
    <w:rsid w:val="083C7222"/>
    <w:rsid w:val="084A5E75"/>
    <w:rsid w:val="08DF02AB"/>
    <w:rsid w:val="09300B06"/>
    <w:rsid w:val="09BF7262"/>
    <w:rsid w:val="09DD73F6"/>
    <w:rsid w:val="0A021E77"/>
    <w:rsid w:val="0A14667A"/>
    <w:rsid w:val="0A805ABD"/>
    <w:rsid w:val="0AF44C96"/>
    <w:rsid w:val="0BBC0D77"/>
    <w:rsid w:val="0BF028A5"/>
    <w:rsid w:val="0C5B233E"/>
    <w:rsid w:val="0CC27014"/>
    <w:rsid w:val="0CC46135"/>
    <w:rsid w:val="0CC72F4B"/>
    <w:rsid w:val="0E250E55"/>
    <w:rsid w:val="0E4334CC"/>
    <w:rsid w:val="0EF30E45"/>
    <w:rsid w:val="0F1113DA"/>
    <w:rsid w:val="0FC71A98"/>
    <w:rsid w:val="0FF94348"/>
    <w:rsid w:val="11D84431"/>
    <w:rsid w:val="12956EEE"/>
    <w:rsid w:val="13E55ED9"/>
    <w:rsid w:val="14237571"/>
    <w:rsid w:val="14513E61"/>
    <w:rsid w:val="14B11EB6"/>
    <w:rsid w:val="14BC76F2"/>
    <w:rsid w:val="14C60571"/>
    <w:rsid w:val="1514752E"/>
    <w:rsid w:val="17D66D1D"/>
    <w:rsid w:val="17DF2075"/>
    <w:rsid w:val="181810E3"/>
    <w:rsid w:val="183323C1"/>
    <w:rsid w:val="18822A00"/>
    <w:rsid w:val="18C249F0"/>
    <w:rsid w:val="18F910EA"/>
    <w:rsid w:val="19503FD8"/>
    <w:rsid w:val="196E0390"/>
    <w:rsid w:val="1A1F46A8"/>
    <w:rsid w:val="1A3445CD"/>
    <w:rsid w:val="1A4B296F"/>
    <w:rsid w:val="1AA70EDA"/>
    <w:rsid w:val="1AF37BE5"/>
    <w:rsid w:val="1B1624C1"/>
    <w:rsid w:val="1B970EB9"/>
    <w:rsid w:val="1C7D1F98"/>
    <w:rsid w:val="1CBF2405"/>
    <w:rsid w:val="1CE7377A"/>
    <w:rsid w:val="1CEF7619"/>
    <w:rsid w:val="1DB00010"/>
    <w:rsid w:val="1DBC07A2"/>
    <w:rsid w:val="1DF93765"/>
    <w:rsid w:val="1E0056C2"/>
    <w:rsid w:val="1E403EBF"/>
    <w:rsid w:val="1E9D0594"/>
    <w:rsid w:val="1EE47F71"/>
    <w:rsid w:val="1F352A07"/>
    <w:rsid w:val="1F8E64CA"/>
    <w:rsid w:val="1F974FE3"/>
    <w:rsid w:val="20126E2D"/>
    <w:rsid w:val="202A2F47"/>
    <w:rsid w:val="2072477F"/>
    <w:rsid w:val="20A52531"/>
    <w:rsid w:val="20E93F65"/>
    <w:rsid w:val="2144025A"/>
    <w:rsid w:val="2182768D"/>
    <w:rsid w:val="23100BD2"/>
    <w:rsid w:val="23BA3996"/>
    <w:rsid w:val="248B20F8"/>
    <w:rsid w:val="24967F5F"/>
    <w:rsid w:val="2532772E"/>
    <w:rsid w:val="255A64BE"/>
    <w:rsid w:val="258B7F50"/>
    <w:rsid w:val="25A62424"/>
    <w:rsid w:val="262874EC"/>
    <w:rsid w:val="271F0740"/>
    <w:rsid w:val="277651B0"/>
    <w:rsid w:val="27B84691"/>
    <w:rsid w:val="28702113"/>
    <w:rsid w:val="28B5759B"/>
    <w:rsid w:val="2908361F"/>
    <w:rsid w:val="290B1547"/>
    <w:rsid w:val="29E259F5"/>
    <w:rsid w:val="29F3375E"/>
    <w:rsid w:val="2A43647E"/>
    <w:rsid w:val="2A61691A"/>
    <w:rsid w:val="2AA4010D"/>
    <w:rsid w:val="2B0337CB"/>
    <w:rsid w:val="2BF343F3"/>
    <w:rsid w:val="2BF91718"/>
    <w:rsid w:val="2C2E67AB"/>
    <w:rsid w:val="2CBF036C"/>
    <w:rsid w:val="2D2A0A02"/>
    <w:rsid w:val="2D8A262B"/>
    <w:rsid w:val="2EE144CD"/>
    <w:rsid w:val="2EFC30B5"/>
    <w:rsid w:val="2F68699C"/>
    <w:rsid w:val="2F9A6D52"/>
    <w:rsid w:val="31124E12"/>
    <w:rsid w:val="31880C30"/>
    <w:rsid w:val="31FC7845"/>
    <w:rsid w:val="3267377F"/>
    <w:rsid w:val="32C87BF1"/>
    <w:rsid w:val="32F318D1"/>
    <w:rsid w:val="333C43C8"/>
    <w:rsid w:val="3344502A"/>
    <w:rsid w:val="335C27E8"/>
    <w:rsid w:val="33C7475B"/>
    <w:rsid w:val="33CF6FEA"/>
    <w:rsid w:val="34F771B3"/>
    <w:rsid w:val="35E70D5A"/>
    <w:rsid w:val="366B5933"/>
    <w:rsid w:val="369269F0"/>
    <w:rsid w:val="36D41BE0"/>
    <w:rsid w:val="371265CE"/>
    <w:rsid w:val="37417E78"/>
    <w:rsid w:val="37476F7B"/>
    <w:rsid w:val="379113F6"/>
    <w:rsid w:val="37BF087C"/>
    <w:rsid w:val="37C130EE"/>
    <w:rsid w:val="37F012DD"/>
    <w:rsid w:val="382316B2"/>
    <w:rsid w:val="3A0904C4"/>
    <w:rsid w:val="3AB42A96"/>
    <w:rsid w:val="3AF40C8B"/>
    <w:rsid w:val="3B3F2CA7"/>
    <w:rsid w:val="3CAE79C1"/>
    <w:rsid w:val="3CBF2E2D"/>
    <w:rsid w:val="3D022061"/>
    <w:rsid w:val="3D5E3860"/>
    <w:rsid w:val="3E1C72D0"/>
    <w:rsid w:val="3E893A8F"/>
    <w:rsid w:val="3EA90B54"/>
    <w:rsid w:val="3F025137"/>
    <w:rsid w:val="3F421865"/>
    <w:rsid w:val="3FA255B3"/>
    <w:rsid w:val="3FB77F27"/>
    <w:rsid w:val="40461BA4"/>
    <w:rsid w:val="40480794"/>
    <w:rsid w:val="409F7F05"/>
    <w:rsid w:val="412344D1"/>
    <w:rsid w:val="415E7FB7"/>
    <w:rsid w:val="419D0727"/>
    <w:rsid w:val="42027154"/>
    <w:rsid w:val="427917E3"/>
    <w:rsid w:val="42F45A61"/>
    <w:rsid w:val="43340C18"/>
    <w:rsid w:val="44CB77A7"/>
    <w:rsid w:val="452947FF"/>
    <w:rsid w:val="454C2D6C"/>
    <w:rsid w:val="45F277A3"/>
    <w:rsid w:val="461F33E4"/>
    <w:rsid w:val="463E38C6"/>
    <w:rsid w:val="46CB490D"/>
    <w:rsid w:val="46F96400"/>
    <w:rsid w:val="482827D0"/>
    <w:rsid w:val="48312561"/>
    <w:rsid w:val="4832772D"/>
    <w:rsid w:val="484418FD"/>
    <w:rsid w:val="48496F13"/>
    <w:rsid w:val="48FA5E7D"/>
    <w:rsid w:val="492E435B"/>
    <w:rsid w:val="493916B5"/>
    <w:rsid w:val="49BB7400"/>
    <w:rsid w:val="4B4B4D50"/>
    <w:rsid w:val="4B86222C"/>
    <w:rsid w:val="4C4C7849"/>
    <w:rsid w:val="4C4F33F1"/>
    <w:rsid w:val="4CA12F07"/>
    <w:rsid w:val="4D665E71"/>
    <w:rsid w:val="4DF84562"/>
    <w:rsid w:val="4E6A1991"/>
    <w:rsid w:val="4E775E5C"/>
    <w:rsid w:val="4ED80FF1"/>
    <w:rsid w:val="4F6208BA"/>
    <w:rsid w:val="4F6B7EA9"/>
    <w:rsid w:val="4F820F5D"/>
    <w:rsid w:val="501C7768"/>
    <w:rsid w:val="505E5526"/>
    <w:rsid w:val="50966A6E"/>
    <w:rsid w:val="51850004"/>
    <w:rsid w:val="51E1640E"/>
    <w:rsid w:val="532A1CE3"/>
    <w:rsid w:val="54716EAD"/>
    <w:rsid w:val="54A6749B"/>
    <w:rsid w:val="54AF45A2"/>
    <w:rsid w:val="55DC50F0"/>
    <w:rsid w:val="56252250"/>
    <w:rsid w:val="56705FB3"/>
    <w:rsid w:val="56737851"/>
    <w:rsid w:val="569C0B56"/>
    <w:rsid w:val="5717642E"/>
    <w:rsid w:val="58281F4A"/>
    <w:rsid w:val="58711357"/>
    <w:rsid w:val="589728B9"/>
    <w:rsid w:val="5A0F2795"/>
    <w:rsid w:val="5AE34FA5"/>
    <w:rsid w:val="5AEB6BB9"/>
    <w:rsid w:val="5BA858A7"/>
    <w:rsid w:val="5BEF48D9"/>
    <w:rsid w:val="5BF44F90"/>
    <w:rsid w:val="5CE648D9"/>
    <w:rsid w:val="5CE9261B"/>
    <w:rsid w:val="5D005D18"/>
    <w:rsid w:val="5D0B6CFD"/>
    <w:rsid w:val="5D355860"/>
    <w:rsid w:val="5D932FB2"/>
    <w:rsid w:val="5E190108"/>
    <w:rsid w:val="5E9B601D"/>
    <w:rsid w:val="5EB229F8"/>
    <w:rsid w:val="5EF02538"/>
    <w:rsid w:val="5F052F4C"/>
    <w:rsid w:val="5F904FD0"/>
    <w:rsid w:val="5FB22F9C"/>
    <w:rsid w:val="5FFE1AC2"/>
    <w:rsid w:val="60C6151D"/>
    <w:rsid w:val="61500EBB"/>
    <w:rsid w:val="62115573"/>
    <w:rsid w:val="621D44D9"/>
    <w:rsid w:val="626764BC"/>
    <w:rsid w:val="62C12838"/>
    <w:rsid w:val="63763530"/>
    <w:rsid w:val="640A0D82"/>
    <w:rsid w:val="643A79E4"/>
    <w:rsid w:val="65102DA7"/>
    <w:rsid w:val="66784B82"/>
    <w:rsid w:val="668D5118"/>
    <w:rsid w:val="67615EB2"/>
    <w:rsid w:val="677A27ED"/>
    <w:rsid w:val="67C25F42"/>
    <w:rsid w:val="683F57E5"/>
    <w:rsid w:val="68587F86"/>
    <w:rsid w:val="68B5471F"/>
    <w:rsid w:val="68CA71B8"/>
    <w:rsid w:val="68D1536C"/>
    <w:rsid w:val="69C725FB"/>
    <w:rsid w:val="6A005D45"/>
    <w:rsid w:val="6B2009D5"/>
    <w:rsid w:val="6B8872D1"/>
    <w:rsid w:val="6CA2076D"/>
    <w:rsid w:val="6CE40931"/>
    <w:rsid w:val="6DC823FB"/>
    <w:rsid w:val="6DEA17AF"/>
    <w:rsid w:val="6E172BE7"/>
    <w:rsid w:val="6EF027D7"/>
    <w:rsid w:val="6F2B261F"/>
    <w:rsid w:val="70285AC0"/>
    <w:rsid w:val="71A04359"/>
    <w:rsid w:val="71C327E9"/>
    <w:rsid w:val="7205184D"/>
    <w:rsid w:val="72281098"/>
    <w:rsid w:val="73255045"/>
    <w:rsid w:val="732D0275"/>
    <w:rsid w:val="734D4253"/>
    <w:rsid w:val="73AA26AC"/>
    <w:rsid w:val="74173A5C"/>
    <w:rsid w:val="745E1854"/>
    <w:rsid w:val="748E7CEE"/>
    <w:rsid w:val="74A175B5"/>
    <w:rsid w:val="75AF5D58"/>
    <w:rsid w:val="77C16217"/>
    <w:rsid w:val="791303D8"/>
    <w:rsid w:val="791A0BF8"/>
    <w:rsid w:val="79273628"/>
    <w:rsid w:val="798A3E65"/>
    <w:rsid w:val="7A242A33"/>
    <w:rsid w:val="7AD74932"/>
    <w:rsid w:val="7B197943"/>
    <w:rsid w:val="7B9854E0"/>
    <w:rsid w:val="7BFB113D"/>
    <w:rsid w:val="7C0266F5"/>
    <w:rsid w:val="7CCA3477"/>
    <w:rsid w:val="7CCC1495"/>
    <w:rsid w:val="7D1721D7"/>
    <w:rsid w:val="7EB4618D"/>
    <w:rsid w:val="7F3E1EFB"/>
    <w:rsid w:val="7F7F2C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99"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8"/>
    <w:autoRedefine/>
    <w:qFormat/>
    <w:uiPriority w:val="0"/>
    <w:pPr>
      <w:keepNext/>
      <w:keepLines/>
      <w:spacing w:before="240" w:after="240"/>
      <w:ind w:left="100" w:leftChars="100" w:right="100" w:rightChars="100"/>
      <w:jc w:val="center"/>
      <w:outlineLvl w:val="0"/>
    </w:pPr>
    <w:rPr>
      <w:rFonts w:eastAsia="黑体"/>
      <w:bCs/>
      <w:kern w:val="44"/>
      <w:sz w:val="44"/>
      <w:szCs w:val="44"/>
    </w:rPr>
  </w:style>
  <w:style w:type="paragraph" w:styleId="3">
    <w:name w:val="heading 2"/>
    <w:basedOn w:val="1"/>
    <w:next w:val="1"/>
    <w:link w:val="69"/>
    <w:autoRedefine/>
    <w:unhideWhenUsed/>
    <w:qFormat/>
    <w:uiPriority w:val="0"/>
    <w:pPr>
      <w:keepNext/>
      <w:keepLines/>
      <w:outlineLvl w:val="1"/>
    </w:pPr>
    <w:rPr>
      <w:rFonts w:ascii="Arial" w:hAnsi="Arial" w:eastAsia="黑体"/>
      <w:bCs/>
      <w:sz w:val="28"/>
      <w:szCs w:val="32"/>
    </w:rPr>
  </w:style>
  <w:style w:type="paragraph" w:styleId="4">
    <w:name w:val="heading 3"/>
    <w:basedOn w:val="1"/>
    <w:next w:val="1"/>
    <w:link w:val="70"/>
    <w:autoRedefine/>
    <w:unhideWhenUsed/>
    <w:qFormat/>
    <w:uiPriority w:val="0"/>
    <w:pPr>
      <w:tabs>
        <w:tab w:val="left" w:pos="851"/>
      </w:tabs>
      <w:autoSpaceDE w:val="0"/>
      <w:autoSpaceDN w:val="0"/>
      <w:adjustRightInd w:val="0"/>
      <w:snapToGrid w:val="0"/>
      <w:spacing w:line="360" w:lineRule="auto"/>
      <w:outlineLvl w:val="2"/>
    </w:pPr>
    <w:rPr>
      <w:rFonts w:ascii="宋体"/>
      <w:kern w:val="0"/>
      <w:szCs w:val="20"/>
    </w:rPr>
  </w:style>
  <w:style w:type="paragraph" w:styleId="5">
    <w:name w:val="heading 4"/>
    <w:next w:val="1"/>
    <w:link w:val="71"/>
    <w:autoRedefine/>
    <w:qFormat/>
    <w:uiPriority w:val="0"/>
    <w:pPr>
      <w:keepNext/>
      <w:keepLines/>
      <w:numPr>
        <w:ilvl w:val="3"/>
        <w:numId w:val="1"/>
      </w:numPr>
      <w:spacing w:line="360" w:lineRule="auto"/>
      <w:ind w:left="864"/>
      <w:outlineLvl w:val="3"/>
    </w:pPr>
    <w:rPr>
      <w:rFonts w:ascii="Cambria" w:hAnsi="Cambria" w:eastAsia="Times New Roman" w:cs="Times New Roman"/>
      <w:bCs/>
      <w:sz w:val="24"/>
      <w:szCs w:val="28"/>
      <w:lang w:val="en-US" w:eastAsia="zh-CN" w:bidi="ar-SA"/>
    </w:rPr>
  </w:style>
  <w:style w:type="character" w:default="1" w:styleId="36">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unhideWhenUsed/>
    <w:qFormat/>
    <w:uiPriority w:val="39"/>
    <w:pPr>
      <w:adjustRightInd w:val="0"/>
      <w:snapToGrid w:val="0"/>
      <w:ind w:left="2520" w:leftChars="1200"/>
    </w:pPr>
    <w:rPr>
      <w:rFonts w:ascii="等线" w:hAnsi="等线" w:eastAsia="等线"/>
      <w:szCs w:val="22"/>
    </w:rPr>
  </w:style>
  <w:style w:type="paragraph" w:styleId="7">
    <w:name w:val="index 8"/>
    <w:basedOn w:val="1"/>
    <w:next w:val="1"/>
    <w:autoRedefine/>
    <w:qFormat/>
    <w:uiPriority w:val="0"/>
    <w:pPr>
      <w:ind w:left="2940"/>
    </w:pPr>
  </w:style>
  <w:style w:type="paragraph" w:styleId="8">
    <w:name w:val="Normal Indent"/>
    <w:basedOn w:val="1"/>
    <w:autoRedefine/>
    <w:unhideWhenUsed/>
    <w:qFormat/>
    <w:uiPriority w:val="99"/>
    <w:pPr>
      <w:spacing w:line="360" w:lineRule="auto"/>
    </w:pPr>
  </w:style>
  <w:style w:type="paragraph" w:styleId="9">
    <w:name w:val="caption"/>
    <w:basedOn w:val="1"/>
    <w:next w:val="1"/>
    <w:autoRedefine/>
    <w:qFormat/>
    <w:uiPriority w:val="0"/>
    <w:rPr>
      <w:rFonts w:ascii="等线 Light" w:hAnsi="等线 Light" w:eastAsia="黑体"/>
      <w:sz w:val="20"/>
      <w:szCs w:val="20"/>
    </w:rPr>
  </w:style>
  <w:style w:type="paragraph" w:styleId="10">
    <w:name w:val="annotation text"/>
    <w:basedOn w:val="1"/>
    <w:link w:val="45"/>
    <w:autoRedefine/>
    <w:qFormat/>
    <w:uiPriority w:val="99"/>
    <w:pPr>
      <w:jc w:val="left"/>
    </w:pPr>
  </w:style>
  <w:style w:type="paragraph" w:styleId="11">
    <w:name w:val="Body Text"/>
    <w:basedOn w:val="1"/>
    <w:link w:val="72"/>
    <w:autoRedefine/>
    <w:qFormat/>
    <w:uiPriority w:val="0"/>
    <w:pPr>
      <w:adjustRightInd w:val="0"/>
      <w:spacing w:line="360" w:lineRule="atLeast"/>
      <w:jc w:val="center"/>
      <w:textAlignment w:val="baseline"/>
    </w:pPr>
    <w:rPr>
      <w:kern w:val="0"/>
      <w:sz w:val="24"/>
      <w:szCs w:val="20"/>
    </w:rPr>
  </w:style>
  <w:style w:type="paragraph" w:styleId="12">
    <w:name w:val="Body Text Indent"/>
    <w:basedOn w:val="1"/>
    <w:link w:val="73"/>
    <w:autoRedefine/>
    <w:qFormat/>
    <w:uiPriority w:val="0"/>
    <w:pPr>
      <w:adjustRightInd w:val="0"/>
      <w:spacing w:line="312" w:lineRule="atLeast"/>
      <w:ind w:left="719" w:leftChars="115" w:hanging="478" w:hangingChars="199"/>
      <w:textAlignment w:val="baseline"/>
    </w:pPr>
    <w:rPr>
      <w:rFonts w:ascii="黑体" w:eastAsia="黑体"/>
      <w:kern w:val="0"/>
      <w:sz w:val="24"/>
      <w:szCs w:val="20"/>
    </w:rPr>
  </w:style>
  <w:style w:type="paragraph" w:styleId="13">
    <w:name w:val="toc 5"/>
    <w:basedOn w:val="1"/>
    <w:next w:val="1"/>
    <w:autoRedefine/>
    <w:unhideWhenUsed/>
    <w:qFormat/>
    <w:uiPriority w:val="39"/>
    <w:pPr>
      <w:adjustRightInd w:val="0"/>
      <w:snapToGrid w:val="0"/>
      <w:ind w:left="1680" w:leftChars="800"/>
    </w:pPr>
    <w:rPr>
      <w:rFonts w:ascii="等线" w:hAnsi="等线" w:eastAsia="等线"/>
      <w:szCs w:val="22"/>
    </w:rPr>
  </w:style>
  <w:style w:type="paragraph" w:styleId="14">
    <w:name w:val="toc 3"/>
    <w:basedOn w:val="1"/>
    <w:next w:val="1"/>
    <w:autoRedefine/>
    <w:unhideWhenUsed/>
    <w:qFormat/>
    <w:uiPriority w:val="39"/>
    <w:pPr>
      <w:ind w:left="840" w:leftChars="400"/>
    </w:pPr>
  </w:style>
  <w:style w:type="paragraph" w:styleId="15">
    <w:name w:val="Plain Text"/>
    <w:basedOn w:val="1"/>
    <w:link w:val="74"/>
    <w:autoRedefine/>
    <w:qFormat/>
    <w:uiPriority w:val="0"/>
    <w:rPr>
      <w:rFonts w:ascii="宋体" w:hAnsi="Courier New"/>
      <w:szCs w:val="20"/>
    </w:rPr>
  </w:style>
  <w:style w:type="paragraph" w:styleId="16">
    <w:name w:val="toc 8"/>
    <w:basedOn w:val="1"/>
    <w:next w:val="1"/>
    <w:autoRedefine/>
    <w:unhideWhenUsed/>
    <w:qFormat/>
    <w:uiPriority w:val="39"/>
    <w:pPr>
      <w:adjustRightInd w:val="0"/>
      <w:snapToGrid w:val="0"/>
      <w:ind w:left="2940" w:leftChars="1400"/>
    </w:pPr>
    <w:rPr>
      <w:rFonts w:ascii="等线" w:hAnsi="等线" w:eastAsia="等线"/>
      <w:szCs w:val="22"/>
    </w:rPr>
  </w:style>
  <w:style w:type="paragraph" w:styleId="17">
    <w:name w:val="Date"/>
    <w:basedOn w:val="1"/>
    <w:next w:val="1"/>
    <w:link w:val="75"/>
    <w:autoRedefine/>
    <w:qFormat/>
    <w:uiPriority w:val="0"/>
    <w:pPr>
      <w:ind w:left="100" w:leftChars="2500"/>
    </w:pPr>
  </w:style>
  <w:style w:type="paragraph" w:styleId="18">
    <w:name w:val="Body Text Indent 2"/>
    <w:basedOn w:val="1"/>
    <w:link w:val="76"/>
    <w:autoRedefine/>
    <w:qFormat/>
    <w:uiPriority w:val="0"/>
    <w:pPr>
      <w:spacing w:after="120" w:line="480" w:lineRule="auto"/>
      <w:ind w:left="420" w:leftChars="200"/>
    </w:pPr>
  </w:style>
  <w:style w:type="paragraph" w:styleId="19">
    <w:name w:val="Balloon Text"/>
    <w:basedOn w:val="1"/>
    <w:link w:val="65"/>
    <w:autoRedefine/>
    <w:qFormat/>
    <w:uiPriority w:val="99"/>
    <w:rPr>
      <w:sz w:val="18"/>
      <w:szCs w:val="18"/>
    </w:rPr>
  </w:style>
  <w:style w:type="paragraph" w:styleId="20">
    <w:name w:val="footer"/>
    <w:basedOn w:val="1"/>
    <w:link w:val="67"/>
    <w:autoRedefine/>
    <w:qFormat/>
    <w:uiPriority w:val="0"/>
    <w:pPr>
      <w:tabs>
        <w:tab w:val="center" w:pos="4153"/>
        <w:tab w:val="right" w:pos="8306"/>
      </w:tabs>
      <w:snapToGrid w:val="0"/>
      <w:jc w:val="left"/>
    </w:pPr>
    <w:rPr>
      <w:sz w:val="18"/>
      <w:szCs w:val="18"/>
    </w:rPr>
  </w:style>
  <w:style w:type="paragraph" w:styleId="21">
    <w:name w:val="header"/>
    <w:basedOn w:val="1"/>
    <w:link w:val="66"/>
    <w:autoRedefine/>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autoRedefine/>
    <w:qFormat/>
    <w:uiPriority w:val="39"/>
  </w:style>
  <w:style w:type="paragraph" w:styleId="23">
    <w:name w:val="toc 4"/>
    <w:basedOn w:val="1"/>
    <w:next w:val="1"/>
    <w:autoRedefine/>
    <w:unhideWhenUsed/>
    <w:qFormat/>
    <w:uiPriority w:val="39"/>
    <w:pPr>
      <w:adjustRightInd w:val="0"/>
      <w:snapToGrid w:val="0"/>
      <w:ind w:left="1260" w:leftChars="600"/>
    </w:pPr>
    <w:rPr>
      <w:rFonts w:ascii="等线" w:hAnsi="等线" w:eastAsia="等线"/>
      <w:szCs w:val="22"/>
    </w:rPr>
  </w:style>
  <w:style w:type="paragraph" w:styleId="24">
    <w:name w:val="Subtitle"/>
    <w:basedOn w:val="1"/>
    <w:next w:val="1"/>
    <w:link w:val="82"/>
    <w:autoRedefine/>
    <w:qFormat/>
    <w:uiPriority w:val="11"/>
    <w:pPr>
      <w:adjustRightInd w:val="0"/>
      <w:snapToGrid w:val="0"/>
      <w:spacing w:before="50" w:beforeLines="50" w:line="288" w:lineRule="auto"/>
      <w:ind w:firstLine="200" w:firstLineChars="200"/>
    </w:pPr>
    <w:rPr>
      <w:bCs/>
      <w:kern w:val="28"/>
      <w:sz w:val="24"/>
      <w:szCs w:val="32"/>
    </w:rPr>
  </w:style>
  <w:style w:type="paragraph" w:styleId="25">
    <w:name w:val="toc 6"/>
    <w:basedOn w:val="1"/>
    <w:next w:val="1"/>
    <w:autoRedefine/>
    <w:unhideWhenUsed/>
    <w:qFormat/>
    <w:uiPriority w:val="39"/>
    <w:pPr>
      <w:adjustRightInd w:val="0"/>
      <w:snapToGrid w:val="0"/>
      <w:ind w:left="2100" w:leftChars="1000"/>
    </w:pPr>
    <w:rPr>
      <w:rFonts w:ascii="等线" w:hAnsi="等线" w:eastAsia="等线"/>
      <w:szCs w:val="22"/>
    </w:rPr>
  </w:style>
  <w:style w:type="paragraph" w:styleId="26">
    <w:name w:val="toc 2"/>
    <w:basedOn w:val="1"/>
    <w:next w:val="1"/>
    <w:autoRedefine/>
    <w:qFormat/>
    <w:uiPriority w:val="39"/>
    <w:pPr>
      <w:ind w:left="420" w:leftChars="200"/>
    </w:pPr>
  </w:style>
  <w:style w:type="paragraph" w:styleId="27">
    <w:name w:val="toc 9"/>
    <w:basedOn w:val="1"/>
    <w:next w:val="1"/>
    <w:autoRedefine/>
    <w:unhideWhenUsed/>
    <w:qFormat/>
    <w:uiPriority w:val="39"/>
    <w:pPr>
      <w:adjustRightInd w:val="0"/>
      <w:snapToGrid w:val="0"/>
      <w:ind w:left="3360" w:leftChars="1600"/>
    </w:pPr>
    <w:rPr>
      <w:rFonts w:ascii="等线" w:hAnsi="等线" w:eastAsia="等线"/>
      <w:szCs w:val="22"/>
    </w:rPr>
  </w:style>
  <w:style w:type="paragraph" w:styleId="28">
    <w:name w:val="Body Text 2"/>
    <w:basedOn w:val="1"/>
    <w:link w:val="81"/>
    <w:autoRedefine/>
    <w:qFormat/>
    <w:uiPriority w:val="0"/>
    <w:pPr>
      <w:adjustRightInd w:val="0"/>
      <w:snapToGrid w:val="0"/>
      <w:spacing w:line="288" w:lineRule="auto"/>
      <w:ind w:right="291" w:firstLine="200" w:firstLineChars="200"/>
    </w:pPr>
    <w:rPr>
      <w:sz w:val="28"/>
    </w:rPr>
  </w:style>
  <w:style w:type="paragraph" w:styleId="29">
    <w:name w:val="Normal (Web)"/>
    <w:basedOn w:val="1"/>
    <w:autoRedefine/>
    <w:qFormat/>
    <w:uiPriority w:val="99"/>
    <w:pPr>
      <w:spacing w:before="0" w:beforeAutospacing="1" w:after="0" w:afterAutospacing="1"/>
      <w:ind w:left="0" w:right="0"/>
      <w:jc w:val="left"/>
    </w:pPr>
    <w:rPr>
      <w:kern w:val="0"/>
      <w:sz w:val="24"/>
      <w:lang w:val="en-US" w:eastAsia="zh-CN" w:bidi="ar"/>
    </w:rPr>
  </w:style>
  <w:style w:type="paragraph" w:styleId="30">
    <w:name w:val="Title"/>
    <w:basedOn w:val="2"/>
    <w:link w:val="77"/>
    <w:autoRedefine/>
    <w:qFormat/>
    <w:uiPriority w:val="0"/>
    <w:pPr>
      <w:pageBreakBefore/>
      <w:numPr>
        <w:ilvl w:val="0"/>
        <w:numId w:val="2"/>
      </w:numPr>
      <w:spacing w:line="360" w:lineRule="auto"/>
    </w:pPr>
    <w:rPr>
      <w:sz w:val="32"/>
    </w:rPr>
  </w:style>
  <w:style w:type="paragraph" w:styleId="31">
    <w:name w:val="annotation subject"/>
    <w:basedOn w:val="10"/>
    <w:next w:val="10"/>
    <w:link w:val="46"/>
    <w:autoRedefine/>
    <w:qFormat/>
    <w:uiPriority w:val="99"/>
    <w:rPr>
      <w:b/>
      <w:bCs/>
    </w:rPr>
  </w:style>
  <w:style w:type="paragraph" w:styleId="32">
    <w:name w:val="Body Text First Indent"/>
    <w:basedOn w:val="11"/>
    <w:link w:val="78"/>
    <w:autoRedefine/>
    <w:qFormat/>
    <w:uiPriority w:val="0"/>
    <w:pPr>
      <w:snapToGrid w:val="0"/>
      <w:spacing w:line="440" w:lineRule="exact"/>
      <w:ind w:firstLine="420" w:firstLineChars="100"/>
      <w:jc w:val="left"/>
    </w:pPr>
    <w:rPr>
      <w:rFonts w:ascii="宋体" w:hAnsi="宋体" w:cs="宋体"/>
      <w:szCs w:val="22"/>
      <w:lang w:eastAsia="en-US"/>
    </w:rPr>
  </w:style>
  <w:style w:type="paragraph" w:styleId="33">
    <w:name w:val="Body Text First Indent 2"/>
    <w:basedOn w:val="12"/>
    <w:next w:val="11"/>
    <w:link w:val="79"/>
    <w:autoRedefine/>
    <w:qFormat/>
    <w:uiPriority w:val="0"/>
    <w:pPr>
      <w:ind w:firstLine="420"/>
    </w:pPr>
    <w:rPr>
      <w:rFonts w:ascii="Times New Roman" w:eastAsia="宋体"/>
    </w:rPr>
  </w:style>
  <w:style w:type="table" w:styleId="35">
    <w:name w:val="Table Grid"/>
    <w:basedOn w:val="3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7">
    <w:name w:val="Strong"/>
    <w:basedOn w:val="36"/>
    <w:autoRedefine/>
    <w:qFormat/>
    <w:uiPriority w:val="22"/>
    <w:rPr>
      <w:rFonts w:ascii="Times New Roman" w:hAnsi="Times New Roman" w:eastAsia="宋体" w:cs="Times New Roman"/>
      <w:b/>
      <w:bCs/>
    </w:rPr>
  </w:style>
  <w:style w:type="character" w:styleId="38">
    <w:name w:val="page number"/>
    <w:basedOn w:val="36"/>
    <w:autoRedefine/>
    <w:qFormat/>
    <w:uiPriority w:val="0"/>
    <w:rPr>
      <w:rFonts w:ascii="Times New Roman" w:hAnsi="Times New Roman" w:eastAsia="宋体" w:cs="Times New Roman"/>
    </w:rPr>
  </w:style>
  <w:style w:type="character" w:styleId="39">
    <w:name w:val="Emphasis"/>
    <w:basedOn w:val="36"/>
    <w:autoRedefine/>
    <w:qFormat/>
    <w:uiPriority w:val="20"/>
    <w:rPr>
      <w:i/>
      <w:iCs/>
    </w:rPr>
  </w:style>
  <w:style w:type="character" w:styleId="40">
    <w:name w:val="Hyperlink"/>
    <w:basedOn w:val="36"/>
    <w:autoRedefine/>
    <w:unhideWhenUsed/>
    <w:qFormat/>
    <w:uiPriority w:val="99"/>
    <w:rPr>
      <w:color w:val="0563C1"/>
      <w:u w:val="single"/>
    </w:rPr>
  </w:style>
  <w:style w:type="character" w:styleId="41">
    <w:name w:val="HTML Code"/>
    <w:basedOn w:val="36"/>
    <w:autoRedefine/>
    <w:unhideWhenUsed/>
    <w:qFormat/>
    <w:uiPriority w:val="99"/>
    <w:rPr>
      <w:rFonts w:ascii="宋体" w:hAnsi="宋体" w:eastAsia="宋体" w:cs="宋体"/>
      <w:sz w:val="24"/>
      <w:szCs w:val="24"/>
    </w:rPr>
  </w:style>
  <w:style w:type="character" w:styleId="42">
    <w:name w:val="annotation reference"/>
    <w:basedOn w:val="36"/>
    <w:autoRedefine/>
    <w:qFormat/>
    <w:uiPriority w:val="99"/>
    <w:rPr>
      <w:sz w:val="21"/>
      <w:szCs w:val="21"/>
    </w:rPr>
  </w:style>
  <w:style w:type="paragraph" w:customStyle="1" w:styleId="43">
    <w:name w:val="列出段落1"/>
    <w:autoRedefine/>
    <w:qFormat/>
    <w:uiPriority w:val="0"/>
    <w:pPr>
      <w:ind w:firstLine="420" w:firstLineChars="200"/>
      <w:jc w:val="center"/>
    </w:pPr>
    <w:rPr>
      <w:rFonts w:ascii="Times New Roman" w:hAnsi="Times New Roman" w:eastAsia="宋体" w:cs="Times New Roman"/>
      <w:szCs w:val="22"/>
      <w:lang w:val="en-US" w:eastAsia="zh-CN" w:bidi="ar-SA"/>
    </w:rPr>
  </w:style>
  <w:style w:type="paragraph" w:customStyle="1" w:styleId="44">
    <w:name w:val="样式 10 磅31114"/>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5">
    <w:name w:val="批注文字 字符"/>
    <w:basedOn w:val="36"/>
    <w:link w:val="10"/>
    <w:autoRedefine/>
    <w:qFormat/>
    <w:uiPriority w:val="99"/>
    <w:rPr>
      <w:kern w:val="2"/>
      <w:sz w:val="21"/>
      <w:szCs w:val="24"/>
    </w:rPr>
  </w:style>
  <w:style w:type="character" w:customStyle="1" w:styleId="46">
    <w:name w:val="批注主题 字符"/>
    <w:basedOn w:val="45"/>
    <w:link w:val="31"/>
    <w:autoRedefine/>
    <w:qFormat/>
    <w:uiPriority w:val="99"/>
    <w:rPr>
      <w:b/>
      <w:bCs/>
      <w:kern w:val="2"/>
      <w:sz w:val="21"/>
      <w:szCs w:val="24"/>
    </w:rPr>
  </w:style>
  <w:style w:type="paragraph" w:customStyle="1" w:styleId="47">
    <w:name w:val="Default"/>
    <w:autoRedefine/>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customStyle="1" w:styleId="48">
    <w:name w:val="列出段落2"/>
    <w:basedOn w:val="1"/>
    <w:autoRedefine/>
    <w:qFormat/>
    <w:uiPriority w:val="0"/>
    <w:pPr>
      <w:ind w:firstLine="420" w:firstLineChars="200"/>
    </w:pPr>
  </w:style>
  <w:style w:type="paragraph" w:customStyle="1" w:styleId="49">
    <w:name w:val="标准正文-lp"/>
    <w:basedOn w:val="1"/>
    <w:next w:val="1"/>
    <w:autoRedefine/>
    <w:qFormat/>
    <w:uiPriority w:val="0"/>
    <w:pPr>
      <w:spacing w:line="360" w:lineRule="auto"/>
      <w:ind w:firstLine="480" w:firstLineChars="200"/>
    </w:pPr>
    <w:rPr>
      <w:rFonts w:ascii="Calibri" w:hAnsi="Calibri" w:eastAsia="仿宋_GB2312" w:cs="宋体"/>
      <w:sz w:val="28"/>
    </w:rPr>
  </w:style>
  <w:style w:type="paragraph" w:customStyle="1" w:styleId="50">
    <w:name w:val="p0"/>
    <w:basedOn w:val="1"/>
    <w:autoRedefine/>
    <w:qFormat/>
    <w:uiPriority w:val="0"/>
    <w:pPr>
      <w:widowControl/>
    </w:pPr>
    <w:rPr>
      <w:kern w:val="0"/>
      <w:szCs w:val="21"/>
    </w:rPr>
  </w:style>
  <w:style w:type="character" w:customStyle="1" w:styleId="51">
    <w:name w:val="p141"/>
    <w:autoRedefine/>
    <w:qFormat/>
    <w:uiPriority w:val="0"/>
    <w:rPr>
      <w:rFonts w:ascii="Times New Roman" w:hAnsi="Times New Roman" w:eastAsia="宋体" w:cs="Times New Roman"/>
      <w:sz w:val="21"/>
      <w:szCs w:val="21"/>
    </w:rPr>
  </w:style>
  <w:style w:type="paragraph" w:styleId="52">
    <w:name w:val="List Paragraph"/>
    <w:basedOn w:val="1"/>
    <w:autoRedefine/>
    <w:qFormat/>
    <w:uiPriority w:val="0"/>
    <w:pPr>
      <w:numPr>
        <w:ilvl w:val="0"/>
        <w:numId w:val="3"/>
      </w:numPr>
      <w:adjustRightInd w:val="0"/>
      <w:snapToGrid w:val="0"/>
      <w:spacing w:line="288" w:lineRule="auto"/>
    </w:pPr>
  </w:style>
  <w:style w:type="paragraph" w:customStyle="1" w:styleId="53">
    <w:name w:val="Char"/>
    <w:basedOn w:val="1"/>
    <w:autoRedefine/>
    <w:qFormat/>
    <w:uiPriority w:val="0"/>
    <w:rPr>
      <w:rFonts w:ascii="Tahoma" w:hAnsi="Tahoma"/>
      <w:sz w:val="24"/>
      <w:szCs w:val="20"/>
    </w:rPr>
  </w:style>
  <w:style w:type="paragraph" w:customStyle="1" w:styleId="54">
    <w:name w:val="修订1"/>
    <w:autoRedefine/>
    <w:semiHidden/>
    <w:qFormat/>
    <w:uiPriority w:val="99"/>
    <w:rPr>
      <w:rFonts w:ascii="Times New Roman" w:hAnsi="Times New Roman" w:eastAsia="宋体" w:cs="Times New Roman"/>
      <w:kern w:val="2"/>
      <w:sz w:val="21"/>
      <w:szCs w:val="24"/>
      <w:lang w:val="en-US" w:eastAsia="zh-CN" w:bidi="ar-SA"/>
    </w:rPr>
  </w:style>
  <w:style w:type="paragraph" w:customStyle="1" w:styleId="55">
    <w:name w:val="修订2"/>
    <w:autoRedefine/>
    <w:semiHidden/>
    <w:qFormat/>
    <w:uiPriority w:val="99"/>
    <w:rPr>
      <w:rFonts w:ascii="Times New Roman" w:hAnsi="Times New Roman" w:eastAsia="宋体" w:cs="Times New Roman"/>
      <w:kern w:val="2"/>
      <w:sz w:val="21"/>
      <w:szCs w:val="24"/>
      <w:lang w:val="en-US" w:eastAsia="zh-CN" w:bidi="ar-SA"/>
    </w:rPr>
  </w:style>
  <w:style w:type="table" w:customStyle="1" w:styleId="56">
    <w:name w:val="Table Normal"/>
    <w:autoRedefine/>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customStyle="1" w:styleId="57">
    <w:name w:val="sfzk-段落正文"/>
    <w:autoRedefine/>
    <w:qFormat/>
    <w:uiPriority w:val="0"/>
    <w:pPr>
      <w:spacing w:line="360" w:lineRule="auto"/>
      <w:ind w:firstLine="200" w:firstLineChars="200"/>
      <w:jc w:val="both"/>
    </w:pPr>
    <w:rPr>
      <w:rFonts w:ascii="Times New Roman" w:hAnsi="Times New Roman" w:eastAsia="宋体" w:cs="宋体"/>
      <w:sz w:val="24"/>
      <w:szCs w:val="24"/>
      <w:lang w:val="en-US" w:eastAsia="zh-CN" w:bidi="ar-SA"/>
    </w:rPr>
  </w:style>
  <w:style w:type="paragraph" w:customStyle="1" w:styleId="58">
    <w:name w:val="sfzk-段落列表"/>
    <w:autoRedefine/>
    <w:qFormat/>
    <w:uiPriority w:val="0"/>
    <w:pPr>
      <w:numPr>
        <w:ilvl w:val="0"/>
        <w:numId w:val="4"/>
      </w:numPr>
      <w:tabs>
        <w:tab w:val="left" w:pos="960"/>
      </w:tabs>
      <w:spacing w:line="360" w:lineRule="auto"/>
      <w:jc w:val="both"/>
    </w:pPr>
    <w:rPr>
      <w:rFonts w:ascii="Times New Roman" w:hAnsi="Times New Roman" w:eastAsia="宋体" w:cs="Times New Roman"/>
      <w:sz w:val="24"/>
      <w:szCs w:val="24"/>
      <w:lang w:val="en-US" w:eastAsia="zh-CN" w:bidi="ar-SA"/>
    </w:rPr>
  </w:style>
  <w:style w:type="paragraph" w:customStyle="1" w:styleId="59">
    <w:name w:val="sfzk-表格内容"/>
    <w:autoRedefine/>
    <w:qFormat/>
    <w:uiPriority w:val="0"/>
    <w:pPr>
      <w:spacing w:line="360" w:lineRule="auto"/>
      <w:jc w:val="center"/>
    </w:pPr>
    <w:rPr>
      <w:rFonts w:ascii="Calibri" w:hAnsi="Calibri" w:eastAsia="Times New Roman" w:cs="Times New Roman"/>
      <w:color w:val="000000"/>
      <w:sz w:val="21"/>
      <w:szCs w:val="21"/>
      <w:lang w:val="en-US" w:eastAsia="zh-CN" w:bidi="ar-SA"/>
    </w:rPr>
  </w:style>
  <w:style w:type="paragraph" w:customStyle="1" w:styleId="60">
    <w:name w:val="箭头编号"/>
    <w:autoRedefine/>
    <w:qFormat/>
    <w:uiPriority w:val="0"/>
    <w:pPr>
      <w:numPr>
        <w:ilvl w:val="0"/>
        <w:numId w:val="5"/>
      </w:numPr>
      <w:spacing w:line="360" w:lineRule="auto"/>
      <w:jc w:val="both"/>
    </w:pPr>
    <w:rPr>
      <w:rFonts w:ascii="Times New Roman" w:hAnsi="Times New Roman" w:eastAsia="宋体" w:cs="Times New Roman"/>
      <w:kern w:val="2"/>
      <w:sz w:val="24"/>
      <w:szCs w:val="24"/>
      <w:lang w:val="en-US" w:eastAsia="zh-CN" w:bidi="ar-SA"/>
    </w:rPr>
  </w:style>
  <w:style w:type="paragraph" w:customStyle="1" w:styleId="61">
    <w:name w:val="1）编号"/>
    <w:basedOn w:val="52"/>
    <w:autoRedefine/>
    <w:qFormat/>
    <w:uiPriority w:val="0"/>
    <w:pPr>
      <w:numPr>
        <w:ilvl w:val="0"/>
        <w:numId w:val="6"/>
      </w:numPr>
      <w:ind w:firstLine="0"/>
    </w:pPr>
  </w:style>
  <w:style w:type="paragraph" w:customStyle="1" w:styleId="62">
    <w:name w:val="表格"/>
    <w:autoRedefine/>
    <w:qFormat/>
    <w:uiPriority w:val="0"/>
    <w:pPr>
      <w:adjustRightInd w:val="0"/>
      <w:jc w:val="center"/>
    </w:pPr>
    <w:rPr>
      <w:rFonts w:ascii="Times New Roman" w:hAnsi="Times New Roman" w:eastAsia="宋体" w:cs="Times New Roman"/>
      <w:kern w:val="2"/>
      <w:sz w:val="21"/>
      <w:szCs w:val="24"/>
      <w:lang w:val="en-US" w:eastAsia="zh-CN" w:bidi="ar-SA"/>
    </w:rPr>
  </w:style>
  <w:style w:type="paragraph" w:customStyle="1" w:styleId="63">
    <w:name w:val="Table Paragraph"/>
    <w:basedOn w:val="1"/>
    <w:autoRedefine/>
    <w:qFormat/>
    <w:uiPriority w:val="1"/>
    <w:pPr>
      <w:autoSpaceDE w:val="0"/>
      <w:autoSpaceDN w:val="0"/>
      <w:jc w:val="center"/>
    </w:pPr>
    <w:rPr>
      <w:rFonts w:ascii="宋体" w:hAnsi="宋体" w:cs="宋体"/>
      <w:kern w:val="0"/>
      <w:szCs w:val="22"/>
      <w:lang w:val="zh-CN" w:bidi="zh-CN"/>
    </w:rPr>
  </w:style>
  <w:style w:type="paragraph" w:customStyle="1" w:styleId="64">
    <w:name w:val="首行缩进"/>
    <w:basedOn w:val="1"/>
    <w:autoRedefine/>
    <w:qFormat/>
    <w:uiPriority w:val="0"/>
    <w:pPr>
      <w:widowControl/>
      <w:tabs>
        <w:tab w:val="left" w:pos="822"/>
      </w:tabs>
      <w:snapToGrid w:val="0"/>
      <w:spacing w:before="40" w:after="40" w:line="300" w:lineRule="atLeast"/>
      <w:ind w:left="2940" w:hanging="420"/>
    </w:pPr>
    <w:rPr>
      <w:rFonts w:ascii="Arial" w:hAnsi="Arial"/>
      <w:kern w:val="0"/>
      <w:szCs w:val="20"/>
    </w:rPr>
  </w:style>
  <w:style w:type="character" w:customStyle="1" w:styleId="65">
    <w:name w:val="批注框文本 字符"/>
    <w:basedOn w:val="36"/>
    <w:link w:val="19"/>
    <w:autoRedefine/>
    <w:qFormat/>
    <w:uiPriority w:val="99"/>
    <w:rPr>
      <w:kern w:val="2"/>
      <w:sz w:val="18"/>
      <w:szCs w:val="18"/>
    </w:rPr>
  </w:style>
  <w:style w:type="character" w:customStyle="1" w:styleId="66">
    <w:name w:val="页眉 字符"/>
    <w:basedOn w:val="36"/>
    <w:link w:val="21"/>
    <w:autoRedefine/>
    <w:qFormat/>
    <w:uiPriority w:val="0"/>
    <w:rPr>
      <w:kern w:val="2"/>
      <w:sz w:val="18"/>
      <w:szCs w:val="18"/>
    </w:rPr>
  </w:style>
  <w:style w:type="character" w:customStyle="1" w:styleId="67">
    <w:name w:val="页脚 字符"/>
    <w:basedOn w:val="36"/>
    <w:link w:val="20"/>
    <w:autoRedefine/>
    <w:qFormat/>
    <w:uiPriority w:val="0"/>
    <w:rPr>
      <w:kern w:val="2"/>
      <w:sz w:val="18"/>
      <w:szCs w:val="18"/>
    </w:rPr>
  </w:style>
  <w:style w:type="character" w:customStyle="1" w:styleId="68">
    <w:name w:val="标题 1 字符"/>
    <w:basedOn w:val="36"/>
    <w:link w:val="2"/>
    <w:autoRedefine/>
    <w:qFormat/>
    <w:uiPriority w:val="0"/>
    <w:rPr>
      <w:rFonts w:eastAsia="黑体"/>
      <w:bCs/>
      <w:kern w:val="44"/>
      <w:sz w:val="44"/>
      <w:szCs w:val="44"/>
    </w:rPr>
  </w:style>
  <w:style w:type="character" w:customStyle="1" w:styleId="69">
    <w:name w:val="标题 2 字符"/>
    <w:basedOn w:val="36"/>
    <w:link w:val="3"/>
    <w:autoRedefine/>
    <w:qFormat/>
    <w:uiPriority w:val="0"/>
    <w:rPr>
      <w:rFonts w:ascii="Arial" w:hAnsi="Arial" w:eastAsia="黑体"/>
      <w:bCs/>
      <w:kern w:val="2"/>
      <w:sz w:val="28"/>
      <w:szCs w:val="32"/>
    </w:rPr>
  </w:style>
  <w:style w:type="character" w:customStyle="1" w:styleId="70">
    <w:name w:val="标题 3 字符"/>
    <w:basedOn w:val="36"/>
    <w:link w:val="4"/>
    <w:autoRedefine/>
    <w:qFormat/>
    <w:uiPriority w:val="0"/>
    <w:rPr>
      <w:rFonts w:ascii="宋体"/>
      <w:sz w:val="21"/>
    </w:rPr>
  </w:style>
  <w:style w:type="character" w:customStyle="1" w:styleId="71">
    <w:name w:val="标题 4 字符"/>
    <w:basedOn w:val="36"/>
    <w:link w:val="5"/>
    <w:autoRedefine/>
    <w:qFormat/>
    <w:uiPriority w:val="0"/>
    <w:rPr>
      <w:rFonts w:ascii="Cambria" w:hAnsi="Cambria" w:eastAsia="Times New Roman"/>
      <w:bCs/>
      <w:sz w:val="24"/>
      <w:szCs w:val="28"/>
    </w:rPr>
  </w:style>
  <w:style w:type="character" w:customStyle="1" w:styleId="72">
    <w:name w:val="正文文本 字符"/>
    <w:basedOn w:val="36"/>
    <w:link w:val="11"/>
    <w:autoRedefine/>
    <w:qFormat/>
    <w:uiPriority w:val="0"/>
    <w:rPr>
      <w:sz w:val="24"/>
    </w:rPr>
  </w:style>
  <w:style w:type="character" w:customStyle="1" w:styleId="73">
    <w:name w:val="正文文本缩进 字符"/>
    <w:basedOn w:val="36"/>
    <w:link w:val="12"/>
    <w:autoRedefine/>
    <w:qFormat/>
    <w:uiPriority w:val="0"/>
    <w:rPr>
      <w:rFonts w:ascii="黑体" w:eastAsia="黑体"/>
      <w:sz w:val="24"/>
    </w:rPr>
  </w:style>
  <w:style w:type="character" w:customStyle="1" w:styleId="74">
    <w:name w:val="纯文本 字符"/>
    <w:basedOn w:val="36"/>
    <w:link w:val="15"/>
    <w:autoRedefine/>
    <w:qFormat/>
    <w:uiPriority w:val="0"/>
    <w:rPr>
      <w:rFonts w:ascii="宋体" w:hAnsi="Courier New"/>
      <w:kern w:val="2"/>
      <w:sz w:val="21"/>
    </w:rPr>
  </w:style>
  <w:style w:type="character" w:customStyle="1" w:styleId="75">
    <w:name w:val="日期 字符"/>
    <w:basedOn w:val="36"/>
    <w:link w:val="17"/>
    <w:autoRedefine/>
    <w:qFormat/>
    <w:uiPriority w:val="0"/>
    <w:rPr>
      <w:kern w:val="2"/>
      <w:sz w:val="21"/>
      <w:szCs w:val="24"/>
    </w:rPr>
  </w:style>
  <w:style w:type="character" w:customStyle="1" w:styleId="76">
    <w:name w:val="正文文本缩进 2 字符"/>
    <w:basedOn w:val="36"/>
    <w:link w:val="18"/>
    <w:autoRedefine/>
    <w:qFormat/>
    <w:uiPriority w:val="0"/>
    <w:rPr>
      <w:kern w:val="2"/>
      <w:sz w:val="21"/>
      <w:szCs w:val="24"/>
    </w:rPr>
  </w:style>
  <w:style w:type="character" w:customStyle="1" w:styleId="77">
    <w:name w:val="标题 字符"/>
    <w:basedOn w:val="36"/>
    <w:link w:val="30"/>
    <w:autoRedefine/>
    <w:qFormat/>
    <w:uiPriority w:val="10"/>
    <w:rPr>
      <w:rFonts w:eastAsia="黑体"/>
      <w:bCs/>
      <w:kern w:val="44"/>
      <w:sz w:val="32"/>
      <w:szCs w:val="44"/>
    </w:rPr>
  </w:style>
  <w:style w:type="character" w:customStyle="1" w:styleId="78">
    <w:name w:val="正文文本首行缩进 字符"/>
    <w:basedOn w:val="72"/>
    <w:link w:val="32"/>
    <w:autoRedefine/>
    <w:qFormat/>
    <w:uiPriority w:val="0"/>
    <w:rPr>
      <w:rFonts w:ascii="宋体" w:hAnsi="宋体" w:cs="宋体"/>
      <w:sz w:val="24"/>
      <w:szCs w:val="22"/>
      <w:lang w:eastAsia="en-US"/>
    </w:rPr>
  </w:style>
  <w:style w:type="character" w:customStyle="1" w:styleId="79">
    <w:name w:val="正文文本首行缩进 2 字符"/>
    <w:basedOn w:val="73"/>
    <w:link w:val="33"/>
    <w:autoRedefine/>
    <w:qFormat/>
    <w:uiPriority w:val="0"/>
    <w:rPr>
      <w:rFonts w:ascii="黑体" w:eastAsia="黑体"/>
      <w:sz w:val="24"/>
    </w:rPr>
  </w:style>
  <w:style w:type="paragraph" w:customStyle="1" w:styleId="80">
    <w:name w:val="修订3"/>
    <w:autoRedefine/>
    <w:hidden/>
    <w:unhideWhenUsed/>
    <w:qFormat/>
    <w:uiPriority w:val="99"/>
    <w:rPr>
      <w:rFonts w:ascii="Times New Roman" w:hAnsi="Times New Roman" w:eastAsia="宋体" w:cs="Times New Roman"/>
      <w:kern w:val="2"/>
      <w:sz w:val="21"/>
      <w:szCs w:val="24"/>
      <w:lang w:val="en-US" w:eastAsia="zh-CN" w:bidi="ar-SA"/>
    </w:rPr>
  </w:style>
  <w:style w:type="character" w:customStyle="1" w:styleId="81">
    <w:name w:val="正文文本 2 字符"/>
    <w:basedOn w:val="36"/>
    <w:link w:val="28"/>
    <w:autoRedefine/>
    <w:qFormat/>
    <w:uiPriority w:val="0"/>
    <w:rPr>
      <w:kern w:val="2"/>
      <w:sz w:val="28"/>
      <w:szCs w:val="24"/>
    </w:rPr>
  </w:style>
  <w:style w:type="character" w:customStyle="1" w:styleId="82">
    <w:name w:val="副标题 字符"/>
    <w:basedOn w:val="36"/>
    <w:link w:val="24"/>
    <w:qFormat/>
    <w:uiPriority w:val="11"/>
    <w:rPr>
      <w:bCs/>
      <w:kern w:val="28"/>
      <w:sz w:val="24"/>
      <w:szCs w:val="32"/>
    </w:rPr>
  </w:style>
  <w:style w:type="table" w:customStyle="1" w:styleId="83">
    <w:name w:val="网格型1"/>
    <w:basedOn w:val="34"/>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4">
    <w:name w:val="11111"/>
    <w:basedOn w:val="1"/>
    <w:link w:val="85"/>
    <w:qFormat/>
    <w:uiPriority w:val="0"/>
    <w:pPr>
      <w:adjustRightInd w:val="0"/>
      <w:snapToGrid w:val="0"/>
      <w:spacing w:line="288" w:lineRule="auto"/>
      <w:ind w:firstLine="200" w:firstLineChars="200"/>
    </w:pPr>
    <w:rPr>
      <w:sz w:val="24"/>
    </w:rPr>
  </w:style>
  <w:style w:type="character" w:customStyle="1" w:styleId="85">
    <w:name w:val="11111 字符"/>
    <w:basedOn w:val="36"/>
    <w:link w:val="84"/>
    <w:autoRedefine/>
    <w:qFormat/>
    <w:uiPriority w:val="0"/>
    <w:rPr>
      <w:kern w:val="2"/>
      <w:sz w:val="24"/>
      <w:szCs w:val="24"/>
    </w:rPr>
  </w:style>
  <w:style w:type="character" w:customStyle="1" w:styleId="86">
    <w:name w:val="未处理的提及1"/>
    <w:basedOn w:val="36"/>
    <w:autoRedefine/>
    <w:unhideWhenUsed/>
    <w:qFormat/>
    <w:uiPriority w:val="99"/>
    <w:rPr>
      <w:color w:val="605E5C"/>
      <w:shd w:val="clear" w:color="auto" w:fill="E1DFDD"/>
    </w:rPr>
  </w:style>
  <w:style w:type="paragraph" w:styleId="87">
    <w:name w:val="No Spacing"/>
    <w:basedOn w:val="1"/>
    <w:next w:val="15"/>
    <w:autoRedefine/>
    <w:qFormat/>
    <w:uiPriority w:val="1"/>
    <w:pPr>
      <w:adjustRightInd w:val="0"/>
      <w:snapToGrid w:val="0"/>
      <w:spacing w:line="288" w:lineRule="auto"/>
      <w:jc w:val="center"/>
    </w:pPr>
    <w:rPr>
      <w:szCs w:val="22"/>
    </w:rPr>
  </w:style>
  <w:style w:type="character" w:customStyle="1" w:styleId="88">
    <w:name w:val="tgt"/>
    <w:basedOn w:val="36"/>
    <w:autoRedefine/>
    <w:qFormat/>
    <w:uiPriority w:val="0"/>
  </w:style>
  <w:style w:type="paragraph" w:customStyle="1" w:styleId="89">
    <w:name w:val="教学设计"/>
    <w:basedOn w:val="1"/>
    <w:link w:val="90"/>
    <w:autoRedefine/>
    <w:qFormat/>
    <w:uiPriority w:val="0"/>
    <w:pPr>
      <w:adjustRightInd w:val="0"/>
      <w:snapToGrid w:val="0"/>
      <w:spacing w:line="288" w:lineRule="auto"/>
      <w:ind w:left="500" w:hanging="500" w:hangingChars="500"/>
    </w:pPr>
    <w:rPr>
      <w:sz w:val="28"/>
      <w:szCs w:val="22"/>
    </w:rPr>
  </w:style>
  <w:style w:type="character" w:customStyle="1" w:styleId="90">
    <w:name w:val="教学设计 字符"/>
    <w:basedOn w:val="36"/>
    <w:link w:val="89"/>
    <w:autoRedefine/>
    <w:qFormat/>
    <w:uiPriority w:val="0"/>
    <w:rPr>
      <w:kern w:val="2"/>
      <w:sz w:val="28"/>
      <w:szCs w:val="22"/>
    </w:rPr>
  </w:style>
  <w:style w:type="table" w:customStyle="1" w:styleId="91">
    <w:name w:val="网格型2"/>
    <w:basedOn w:val="34"/>
    <w:autoRedefine/>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2">
    <w:name w:val="正文文本1"/>
    <w:basedOn w:val="1"/>
    <w:autoRedefine/>
    <w:qFormat/>
    <w:uiPriority w:val="0"/>
    <w:pPr>
      <w:shd w:val="clear" w:color="auto" w:fill="FFFFFF"/>
      <w:adjustRightInd w:val="0"/>
      <w:snapToGrid w:val="0"/>
      <w:spacing w:line="348" w:lineRule="auto"/>
      <w:ind w:firstLine="400"/>
    </w:pPr>
    <w:rPr>
      <w:rFonts w:ascii="MingLiU" w:hAnsi="MingLiU" w:eastAsia="MingLiU" w:cs="MingLiU"/>
      <w:sz w:val="26"/>
      <w:szCs w:val="26"/>
    </w:rPr>
  </w:style>
  <w:style w:type="paragraph" w:customStyle="1" w:styleId="93">
    <w:name w:val="图片标题"/>
    <w:basedOn w:val="1"/>
    <w:autoRedefine/>
    <w:qFormat/>
    <w:uiPriority w:val="0"/>
    <w:pPr>
      <w:shd w:val="clear" w:color="auto" w:fill="FFFFFF"/>
      <w:adjustRightInd w:val="0"/>
      <w:snapToGrid w:val="0"/>
      <w:spacing w:line="408" w:lineRule="exact"/>
      <w:jc w:val="center"/>
    </w:pPr>
    <w:rPr>
      <w:rFonts w:ascii="MingLiU" w:hAnsi="MingLiU" w:eastAsia="MingLiU" w:cs="MingLiU"/>
      <w:szCs w:val="22"/>
    </w:rPr>
  </w:style>
  <w:style w:type="paragraph" w:customStyle="1" w:styleId="94">
    <w:name w:val="表头图题"/>
    <w:basedOn w:val="1"/>
    <w:autoRedefine/>
    <w:qFormat/>
    <w:uiPriority w:val="0"/>
    <w:pPr>
      <w:shd w:val="clear" w:color="auto" w:fill="FFFFFF"/>
      <w:adjustRightInd w:val="0"/>
      <w:snapToGrid w:val="0"/>
      <w:spacing w:before="50" w:beforeLines="50" w:after="50" w:afterLines="50" w:line="288" w:lineRule="auto"/>
      <w:jc w:val="center"/>
    </w:pPr>
    <w:rPr>
      <w:rFonts w:cs="MingLiU"/>
      <w:szCs w:val="22"/>
    </w:rPr>
  </w:style>
  <w:style w:type="paragraph" w:customStyle="1" w:styleId="95">
    <w:name w:val="其他"/>
    <w:basedOn w:val="1"/>
    <w:autoRedefine/>
    <w:qFormat/>
    <w:uiPriority w:val="0"/>
    <w:pPr>
      <w:shd w:val="clear" w:color="auto" w:fill="FFFFFF"/>
      <w:adjustRightInd w:val="0"/>
      <w:snapToGrid w:val="0"/>
      <w:spacing w:line="322" w:lineRule="auto"/>
      <w:jc w:val="distribute"/>
    </w:pPr>
    <w:rPr>
      <w:rFonts w:ascii="MingLiU" w:hAnsi="MingLiU" w:eastAsia="MingLiU" w:cs="MingLiU"/>
      <w:sz w:val="28"/>
      <w:szCs w:val="28"/>
    </w:rPr>
  </w:style>
  <w:style w:type="paragraph" w:customStyle="1" w:styleId="96">
    <w:name w:val="正文文本 (3)"/>
    <w:basedOn w:val="1"/>
    <w:autoRedefine/>
    <w:qFormat/>
    <w:uiPriority w:val="0"/>
    <w:pPr>
      <w:shd w:val="clear" w:color="auto" w:fill="FFFFFF"/>
      <w:adjustRightInd w:val="0"/>
      <w:snapToGrid w:val="0"/>
      <w:spacing w:before="120"/>
      <w:ind w:left="3760"/>
    </w:pPr>
    <w:rPr>
      <w:rFonts w:eastAsia="Times New Roman"/>
      <w:b/>
      <w:bCs/>
      <w:sz w:val="22"/>
      <w:szCs w:val="22"/>
      <w:lang w:eastAsia="en-US" w:bidi="en-US"/>
    </w:rPr>
  </w:style>
  <w:style w:type="paragraph" w:customStyle="1" w:styleId="97">
    <w:name w:val="正文文本 (2)"/>
    <w:basedOn w:val="1"/>
    <w:autoRedefine/>
    <w:qFormat/>
    <w:uiPriority w:val="0"/>
    <w:pPr>
      <w:shd w:val="clear" w:color="auto" w:fill="FFFFFF"/>
      <w:adjustRightInd w:val="0"/>
      <w:snapToGrid w:val="0"/>
    </w:pPr>
    <w:rPr>
      <w:rFonts w:ascii="MingLiU" w:hAnsi="MingLiU" w:eastAsia="MingLiU" w:cs="MingLiU"/>
      <w:sz w:val="20"/>
      <w:szCs w:val="20"/>
    </w:rPr>
  </w:style>
  <w:style w:type="paragraph" w:customStyle="1" w:styleId="98">
    <w:name w:val="图片标题 (2)"/>
    <w:basedOn w:val="1"/>
    <w:autoRedefine/>
    <w:qFormat/>
    <w:uiPriority w:val="0"/>
    <w:pPr>
      <w:shd w:val="clear" w:color="auto" w:fill="FFFFFF"/>
      <w:adjustRightInd w:val="0"/>
      <w:snapToGrid w:val="0"/>
    </w:pPr>
    <w:rPr>
      <w:rFonts w:ascii="MingLiU" w:hAnsi="MingLiU" w:eastAsia="MingLiU" w:cs="MingLiU"/>
      <w:sz w:val="20"/>
      <w:szCs w:val="20"/>
    </w:rPr>
  </w:style>
  <w:style w:type="character" w:customStyle="1" w:styleId="99">
    <w:name w:val="MTEquationSection"/>
    <w:basedOn w:val="36"/>
    <w:autoRedefine/>
    <w:qFormat/>
    <w:uiPriority w:val="0"/>
    <w:rPr>
      <w:rFonts w:ascii="华文细黑" w:hAnsi="华文细黑" w:eastAsia="华文细黑" w:cs="华文细黑"/>
      <w:vanish/>
      <w:color w:val="FF0000"/>
    </w:rPr>
  </w:style>
  <w:style w:type="paragraph" w:customStyle="1" w:styleId="100">
    <w:name w:val="MTDisplayEquation"/>
    <w:basedOn w:val="84"/>
    <w:next w:val="1"/>
    <w:link w:val="101"/>
    <w:autoRedefine/>
    <w:qFormat/>
    <w:uiPriority w:val="0"/>
    <w:pPr>
      <w:tabs>
        <w:tab w:val="center" w:pos="4160"/>
        <w:tab w:val="right" w:pos="8300"/>
      </w:tabs>
      <w:ind w:firstLine="420"/>
    </w:pPr>
  </w:style>
  <w:style w:type="character" w:customStyle="1" w:styleId="101">
    <w:name w:val="MTDisplayEquation 字符"/>
    <w:basedOn w:val="85"/>
    <w:link w:val="100"/>
    <w:autoRedefine/>
    <w:qFormat/>
    <w:uiPriority w:val="0"/>
    <w:rPr>
      <w:kern w:val="2"/>
      <w:sz w:val="24"/>
      <w:szCs w:val="24"/>
    </w:rPr>
  </w:style>
  <w:style w:type="character" w:customStyle="1" w:styleId="102">
    <w:name w:val="明显强调1"/>
    <w:basedOn w:val="36"/>
    <w:autoRedefine/>
    <w:qFormat/>
    <w:uiPriority w:val="21"/>
    <w:rPr>
      <w:i/>
      <w:iCs/>
      <w:color w:val="4472C4"/>
    </w:rPr>
  </w:style>
  <w:style w:type="character" w:styleId="103">
    <w:name w:val="Placeholder Text"/>
    <w:basedOn w:val="36"/>
    <w:semiHidden/>
    <w:qFormat/>
    <w:uiPriority w:val="99"/>
    <w:rPr>
      <w:color w:val="808080"/>
    </w:rPr>
  </w:style>
  <w:style w:type="paragraph" w:customStyle="1" w:styleId="104">
    <w:name w:val="TOC 标题1"/>
    <w:basedOn w:val="2"/>
    <w:next w:val="1"/>
    <w:autoRedefine/>
    <w:unhideWhenUsed/>
    <w:qFormat/>
    <w:uiPriority w:val="39"/>
    <w:pPr>
      <w:widowControl/>
      <w:adjustRightInd w:val="0"/>
      <w:snapToGrid w:val="0"/>
      <w:spacing w:beforeLines="100" w:after="0" w:afterLines="100" w:line="259" w:lineRule="auto"/>
      <w:ind w:left="0" w:leftChars="0" w:right="0" w:rightChars="0"/>
      <w:jc w:val="left"/>
      <w:outlineLvl w:val="9"/>
    </w:pPr>
    <w:rPr>
      <w:rFonts w:ascii="等线 Light" w:hAnsi="等线 Light" w:eastAsia="等线 Light"/>
      <w:bCs w:val="0"/>
      <w:color w:val="2F5496"/>
      <w:kern w:val="0"/>
      <w:sz w:val="32"/>
      <w:szCs w:val="32"/>
    </w:rPr>
  </w:style>
  <w:style w:type="character" w:customStyle="1" w:styleId="105">
    <w:name w:val="content-right_8zs40"/>
    <w:basedOn w:val="36"/>
    <w:autoRedefine/>
    <w:qFormat/>
    <w:uiPriority w:val="0"/>
  </w:style>
  <w:style w:type="character" w:customStyle="1" w:styleId="106">
    <w:name w:val="书籍标题1"/>
    <w:basedOn w:val="36"/>
    <w:autoRedefine/>
    <w:qFormat/>
    <w:uiPriority w:val="33"/>
    <w:rPr>
      <w:b/>
      <w:bCs/>
      <w:i/>
      <w:iCs/>
      <w:spacing w:val="5"/>
    </w:rPr>
  </w:style>
  <w:style w:type="character" w:customStyle="1" w:styleId="107">
    <w:name w:val="不明显参考1"/>
    <w:basedOn w:val="36"/>
    <w:autoRedefine/>
    <w:qFormat/>
    <w:uiPriority w:val="31"/>
    <w:rPr>
      <w:smallCaps/>
      <w:color w:val="595959"/>
    </w:rPr>
  </w:style>
  <w:style w:type="paragraph" w:customStyle="1" w:styleId="108">
    <w:name w:val="图表段落"/>
    <w:basedOn w:val="1"/>
    <w:link w:val="109"/>
    <w:autoRedefine/>
    <w:qFormat/>
    <w:uiPriority w:val="0"/>
    <w:pPr>
      <w:widowControl/>
      <w:adjustRightInd w:val="0"/>
      <w:snapToGrid w:val="0"/>
      <w:spacing w:line="288" w:lineRule="auto"/>
      <w:jc w:val="center"/>
    </w:pPr>
    <w:rPr>
      <w:szCs w:val="21"/>
    </w:rPr>
  </w:style>
  <w:style w:type="character" w:customStyle="1" w:styleId="109">
    <w:name w:val="图表段落 字符"/>
    <w:basedOn w:val="36"/>
    <w:link w:val="108"/>
    <w:autoRedefine/>
    <w:qFormat/>
    <w:uiPriority w:val="0"/>
    <w:rPr>
      <w:kern w:val="2"/>
      <w:sz w:val="21"/>
      <w:szCs w:val="21"/>
    </w:rPr>
  </w:style>
  <w:style w:type="paragraph" w:customStyle="1" w:styleId="110">
    <w:name w:val="WPSOffice手动目录 1"/>
    <w:qFormat/>
    <w:uiPriority w:val="0"/>
    <w:rPr>
      <w:rFonts w:ascii="Times New Roman" w:hAnsi="Times New Roman" w:eastAsia="宋体" w:cs="Times New Roman"/>
      <w:lang w:val="en-US" w:eastAsia="zh-CN" w:bidi="ar-SA"/>
    </w:rPr>
  </w:style>
  <w:style w:type="paragraph" w:customStyle="1" w:styleId="111">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112">
    <w:name w:val="WPSOffice手动目录 3"/>
    <w:autoRedefine/>
    <w:qFormat/>
    <w:uiPriority w:val="0"/>
    <w:pPr>
      <w:ind w:left="400" w:leftChars="400"/>
    </w:pPr>
    <w:rPr>
      <w:rFonts w:ascii="Times New Roman" w:hAnsi="Times New Roman" w:eastAsia="宋体" w:cs="Times New Roman"/>
      <w:lang w:val="en-US" w:eastAsia="zh-CN" w:bidi="ar-SA"/>
    </w:rPr>
  </w:style>
  <w:style w:type="paragraph" w:customStyle="1" w:styleId="113">
    <w:name w:val="修订4"/>
    <w:hidden/>
    <w:unhideWhenUsed/>
    <w:qFormat/>
    <w:uiPriority w:val="99"/>
    <w:rPr>
      <w:rFonts w:ascii="Times New Roman" w:hAnsi="Times New Roman" w:eastAsia="宋体" w:cs="Times New Roman"/>
      <w:kern w:val="2"/>
      <w:sz w:val="21"/>
      <w:szCs w:val="24"/>
      <w:lang w:val="en-US" w:eastAsia="zh-CN" w:bidi="ar-SA"/>
    </w:rPr>
  </w:style>
  <w:style w:type="paragraph" w:customStyle="1" w:styleId="114">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15">
    <w:name w:val="修订6"/>
    <w:hidden/>
    <w:unhideWhenUsed/>
    <w:qFormat/>
    <w:uiPriority w:val="99"/>
    <w:rPr>
      <w:rFonts w:ascii="Times New Roman" w:hAnsi="Times New Roman" w:eastAsia="宋体" w:cs="Times New Roman"/>
      <w:kern w:val="2"/>
      <w:sz w:val="21"/>
      <w:szCs w:val="24"/>
      <w:lang w:val="en-US" w:eastAsia="zh-CN" w:bidi="ar-SA"/>
    </w:rPr>
  </w:style>
  <w:style w:type="character" w:customStyle="1" w:styleId="116">
    <w:name w:val="未处理的提及2"/>
    <w:basedOn w:val="36"/>
    <w:semiHidden/>
    <w:unhideWhenUsed/>
    <w:qFormat/>
    <w:uiPriority w:val="99"/>
    <w:rPr>
      <w:color w:val="605E5C"/>
      <w:shd w:val="clear" w:color="auto" w:fill="E1DFDD"/>
    </w:rPr>
  </w:style>
  <w:style w:type="paragraph" w:customStyle="1" w:styleId="117">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118">
    <w:name w:val="样式 样式 样式 样式 小四 左 首行缩进:  2 字符 + 首行缩进:  2 字符 Char + 右  0 字符1 + 首行缩...3"/>
    <w:basedOn w:val="1"/>
    <w:qFormat/>
    <w:uiPriority w:val="0"/>
    <w:pPr>
      <w:adjustRightInd w:val="0"/>
      <w:spacing w:line="360" w:lineRule="auto"/>
      <w:ind w:firstLine="480" w:firstLineChars="200"/>
      <w:jc w:val="left"/>
      <w:textAlignment w:val="baseline"/>
    </w:pPr>
    <w:rPr>
      <w:rFonts w:cs="宋体"/>
      <w:sz w:val="24"/>
      <w:szCs w:val="20"/>
    </w:rPr>
  </w:style>
  <w:style w:type="paragraph" w:customStyle="1" w:styleId="119">
    <w:name w:val="样式 标题 3 + (中文) 黑体 小四 非加粗 段前: 7.8 磅 段后: 0 磅 行距: 固定值 20 磅"/>
    <w:basedOn w:val="4"/>
    <w:qFormat/>
    <w:uiPriority w:val="0"/>
    <w:pPr>
      <w:spacing w:before="0" w:after="0" w:line="400" w:lineRule="exact"/>
    </w:pPr>
    <w:rPr>
      <w:rFonts w:eastAsia="黑体" w:cs="宋体"/>
      <w:sz w:val="24"/>
      <w:szCs w:val="2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50</Words>
  <Characters>70</Characters>
  <Lines>468</Lines>
  <Paragraphs>131</Paragraphs>
  <TotalTime>93</TotalTime>
  <ScaleCrop>false</ScaleCrop>
  <LinksUpToDate>false</LinksUpToDate>
  <CharactersWithSpaces>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2024-07-30T05:27:00Z</dcterms:created>
  <dc:creator>张三</dc:creator>
  <cp:lastModifiedBy>卢晓刚</cp:lastModifiedBy>
  <dcterms:modified xsi:type="dcterms:W3CDTF">2026-10-30T06:51:44Z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D1B05FFB2F524C80914DD470CA3072F8_13</vt:lpwstr>
  </property>
  <property fmtid="{D5CDD505-2E9C-101B-9397-08002B2CF9AE}" pid="4" name="KSOTemplateDocerSaveRecord">
    <vt:lpwstr>eyJoZGlkIjoiYWQ3MTUwMjVkODQ4YzU3NDBkYTI5MmZiZGMzYTY5NWUiLCJ1c2VySWQiOiIxMDY5NDg0MTQ0In0=</vt:lpwstr>
  </property>
</Properties>
</file>